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Default Extension="png" ContentType="image/png"/>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3.xml" ContentType="application/vnd.openxmlformats-officedocument.wordprocessingml.header+xml"/>
  <Override PartName="/word/footer19.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header16.xml" ContentType="application/vnd.openxmlformats-officedocument.wordprocessingml.header+xml"/>
  <Override PartName="/word/footer22.xml" ContentType="application/vnd.openxmlformats-officedocument.wordprocessingml.footer+xml"/>
  <Override PartName="/word/header17.xml" ContentType="application/vnd.openxmlformats-officedocument.wordprocessingml.header+xml"/>
  <Override PartName="/word/footer23.xml" ContentType="application/vnd.openxmlformats-officedocument.wordprocessingml.footer+xml"/>
  <Override PartName="/word/header18.xml" ContentType="application/vnd.openxmlformats-officedocument.wordprocessingml.header+xml"/>
  <Override PartName="/word/footer24.xml" ContentType="application/vnd.openxmlformats-officedocument.wordprocessingml.footer+xml"/>
  <Override PartName="/word/header19.xml" ContentType="application/vnd.openxmlformats-officedocument.wordprocessingml.header+xml"/>
  <Override PartName="/word/footer25.xml" ContentType="application/vnd.openxmlformats-officedocument.wordprocessingml.footer+xml"/>
  <Override PartName="/word/header20.xml" ContentType="application/vnd.openxmlformats-officedocument.wordprocessingml.header+xml"/>
  <Override PartName="/word/footer26.xml" ContentType="application/vnd.openxmlformats-officedocument.wordprocessingml.footer+xml"/>
  <Override PartName="/word/header21.xml" ContentType="application/vnd.openxmlformats-officedocument.wordprocessingml.header+xml"/>
  <Override PartName="/word/footer27.xml" ContentType="application/vnd.openxmlformats-officedocument.wordprocessingml.footer+xml"/>
  <Override PartName="/word/header22.xml" ContentType="application/vnd.openxmlformats-officedocument.wordprocessingml.header+xml"/>
  <Override PartName="/word/footer28.xml" ContentType="application/vnd.openxmlformats-officedocument.wordprocessingml.footer+xml"/>
  <Override PartName="/word/header23.xml" ContentType="application/vnd.openxmlformats-officedocument.wordprocessingml.header+xml"/>
  <Override PartName="/word/footer29.xml" ContentType="application/vnd.openxmlformats-officedocument.wordprocessingml.footer+xml"/>
  <Override PartName="/word/header24.xml" ContentType="application/vnd.openxmlformats-officedocument.wordprocessingml.header+xml"/>
  <Override PartName="/word/footer30.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7"/>
          <w:szCs w:val="17"/>
        </w:rPr>
      </w:pPr>
    </w:p>
    <w:p>
      <w:pPr>
        <w:pStyle w:val="Heading1"/>
        <w:spacing w:line="620" w:lineRule="exact"/>
        <w:ind w:right="1613"/>
        <w:jc w:val="center"/>
        <w:rPr>
          <w:b w:val="0"/>
          <w:bCs w:val="0"/>
        </w:rPr>
      </w:pPr>
      <w:bookmarkStart w:name="600718_2009_n.pdf" w:id="1"/>
      <w:bookmarkEnd w:id="1"/>
      <w:r>
        <w:rPr>
          <w:b w:val="0"/>
          <w:bCs w:val="0"/>
        </w:rPr>
      </w:r>
      <w:r>
        <w:rPr>
          <w:color w:val="FF0000"/>
        </w:rPr>
        <w:t>东软集团股份有限公司</w:t>
      </w:r>
      <w:r>
        <w:rPr>
          <w:b w:val="0"/>
          <w:bCs w:val="0"/>
        </w:rPr>
      </w:r>
    </w:p>
    <w:p>
      <w:pPr>
        <w:spacing w:before="114"/>
        <w:ind w:left="1671" w:right="1613" w:firstLine="0"/>
        <w:jc w:val="center"/>
        <w:rPr>
          <w:rFonts w:ascii="黑体" w:hAnsi="黑体" w:cs="黑体" w:eastAsia="黑体" w:hint="default"/>
          <w:sz w:val="52"/>
          <w:szCs w:val="52"/>
        </w:rPr>
      </w:pPr>
      <w:r>
        <w:rPr>
          <w:rFonts w:ascii="黑体"/>
          <w:b/>
          <w:color w:val="FF0000"/>
          <w:spacing w:val="2"/>
          <w:sz w:val="52"/>
        </w:rPr>
        <w:t>600718</w:t>
      </w:r>
      <w:r>
        <w:rPr>
          <w:rFonts w:ascii="黑体"/>
          <w:sz w:val="52"/>
        </w:rPr>
      </w:r>
    </w:p>
    <w:p>
      <w:pPr>
        <w:spacing w:line="240" w:lineRule="auto" w:before="1"/>
        <w:rPr>
          <w:rFonts w:ascii="黑体" w:hAnsi="黑体" w:cs="黑体" w:eastAsia="黑体" w:hint="default"/>
          <w:b/>
          <w:bCs/>
          <w:sz w:val="51"/>
          <w:szCs w:val="51"/>
        </w:rPr>
      </w:pPr>
    </w:p>
    <w:p>
      <w:pPr>
        <w:spacing w:before="0"/>
        <w:ind w:left="1671" w:right="1612" w:firstLine="0"/>
        <w:jc w:val="center"/>
        <w:rPr>
          <w:rFonts w:ascii="黑体" w:hAnsi="黑体" w:cs="黑体" w:eastAsia="黑体" w:hint="default"/>
          <w:sz w:val="52"/>
          <w:szCs w:val="52"/>
        </w:rPr>
      </w:pPr>
      <w:r>
        <w:rPr>
          <w:rFonts w:ascii="黑体" w:hAnsi="黑体" w:cs="黑体" w:eastAsia="黑体" w:hint="default"/>
          <w:b/>
          <w:bCs/>
          <w:color w:val="FF0000"/>
          <w:sz w:val="52"/>
          <w:szCs w:val="52"/>
        </w:rPr>
        <w:t>2009</w:t>
      </w:r>
      <w:r>
        <w:rPr>
          <w:rFonts w:ascii="黑体" w:hAnsi="黑体" w:cs="黑体" w:eastAsia="黑体" w:hint="default"/>
          <w:b/>
          <w:bCs/>
          <w:color w:val="FF0000"/>
          <w:spacing w:val="-141"/>
          <w:sz w:val="52"/>
          <w:szCs w:val="52"/>
        </w:rPr>
        <w:t> </w:t>
      </w:r>
      <w:r>
        <w:rPr>
          <w:rFonts w:ascii="黑体" w:hAnsi="黑体" w:cs="黑体" w:eastAsia="黑体" w:hint="default"/>
          <w:b/>
          <w:bCs/>
          <w:color w:val="FF0000"/>
          <w:sz w:val="52"/>
          <w:szCs w:val="52"/>
        </w:rPr>
        <w:t>年度报告</w:t>
      </w:r>
      <w:r>
        <w:rPr>
          <w:rFonts w:ascii="黑体" w:hAnsi="黑体" w:cs="黑体" w:eastAsia="黑体" w:hint="default"/>
          <w:sz w:val="52"/>
          <w:szCs w:val="52"/>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16"/>
          <w:szCs w:val="16"/>
        </w:rPr>
      </w:pPr>
    </w:p>
    <w:p>
      <w:pPr>
        <w:spacing w:line="793" w:lineRule="exact"/>
        <w:ind w:left="1845" w:right="0" w:firstLine="0"/>
        <w:rPr>
          <w:rFonts w:ascii="黑体" w:hAnsi="黑体" w:cs="黑体" w:eastAsia="黑体" w:hint="default"/>
          <w:sz w:val="20"/>
          <w:szCs w:val="20"/>
        </w:rPr>
      </w:pPr>
      <w:r>
        <w:rPr>
          <w:rFonts w:ascii="黑体" w:hAnsi="黑体" w:cs="黑体" w:eastAsia="黑体" w:hint="default"/>
          <w:position w:val="-15"/>
          <w:sz w:val="20"/>
          <w:szCs w:val="20"/>
        </w:rPr>
        <w:drawing>
          <wp:inline distT="0" distB="0" distL="0" distR="0">
            <wp:extent cx="3099532" cy="504063"/>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099532" cy="504063"/>
                    </a:xfrm>
                    <a:prstGeom prst="rect">
                      <a:avLst/>
                    </a:prstGeom>
                  </pic:spPr>
                </pic:pic>
              </a:graphicData>
            </a:graphic>
          </wp:inline>
        </w:drawing>
      </w:r>
      <w:r>
        <w:rPr>
          <w:rFonts w:ascii="黑体" w:hAnsi="黑体" w:cs="黑体" w:eastAsia="黑体" w:hint="default"/>
          <w:position w:val="-15"/>
          <w:sz w:val="20"/>
          <w:szCs w:val="20"/>
        </w:rPr>
      </w:r>
    </w:p>
    <w:p>
      <w:pPr>
        <w:spacing w:after="0" w:line="793" w:lineRule="exact"/>
        <w:rPr>
          <w:rFonts w:ascii="黑体" w:hAnsi="黑体" w:cs="黑体" w:eastAsia="黑体" w:hint="default"/>
          <w:sz w:val="20"/>
          <w:szCs w:val="20"/>
        </w:rPr>
        <w:sectPr>
          <w:type w:val="continuous"/>
          <w:pgSz w:w="11910" w:h="16840"/>
          <w:pgMar w:top="1600" w:bottom="280" w:left="1680" w:right="1680"/>
        </w:sect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4"/>
        <w:rPr>
          <w:rFonts w:ascii="黑体" w:hAnsi="黑体" w:cs="黑体" w:eastAsia="黑体" w:hint="default"/>
          <w:b/>
          <w:bCs/>
          <w:sz w:val="14"/>
          <w:szCs w:val="14"/>
        </w:rPr>
      </w:pPr>
    </w:p>
    <w:p>
      <w:pPr>
        <w:spacing w:line="580" w:lineRule="exact" w:before="0"/>
        <w:ind w:left="4260" w:right="4260" w:firstLine="0"/>
        <w:jc w:val="center"/>
        <w:rPr>
          <w:rFonts w:ascii="宋体" w:hAnsi="宋体" w:cs="宋体" w:eastAsia="宋体" w:hint="default"/>
          <w:sz w:val="48"/>
          <w:szCs w:val="48"/>
        </w:rPr>
      </w:pPr>
      <w:r>
        <w:rPr>
          <w:rFonts w:ascii="宋体" w:hAnsi="宋体" w:cs="宋体" w:eastAsia="宋体" w:hint="default"/>
          <w:b/>
          <w:bCs/>
          <w:sz w:val="48"/>
          <w:szCs w:val="48"/>
        </w:rPr>
        <w:t>目录</w:t>
      </w:r>
      <w:r>
        <w:rPr>
          <w:rFonts w:ascii="宋体" w:hAnsi="宋体" w:cs="宋体" w:eastAsia="宋体" w:hint="default"/>
          <w:sz w:val="48"/>
          <w:szCs w:val="48"/>
        </w:rPr>
      </w:r>
    </w:p>
    <w:p>
      <w:pPr>
        <w:pStyle w:val="BodyText"/>
        <w:tabs>
          <w:tab w:pos="9372" w:val="right" w:leader="dot"/>
        </w:tabs>
        <w:spacing w:line="313" w:lineRule="exact" w:before="603"/>
        <w:ind w:right="0"/>
        <w:jc w:val="left"/>
      </w:pPr>
      <w:hyperlink w:history="true" w:anchor="_bookmark0">
        <w:r>
          <w:rPr/>
          <w:t>一、重要提示</w:t>
        </w:r>
      </w:hyperlink>
      <w:r>
        <w:rPr>
          <w:rFonts w:ascii="Times New Roman" w:hAnsi="Times New Roman" w:cs="Times New Roman" w:eastAsia="Times New Roman" w:hint="default"/>
        </w:rPr>
        <w:tab/>
      </w:r>
      <w:hyperlink w:history="true" w:anchor="_bookmark0">
        <w:r>
          <w:rPr/>
          <w:t>2</w:t>
        </w:r>
      </w:hyperlink>
    </w:p>
    <w:p>
      <w:pPr>
        <w:pStyle w:val="BodyText"/>
        <w:tabs>
          <w:tab w:pos="9372" w:val="right" w:leader="dot"/>
        </w:tabs>
        <w:spacing w:line="311" w:lineRule="exact"/>
        <w:ind w:right="0"/>
        <w:jc w:val="left"/>
      </w:pPr>
      <w:hyperlink w:history="true" w:anchor="_bookmark1">
        <w:r>
          <w:rPr/>
          <w:t>二、公司基本情况</w:t>
        </w:r>
      </w:hyperlink>
      <w:r>
        <w:rPr>
          <w:rFonts w:ascii="Times New Roman" w:hAnsi="Times New Roman" w:cs="Times New Roman" w:eastAsia="Times New Roman" w:hint="default"/>
        </w:rPr>
        <w:tab/>
      </w:r>
      <w:hyperlink w:history="true" w:anchor="_bookmark1">
        <w:r>
          <w:rPr/>
          <w:t>3</w:t>
        </w:r>
      </w:hyperlink>
    </w:p>
    <w:p>
      <w:pPr>
        <w:pStyle w:val="BodyText"/>
        <w:tabs>
          <w:tab w:pos="9372" w:val="right" w:leader="dot"/>
        </w:tabs>
        <w:spacing w:line="311" w:lineRule="exact"/>
        <w:ind w:right="0"/>
        <w:jc w:val="left"/>
      </w:pPr>
      <w:hyperlink w:history="true" w:anchor="_bookmark2">
        <w:r>
          <w:rPr/>
          <w:t>三、会计数据和业务数据摘要</w:t>
        </w:r>
      </w:hyperlink>
      <w:r>
        <w:rPr>
          <w:rFonts w:ascii="Times New Roman" w:hAnsi="Times New Roman" w:cs="Times New Roman" w:eastAsia="Times New Roman" w:hint="default"/>
        </w:rPr>
        <w:tab/>
      </w:r>
      <w:hyperlink w:history="true" w:anchor="_bookmark2">
        <w:r>
          <w:rPr/>
          <w:t>4</w:t>
        </w:r>
      </w:hyperlink>
    </w:p>
    <w:p>
      <w:pPr>
        <w:pStyle w:val="BodyText"/>
        <w:tabs>
          <w:tab w:pos="9372" w:val="right" w:leader="dot"/>
        </w:tabs>
        <w:spacing w:line="311" w:lineRule="exact"/>
        <w:ind w:right="0"/>
        <w:jc w:val="left"/>
      </w:pPr>
      <w:hyperlink w:history="true" w:anchor="_bookmark3">
        <w:r>
          <w:rPr/>
          <w:t>四、股本变动及股东情况</w:t>
        </w:r>
      </w:hyperlink>
      <w:r>
        <w:rPr>
          <w:rFonts w:ascii="Times New Roman" w:hAnsi="Times New Roman" w:cs="Times New Roman" w:eastAsia="Times New Roman" w:hint="default"/>
        </w:rPr>
        <w:tab/>
      </w:r>
      <w:hyperlink w:history="true" w:anchor="_bookmark3">
        <w:r>
          <w:rPr/>
          <w:t>6</w:t>
        </w:r>
      </w:hyperlink>
    </w:p>
    <w:p>
      <w:pPr>
        <w:pStyle w:val="BodyText"/>
        <w:tabs>
          <w:tab w:pos="9372" w:val="right" w:leader="dot"/>
        </w:tabs>
        <w:spacing w:line="311" w:lineRule="exact"/>
        <w:ind w:right="0"/>
        <w:jc w:val="left"/>
      </w:pPr>
      <w:hyperlink w:history="true" w:anchor="_bookmark4">
        <w:r>
          <w:rPr/>
          <w:t>五、董事、监事和高级管理人员</w:t>
        </w:r>
      </w:hyperlink>
      <w:r>
        <w:rPr>
          <w:rFonts w:ascii="Times New Roman" w:hAnsi="Times New Roman" w:cs="Times New Roman" w:eastAsia="Times New Roman" w:hint="default"/>
        </w:rPr>
        <w:tab/>
      </w:r>
      <w:hyperlink w:history="true" w:anchor="_bookmark4">
        <w:r>
          <w:rPr/>
          <w:t>11</w:t>
        </w:r>
      </w:hyperlink>
    </w:p>
    <w:p>
      <w:pPr>
        <w:pStyle w:val="BodyText"/>
        <w:tabs>
          <w:tab w:pos="9372" w:val="right" w:leader="dot"/>
        </w:tabs>
        <w:spacing w:line="311" w:lineRule="exact"/>
        <w:ind w:right="0"/>
        <w:jc w:val="left"/>
      </w:pPr>
      <w:hyperlink w:history="true" w:anchor="_bookmark5">
        <w:r>
          <w:rPr/>
          <w:t>六、公司治理结构</w:t>
        </w:r>
      </w:hyperlink>
      <w:r>
        <w:rPr>
          <w:rFonts w:ascii="Times New Roman" w:hAnsi="Times New Roman" w:cs="Times New Roman" w:eastAsia="Times New Roman" w:hint="default"/>
        </w:rPr>
        <w:tab/>
      </w:r>
      <w:hyperlink w:history="true" w:anchor="_bookmark5">
        <w:r>
          <w:rPr/>
          <w:t>16</w:t>
        </w:r>
      </w:hyperlink>
    </w:p>
    <w:p>
      <w:pPr>
        <w:pStyle w:val="BodyText"/>
        <w:tabs>
          <w:tab w:pos="9372" w:val="right" w:leader="dot"/>
        </w:tabs>
        <w:spacing w:line="311" w:lineRule="exact"/>
        <w:ind w:right="0"/>
        <w:jc w:val="left"/>
      </w:pPr>
      <w:hyperlink w:history="true" w:anchor="_bookmark6">
        <w:r>
          <w:rPr/>
          <w:t>七、股东大会情况简介</w:t>
        </w:r>
      </w:hyperlink>
      <w:r>
        <w:rPr>
          <w:rFonts w:ascii="Times New Roman" w:hAnsi="Times New Roman" w:cs="Times New Roman" w:eastAsia="Times New Roman" w:hint="default"/>
        </w:rPr>
        <w:tab/>
      </w:r>
      <w:hyperlink w:history="true" w:anchor="_bookmark6">
        <w:r>
          <w:rPr/>
          <w:t>21</w:t>
        </w:r>
      </w:hyperlink>
    </w:p>
    <w:p>
      <w:pPr>
        <w:pStyle w:val="BodyText"/>
        <w:tabs>
          <w:tab w:pos="9372" w:val="right" w:leader="dot"/>
        </w:tabs>
        <w:spacing w:line="311" w:lineRule="exact"/>
        <w:ind w:right="0"/>
        <w:jc w:val="left"/>
      </w:pPr>
      <w:hyperlink w:history="true" w:anchor="_bookmark7">
        <w:r>
          <w:rPr/>
          <w:t>八、董事会报告</w:t>
        </w:r>
      </w:hyperlink>
      <w:r>
        <w:rPr>
          <w:rFonts w:ascii="Times New Roman" w:hAnsi="Times New Roman" w:cs="Times New Roman" w:eastAsia="Times New Roman" w:hint="default"/>
        </w:rPr>
        <w:tab/>
      </w:r>
      <w:hyperlink w:history="true" w:anchor="_bookmark7">
        <w:r>
          <w:rPr/>
          <w:t>22</w:t>
        </w:r>
      </w:hyperlink>
    </w:p>
    <w:p>
      <w:pPr>
        <w:pStyle w:val="BodyText"/>
        <w:tabs>
          <w:tab w:pos="9372" w:val="right" w:leader="dot"/>
        </w:tabs>
        <w:spacing w:line="311" w:lineRule="exact"/>
        <w:ind w:right="0"/>
        <w:jc w:val="left"/>
      </w:pPr>
      <w:hyperlink w:history="true" w:anchor="_bookmark8">
        <w:r>
          <w:rPr/>
          <w:t>九、监事会报告</w:t>
        </w:r>
      </w:hyperlink>
      <w:r>
        <w:rPr>
          <w:rFonts w:ascii="Times New Roman" w:hAnsi="Times New Roman" w:cs="Times New Roman" w:eastAsia="Times New Roman" w:hint="default"/>
        </w:rPr>
        <w:tab/>
      </w:r>
      <w:hyperlink w:history="true" w:anchor="_bookmark8">
        <w:r>
          <w:rPr/>
          <w:t>38</w:t>
        </w:r>
      </w:hyperlink>
    </w:p>
    <w:p>
      <w:pPr>
        <w:pStyle w:val="BodyText"/>
        <w:tabs>
          <w:tab w:pos="9372" w:val="right" w:leader="dot"/>
        </w:tabs>
        <w:spacing w:line="311" w:lineRule="exact"/>
        <w:ind w:right="0"/>
        <w:jc w:val="left"/>
      </w:pPr>
      <w:hyperlink w:history="true" w:anchor="_bookmark9">
        <w:r>
          <w:rPr/>
          <w:t>十、重要事项</w:t>
        </w:r>
      </w:hyperlink>
      <w:r>
        <w:rPr>
          <w:rFonts w:ascii="Times New Roman" w:hAnsi="Times New Roman" w:cs="Times New Roman" w:eastAsia="Times New Roman" w:hint="default"/>
        </w:rPr>
        <w:tab/>
      </w:r>
      <w:hyperlink w:history="true" w:anchor="_bookmark9">
        <w:r>
          <w:rPr/>
          <w:t>39</w:t>
        </w:r>
      </w:hyperlink>
    </w:p>
    <w:p>
      <w:pPr>
        <w:pStyle w:val="BodyText"/>
        <w:tabs>
          <w:tab w:pos="9372" w:val="right" w:leader="dot"/>
        </w:tabs>
        <w:spacing w:line="311" w:lineRule="exact"/>
        <w:ind w:right="0"/>
        <w:jc w:val="left"/>
      </w:pPr>
      <w:hyperlink w:history="true" w:anchor="_bookmark10">
        <w:r>
          <w:rPr/>
          <w:t>十一、财务会计报告</w:t>
        </w:r>
      </w:hyperlink>
      <w:r>
        <w:rPr>
          <w:rFonts w:ascii="Times New Roman" w:hAnsi="Times New Roman" w:cs="Times New Roman" w:eastAsia="Times New Roman" w:hint="default"/>
        </w:rPr>
        <w:tab/>
      </w:r>
      <w:hyperlink w:history="true" w:anchor="_bookmark10">
        <w:r>
          <w:rPr/>
          <w:t>45</w:t>
        </w:r>
      </w:hyperlink>
    </w:p>
    <w:p>
      <w:pPr>
        <w:pStyle w:val="BodyText"/>
        <w:tabs>
          <w:tab w:pos="9372" w:val="right" w:leader="dot"/>
        </w:tabs>
        <w:spacing w:line="312" w:lineRule="exact"/>
        <w:ind w:right="0"/>
        <w:jc w:val="left"/>
      </w:pPr>
      <w:hyperlink w:history="true" w:anchor="_bookmark11">
        <w:r>
          <w:rPr/>
          <w:t>十二、备查文件目录</w:t>
        </w:r>
      </w:hyperlink>
      <w:r>
        <w:rPr>
          <w:rFonts w:ascii="Times New Roman" w:hAnsi="Times New Roman" w:cs="Times New Roman" w:eastAsia="Times New Roman" w:hint="default"/>
        </w:rPr>
        <w:tab/>
      </w:r>
      <w:hyperlink w:history="true" w:anchor="_bookmark11">
        <w:r>
          <w:rPr/>
          <w:t>46</w:t>
        </w:r>
      </w:hyperlink>
    </w:p>
    <w:p>
      <w:pPr>
        <w:spacing w:after="0" w:line="312" w:lineRule="exact"/>
        <w:jc w:val="left"/>
        <w:sectPr>
          <w:headerReference w:type="default" r:id="rId6"/>
          <w:footerReference w:type="default" r:id="rId7"/>
          <w:pgSz w:w="11910" w:h="16840"/>
          <w:pgMar w:header="720" w:footer="721" w:top="1100" w:bottom="920" w:left="1220" w:right="1160"/>
          <w:pgNumType w:start="1"/>
        </w:sectPr>
      </w:pPr>
    </w:p>
    <w:p>
      <w:pPr>
        <w:spacing w:line="240" w:lineRule="auto" w:before="0"/>
        <w:rPr>
          <w:rFonts w:ascii="宋体" w:hAnsi="宋体" w:cs="宋体" w:eastAsia="宋体" w:hint="default"/>
          <w:sz w:val="28"/>
          <w:szCs w:val="28"/>
        </w:rPr>
      </w:pPr>
    </w:p>
    <w:p>
      <w:pPr>
        <w:pStyle w:val="Heading5"/>
        <w:spacing w:line="240" w:lineRule="auto" w:before="225"/>
        <w:ind w:right="0"/>
        <w:jc w:val="both"/>
        <w:rPr>
          <w:b w:val="0"/>
          <w:bCs w:val="0"/>
        </w:rPr>
      </w:pPr>
      <w:bookmarkStart w:name="_bookmark0" w:id="2"/>
      <w:bookmarkEnd w:id="2"/>
      <w:r>
        <w:rPr>
          <w:b w:val="0"/>
          <w:bCs w:val="0"/>
        </w:rPr>
      </w:r>
      <w:r>
        <w:rPr/>
        <w:t>一、重要提示</w:t>
      </w:r>
      <w:r>
        <w:rPr>
          <w:b w:val="0"/>
          <w:bCs w:val="0"/>
        </w:rPr>
      </w:r>
    </w:p>
    <w:p>
      <w:pPr>
        <w:pStyle w:val="BodyText"/>
        <w:spacing w:line="237" w:lineRule="auto" w:before="7"/>
        <w:ind w:right="140"/>
        <w:jc w:val="both"/>
      </w:pPr>
      <w:r>
        <w:rPr>
          <w:spacing w:val="-4"/>
        </w:rPr>
        <w:t>（一）本公司董事会、监事会及其董事、监事、高级管理人员保证本报告所载资料不存在</w:t>
      </w:r>
      <w:r>
        <w:rPr>
          <w:spacing w:val="-84"/>
        </w:rPr>
        <w:t> </w:t>
      </w:r>
      <w:r>
        <w:rPr>
          <w:spacing w:val="-84"/>
        </w:rPr>
      </w:r>
      <w:r>
        <w:rPr>
          <w:spacing w:val="-4"/>
        </w:rPr>
        <w:t>任何虚假记载、误导性陈述或者重大遗漏，并对其内容的真实性、准确性和完整性承担个</w:t>
      </w:r>
      <w:r>
        <w:rPr>
          <w:spacing w:val="-84"/>
        </w:rPr>
        <w:t> </w:t>
      </w:r>
      <w:r>
        <w:rPr>
          <w:spacing w:val="-84"/>
        </w:rPr>
      </w:r>
      <w:r>
        <w:rPr/>
        <w:t>别及连带责任。</w:t>
      </w:r>
    </w:p>
    <w:p>
      <w:pPr>
        <w:pStyle w:val="BodyText"/>
        <w:spacing w:line="310" w:lineRule="exact" w:before="29"/>
        <w:ind w:right="0"/>
        <w:jc w:val="left"/>
      </w:pPr>
      <w:r>
        <w:rPr>
          <w:spacing w:val="-4"/>
        </w:rPr>
        <w:t>（二）独立董事薛澜全权委托独立董事方红星出席并表决。独立董事吕建全权委托独立董</w:t>
      </w:r>
      <w:r>
        <w:rPr>
          <w:spacing w:val="-82"/>
        </w:rPr>
        <w:t> </w:t>
      </w:r>
      <w:r>
        <w:rPr>
          <w:spacing w:val="-82"/>
        </w:rPr>
      </w:r>
      <w:r>
        <w:rPr/>
        <w:t>事方红星出席并表决。</w:t>
      </w:r>
    </w:p>
    <w:p>
      <w:pPr>
        <w:pStyle w:val="BodyText"/>
        <w:spacing w:line="282" w:lineRule="exact"/>
        <w:ind w:right="0"/>
        <w:jc w:val="both"/>
      </w:pPr>
      <w:r>
        <w:rPr/>
        <w:t>（三）立信会计师事务所有限公司为本公司出具了标准无保留意见的审计报告。</w:t>
      </w:r>
    </w:p>
    <w:p>
      <w:pPr>
        <w:pStyle w:val="BodyText"/>
        <w:spacing w:line="312" w:lineRule="exact" w:before="29"/>
        <w:ind w:right="0"/>
        <w:jc w:val="left"/>
      </w:pPr>
      <w:r>
        <w:rPr>
          <w:spacing w:val="-4"/>
        </w:rPr>
        <w:t>（四）公司董事长兼首席执行官刘积仁、高级副总裁兼首席财务官王莉及财务运营部部长</w:t>
      </w:r>
      <w:r>
        <w:rPr>
          <w:spacing w:val="-82"/>
        </w:rPr>
        <w:t> </w:t>
      </w:r>
      <w:r>
        <w:rPr>
          <w:spacing w:val="-82"/>
        </w:rPr>
      </w:r>
      <w:r>
        <w:rPr/>
        <w:t>陈雷声明：保证年度报告中财务报告的真实、完整。</w:t>
      </w:r>
    </w:p>
    <w:p>
      <w:pPr>
        <w:pStyle w:val="BodyText"/>
        <w:spacing w:line="281" w:lineRule="exact"/>
        <w:ind w:right="0"/>
        <w:jc w:val="both"/>
      </w:pPr>
      <w:r>
        <w:rPr/>
        <w:t>（五）报告期内，本公司不存在被控股股东及其关联方非经营性占用资金情况。</w:t>
      </w:r>
    </w:p>
    <w:p>
      <w:pPr>
        <w:pStyle w:val="BodyText"/>
        <w:spacing w:line="312" w:lineRule="exact"/>
        <w:ind w:right="0"/>
        <w:jc w:val="both"/>
      </w:pPr>
      <w:r>
        <w:rPr/>
        <w:t>（六）报告期内，本公司不存在违反规定决策程序对外提供担保的情况。</w:t>
      </w:r>
    </w:p>
    <w:p>
      <w:pPr>
        <w:spacing w:after="0" w:line="312" w:lineRule="exact"/>
        <w:jc w:val="both"/>
        <w:sectPr>
          <w:pgSz w:w="11910" w:h="16840"/>
          <w:pgMar w:header="720" w:footer="721" w:top="1100" w:bottom="920" w:left="1220" w:right="116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p>
      <w:pPr>
        <w:pStyle w:val="Heading5"/>
        <w:spacing w:line="240" w:lineRule="auto"/>
        <w:ind w:right="0"/>
        <w:jc w:val="left"/>
        <w:rPr>
          <w:b w:val="0"/>
          <w:bCs w:val="0"/>
        </w:rPr>
      </w:pPr>
      <w:bookmarkStart w:name="_bookmark1" w:id="3"/>
      <w:bookmarkEnd w:id="3"/>
      <w:r>
        <w:rPr>
          <w:b w:val="0"/>
          <w:bCs w:val="0"/>
        </w:rPr>
      </w:r>
      <w:r>
        <w:rPr/>
        <w:t>二、公司基本情况</w:t>
      </w:r>
      <w:r>
        <w:rPr>
          <w:b w:val="0"/>
          <w:bCs w:val="0"/>
        </w:rPr>
      </w:r>
    </w:p>
    <w:p>
      <w:pPr>
        <w:pStyle w:val="BodyText"/>
        <w:spacing w:line="240" w:lineRule="auto" w:before="4"/>
        <w:ind w:right="0"/>
        <w:jc w:val="left"/>
      </w:pPr>
      <w:r>
        <w:rPr/>
        <w:t>（一）公司信息</w:t>
      </w:r>
    </w:p>
    <w:p>
      <w:pPr>
        <w:spacing w:line="240" w:lineRule="auto" w:before="10"/>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公司的法定中文名称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公司的法定中文名称缩写</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公司的法定英文名称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Neusoft Corporation</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公司的法定英文名称缩写</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Neusoft</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公司法定代表人</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刘积仁</w:t>
            </w:r>
          </w:p>
        </w:tc>
      </w:tr>
    </w:tbl>
    <w:p>
      <w:pPr>
        <w:spacing w:line="240" w:lineRule="auto" w:before="11"/>
        <w:rPr>
          <w:rFonts w:ascii="宋体" w:hAnsi="宋体" w:cs="宋体" w:eastAsia="宋体" w:hint="default"/>
          <w:sz w:val="15"/>
          <w:szCs w:val="15"/>
        </w:rPr>
      </w:pPr>
    </w:p>
    <w:p>
      <w:pPr>
        <w:pStyle w:val="BodyText"/>
        <w:spacing w:line="240" w:lineRule="auto" w:before="26"/>
        <w:ind w:right="0"/>
        <w:jc w:val="left"/>
      </w:pPr>
      <w:r>
        <w:rPr/>
        <w:t>（二）联系人和联系方式</w:t>
      </w:r>
    </w:p>
    <w:p>
      <w:pPr>
        <w:spacing w:line="240" w:lineRule="auto" w:before="10"/>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236"/>
        <w:gridCol w:w="4021"/>
        <w:gridCol w:w="4022"/>
      </w:tblGrid>
      <w:tr>
        <w:trPr>
          <w:trHeight w:val="287" w:hRule="exact"/>
        </w:trPr>
        <w:tc>
          <w:tcPr>
            <w:tcW w:w="1236" w:type="dxa"/>
            <w:tcBorders>
              <w:top w:val="single" w:sz="6" w:space="0" w:color="000000"/>
              <w:left w:val="single" w:sz="6" w:space="0" w:color="000000"/>
              <w:bottom w:val="single" w:sz="6" w:space="0" w:color="000000"/>
              <w:right w:val="single" w:sz="6" w:space="0" w:color="000000"/>
            </w:tcBorders>
          </w:tcPr>
          <w:p>
            <w:pPr/>
          </w:p>
        </w:tc>
        <w:tc>
          <w:tcPr>
            <w:tcW w:w="40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40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288" w:hRule="exact"/>
        </w:trPr>
        <w:tc>
          <w:tcPr>
            <w:tcW w:w="123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40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王自栋</w:t>
            </w:r>
          </w:p>
        </w:tc>
        <w:tc>
          <w:tcPr>
            <w:tcW w:w="40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张龙</w:t>
            </w:r>
          </w:p>
        </w:tc>
      </w:tr>
      <w:tr>
        <w:trPr>
          <w:trHeight w:val="287" w:hRule="exact"/>
        </w:trPr>
        <w:tc>
          <w:tcPr>
            <w:tcW w:w="123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40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沈阳市浑南新区新秀街</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号</w:t>
            </w:r>
            <w:r>
              <w:rPr>
                <w:rFonts w:ascii="宋体" w:hAnsi="宋体" w:cs="宋体" w:eastAsia="宋体" w:hint="default"/>
                <w:spacing w:val="-1"/>
                <w:sz w:val="21"/>
                <w:szCs w:val="21"/>
              </w:rPr>
              <w:t> </w:t>
            </w:r>
            <w:r>
              <w:rPr>
                <w:rFonts w:ascii="宋体" w:hAnsi="宋体" w:cs="宋体" w:eastAsia="宋体" w:hint="default"/>
                <w:sz w:val="21"/>
                <w:szCs w:val="21"/>
              </w:rPr>
              <w:t>东软软件园</w:t>
            </w:r>
          </w:p>
        </w:tc>
        <w:tc>
          <w:tcPr>
            <w:tcW w:w="40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沈阳市浑南新区新秀街</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号</w:t>
            </w:r>
            <w:r>
              <w:rPr>
                <w:rFonts w:ascii="宋体" w:hAnsi="宋体" w:cs="宋体" w:eastAsia="宋体" w:hint="default"/>
                <w:spacing w:val="-1"/>
                <w:sz w:val="21"/>
                <w:szCs w:val="21"/>
              </w:rPr>
              <w:t> </w:t>
            </w:r>
            <w:r>
              <w:rPr>
                <w:rFonts w:ascii="宋体" w:hAnsi="宋体" w:cs="宋体" w:eastAsia="宋体" w:hint="default"/>
                <w:sz w:val="21"/>
                <w:szCs w:val="21"/>
              </w:rPr>
              <w:t>东软软件园</w:t>
            </w:r>
          </w:p>
        </w:tc>
      </w:tr>
      <w:tr>
        <w:trPr>
          <w:trHeight w:val="288" w:hRule="exact"/>
        </w:trPr>
        <w:tc>
          <w:tcPr>
            <w:tcW w:w="123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40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sz w:val="21"/>
              </w:rPr>
              <w:t>024-83662115</w:t>
            </w:r>
          </w:p>
        </w:tc>
        <w:tc>
          <w:tcPr>
            <w:tcW w:w="40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sz w:val="21"/>
              </w:rPr>
              <w:t>024-83662115</w:t>
            </w:r>
          </w:p>
        </w:tc>
      </w:tr>
      <w:tr>
        <w:trPr>
          <w:trHeight w:val="287" w:hRule="exact"/>
        </w:trPr>
        <w:tc>
          <w:tcPr>
            <w:tcW w:w="123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40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sz w:val="21"/>
              </w:rPr>
              <w:t>024-23783375</w:t>
            </w:r>
          </w:p>
        </w:tc>
        <w:tc>
          <w:tcPr>
            <w:tcW w:w="40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sz w:val="21"/>
              </w:rPr>
              <w:t>024-23783375</w:t>
            </w:r>
          </w:p>
        </w:tc>
      </w:tr>
      <w:tr>
        <w:trPr>
          <w:trHeight w:val="288" w:hRule="exact"/>
        </w:trPr>
        <w:tc>
          <w:tcPr>
            <w:tcW w:w="123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402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8">
              <w:r>
                <w:rPr>
                  <w:rFonts w:ascii="宋体"/>
                  <w:sz w:val="21"/>
                </w:rPr>
                <w:t>investor@neusoft.com</w:t>
              </w:r>
            </w:hyperlink>
          </w:p>
        </w:tc>
        <w:tc>
          <w:tcPr>
            <w:tcW w:w="40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8">
              <w:r>
                <w:rPr>
                  <w:rFonts w:ascii="宋体"/>
                  <w:sz w:val="21"/>
                </w:rPr>
                <w:t>investor@neusoft.com</w:t>
              </w:r>
            </w:hyperlink>
          </w:p>
        </w:tc>
      </w:tr>
    </w:tbl>
    <w:p>
      <w:pPr>
        <w:spacing w:line="240" w:lineRule="auto" w:before="11"/>
        <w:rPr>
          <w:rFonts w:ascii="宋体" w:hAnsi="宋体" w:cs="宋体" w:eastAsia="宋体" w:hint="default"/>
          <w:sz w:val="15"/>
          <w:szCs w:val="15"/>
        </w:rPr>
      </w:pPr>
    </w:p>
    <w:p>
      <w:pPr>
        <w:pStyle w:val="BodyText"/>
        <w:spacing w:line="240" w:lineRule="auto" w:before="26"/>
        <w:ind w:right="0"/>
        <w:jc w:val="left"/>
      </w:pPr>
      <w:r>
        <w:rPr/>
        <w:t>（三）基本情况简介</w:t>
      </w:r>
    </w:p>
    <w:p>
      <w:pPr>
        <w:spacing w:line="240" w:lineRule="auto" w:before="11"/>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注册地址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沈阳市浑南新区新秀街</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110179</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沈阳市浑南新区新秀街</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号</w:t>
            </w:r>
            <w:r>
              <w:rPr>
                <w:rFonts w:ascii="宋体" w:hAnsi="宋体" w:cs="宋体" w:eastAsia="宋体" w:hint="default"/>
                <w:spacing w:val="-1"/>
                <w:sz w:val="21"/>
                <w:szCs w:val="21"/>
              </w:rPr>
              <w:t> </w:t>
            </w:r>
            <w:r>
              <w:rPr>
                <w:rFonts w:ascii="宋体" w:hAnsi="宋体" w:cs="宋体" w:eastAsia="宋体" w:hint="default"/>
                <w:sz w:val="21"/>
                <w:szCs w:val="21"/>
              </w:rPr>
              <w:t>东软软件园</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110179</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公司国际互联网网址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9">
              <w:r>
                <w:rPr>
                  <w:rFonts w:ascii="宋体"/>
                  <w:sz w:val="21"/>
                </w:rPr>
                <w:t>http://www.neusoft.com</w:t>
              </w:r>
            </w:hyperlink>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8">
              <w:r>
                <w:rPr>
                  <w:rFonts w:ascii="宋体"/>
                  <w:sz w:val="21"/>
                </w:rPr>
                <w:t>investor@neusoft.com</w:t>
              </w:r>
            </w:hyperlink>
          </w:p>
        </w:tc>
      </w:tr>
    </w:tbl>
    <w:p>
      <w:pPr>
        <w:spacing w:line="240" w:lineRule="auto" w:before="11"/>
        <w:rPr>
          <w:rFonts w:ascii="宋体" w:hAnsi="宋体" w:cs="宋体" w:eastAsia="宋体" w:hint="default"/>
          <w:sz w:val="15"/>
          <w:szCs w:val="15"/>
        </w:rPr>
      </w:pPr>
    </w:p>
    <w:p>
      <w:pPr>
        <w:pStyle w:val="BodyText"/>
        <w:spacing w:line="240" w:lineRule="auto" w:before="26"/>
        <w:ind w:right="0"/>
        <w:jc w:val="left"/>
      </w:pPr>
      <w:r>
        <w:rPr/>
        <w:t>（四）信息披露及备置地点</w:t>
      </w:r>
    </w:p>
    <w:p>
      <w:pPr>
        <w:spacing w:line="240" w:lineRule="auto" w:before="10"/>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650"/>
        <w:gridCol w:w="4650"/>
      </w:tblGrid>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公司选定的信息披露报纸名称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《中国证券报》、《上海证券报》</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公司董事会办公室</w:t>
            </w:r>
          </w:p>
        </w:tc>
      </w:tr>
    </w:tbl>
    <w:p>
      <w:pPr>
        <w:spacing w:line="240" w:lineRule="auto" w:before="11"/>
        <w:rPr>
          <w:rFonts w:ascii="宋体" w:hAnsi="宋体" w:cs="宋体" w:eastAsia="宋体" w:hint="default"/>
          <w:sz w:val="15"/>
          <w:szCs w:val="15"/>
        </w:rPr>
      </w:pPr>
    </w:p>
    <w:p>
      <w:pPr>
        <w:pStyle w:val="BodyText"/>
        <w:spacing w:line="240" w:lineRule="auto" w:before="26"/>
        <w:ind w:right="0"/>
        <w:jc w:val="left"/>
      </w:pPr>
      <w:r>
        <w:rPr/>
        <w:t>（五）公司股票简况</w:t>
      </w:r>
    </w:p>
    <w:p>
      <w:pPr>
        <w:spacing w:line="240" w:lineRule="auto" w:before="10"/>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860"/>
        <w:gridCol w:w="1860"/>
        <w:gridCol w:w="1860"/>
        <w:gridCol w:w="1428"/>
        <w:gridCol w:w="2292"/>
      </w:tblGrid>
      <w:tr>
        <w:trPr>
          <w:trHeight w:val="288" w:hRule="exact"/>
        </w:trPr>
        <w:tc>
          <w:tcPr>
            <w:tcW w:w="9300" w:type="dxa"/>
            <w:gridSpan w:val="5"/>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公司股票简况</w:t>
            </w:r>
          </w:p>
        </w:tc>
      </w:tr>
      <w:tr>
        <w:trPr>
          <w:trHeight w:val="287"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股票种类</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86"/>
              <w:jc w:val="right"/>
              <w:rPr>
                <w:rFonts w:ascii="宋体" w:hAnsi="宋体" w:cs="宋体" w:eastAsia="宋体" w:hint="default"/>
                <w:sz w:val="21"/>
                <w:szCs w:val="21"/>
              </w:rPr>
            </w:pPr>
            <w:r>
              <w:rPr>
                <w:rFonts w:ascii="宋体" w:hAnsi="宋体" w:cs="宋体" w:eastAsia="宋体" w:hint="default"/>
                <w:sz w:val="21"/>
                <w:szCs w:val="21"/>
              </w:rPr>
              <w:t>股票上市交易所</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股票简称</w:t>
            </w:r>
          </w:p>
        </w:tc>
        <w:tc>
          <w:tcPr>
            <w:tcW w:w="14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股票代码</w:t>
            </w:r>
          </w:p>
        </w:tc>
        <w:tc>
          <w:tcPr>
            <w:tcW w:w="22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变更前股票简称</w:t>
            </w:r>
          </w:p>
        </w:tc>
      </w:tr>
      <w:tr>
        <w:trPr>
          <w:trHeight w:val="28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A</w:t>
            </w:r>
            <w:r>
              <w:rPr>
                <w:rFonts w:ascii="宋体" w:hAnsi="宋体" w:cs="宋体" w:eastAsia="宋体" w:hint="default"/>
                <w:spacing w:val="-52"/>
                <w:sz w:val="21"/>
                <w:szCs w:val="21"/>
              </w:rPr>
              <w:t> </w:t>
            </w:r>
            <w:r>
              <w:rPr>
                <w:rFonts w:ascii="宋体" w:hAnsi="宋体" w:cs="宋体" w:eastAsia="宋体" w:hint="default"/>
                <w:sz w:val="21"/>
                <w:szCs w:val="21"/>
              </w:rPr>
              <w:t>股</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85"/>
              <w:jc w:val="right"/>
              <w:rPr>
                <w:rFonts w:ascii="宋体" w:hAnsi="宋体" w:cs="宋体" w:eastAsia="宋体" w:hint="default"/>
                <w:sz w:val="21"/>
                <w:szCs w:val="21"/>
              </w:rPr>
            </w:pPr>
            <w:r>
              <w:rPr>
                <w:rFonts w:ascii="宋体" w:hAnsi="宋体" w:cs="宋体" w:eastAsia="宋体" w:hint="default"/>
                <w:sz w:val="21"/>
                <w:szCs w:val="21"/>
              </w:rPr>
              <w:t>上海证券交易所</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东软集团</w:t>
            </w:r>
          </w:p>
        </w:tc>
        <w:tc>
          <w:tcPr>
            <w:tcW w:w="14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600718</w:t>
            </w:r>
          </w:p>
        </w:tc>
        <w:tc>
          <w:tcPr>
            <w:tcW w:w="22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东软股份、东大阿派</w:t>
            </w:r>
          </w:p>
        </w:tc>
      </w:tr>
    </w:tbl>
    <w:p>
      <w:pPr>
        <w:spacing w:line="240" w:lineRule="auto" w:before="11"/>
        <w:rPr>
          <w:rFonts w:ascii="宋体" w:hAnsi="宋体" w:cs="宋体" w:eastAsia="宋体" w:hint="default"/>
          <w:sz w:val="15"/>
          <w:szCs w:val="15"/>
        </w:rPr>
      </w:pPr>
    </w:p>
    <w:p>
      <w:pPr>
        <w:pStyle w:val="BodyText"/>
        <w:spacing w:line="240" w:lineRule="auto" w:before="26"/>
        <w:ind w:right="0"/>
        <w:jc w:val="left"/>
      </w:pPr>
      <w:r>
        <w:rPr/>
        <w:t>（六）其他有关资料</w:t>
      </w:r>
    </w:p>
    <w:p>
      <w:pPr>
        <w:spacing w:line="240" w:lineRule="auto" w:before="10"/>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4709"/>
        <w:gridCol w:w="4591"/>
      </w:tblGrid>
      <w:tr>
        <w:trPr>
          <w:trHeight w:val="288" w:hRule="exact"/>
        </w:trPr>
        <w:tc>
          <w:tcPr>
            <w:tcW w:w="47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公司首次注册日期</w:t>
            </w:r>
          </w:p>
        </w:tc>
        <w:tc>
          <w:tcPr>
            <w:tcW w:w="45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1991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17</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287" w:hRule="exact"/>
        </w:trPr>
        <w:tc>
          <w:tcPr>
            <w:tcW w:w="47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公司首次注册地点</w:t>
            </w:r>
          </w:p>
        </w:tc>
        <w:tc>
          <w:tcPr>
            <w:tcW w:w="45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沈阳市和平区文化路</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号巷</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3"/>
                <w:sz w:val="21"/>
                <w:szCs w:val="21"/>
              </w:rPr>
              <w:t> </w:t>
            </w:r>
            <w:r>
              <w:rPr>
                <w:rFonts w:ascii="宋体" w:hAnsi="宋体" w:cs="宋体" w:eastAsia="宋体" w:hint="default"/>
                <w:sz w:val="21"/>
                <w:szCs w:val="21"/>
              </w:rPr>
              <w:t>号</w:t>
            </w:r>
          </w:p>
        </w:tc>
      </w:tr>
      <w:tr>
        <w:trPr>
          <w:trHeight w:val="288" w:hRule="exact"/>
        </w:trPr>
        <w:tc>
          <w:tcPr>
            <w:tcW w:w="47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公司变更注册日期</w:t>
            </w:r>
          </w:p>
        </w:tc>
        <w:tc>
          <w:tcPr>
            <w:tcW w:w="45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20</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287" w:hRule="exact"/>
        </w:trPr>
        <w:tc>
          <w:tcPr>
            <w:tcW w:w="47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公司变更注册地点</w:t>
            </w:r>
          </w:p>
        </w:tc>
        <w:tc>
          <w:tcPr>
            <w:tcW w:w="45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沈阳市浑南新区新秀街</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288" w:hRule="exact"/>
        </w:trPr>
        <w:tc>
          <w:tcPr>
            <w:tcW w:w="47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企业法人营业执照注册号</w:t>
            </w:r>
          </w:p>
        </w:tc>
        <w:tc>
          <w:tcPr>
            <w:tcW w:w="45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210100402001491</w:t>
            </w:r>
          </w:p>
        </w:tc>
      </w:tr>
      <w:tr>
        <w:trPr>
          <w:trHeight w:val="287" w:hRule="exact"/>
        </w:trPr>
        <w:tc>
          <w:tcPr>
            <w:tcW w:w="47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税务登记号码</w:t>
            </w:r>
          </w:p>
        </w:tc>
        <w:tc>
          <w:tcPr>
            <w:tcW w:w="45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210132604608172</w:t>
            </w:r>
          </w:p>
        </w:tc>
      </w:tr>
      <w:tr>
        <w:trPr>
          <w:trHeight w:val="288" w:hRule="exact"/>
        </w:trPr>
        <w:tc>
          <w:tcPr>
            <w:tcW w:w="47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45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60460817-2</w:t>
            </w:r>
          </w:p>
        </w:tc>
      </w:tr>
      <w:tr>
        <w:trPr>
          <w:trHeight w:val="287" w:hRule="exact"/>
        </w:trPr>
        <w:tc>
          <w:tcPr>
            <w:tcW w:w="47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公司聘请的境内会计师事务所名称</w:t>
            </w:r>
          </w:p>
        </w:tc>
        <w:tc>
          <w:tcPr>
            <w:tcW w:w="45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立信会计师事务所有限公司</w:t>
            </w:r>
          </w:p>
        </w:tc>
      </w:tr>
      <w:tr>
        <w:trPr>
          <w:trHeight w:val="288" w:hRule="exact"/>
        </w:trPr>
        <w:tc>
          <w:tcPr>
            <w:tcW w:w="47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公司聘请的境内会计师事务所办公地址</w:t>
            </w:r>
          </w:p>
        </w:tc>
        <w:tc>
          <w:tcPr>
            <w:tcW w:w="459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上海市南京东路</w:t>
            </w:r>
            <w:r>
              <w:rPr>
                <w:rFonts w:ascii="宋体" w:hAnsi="宋体" w:cs="宋体" w:eastAsia="宋体" w:hint="default"/>
                <w:spacing w:val="-57"/>
                <w:sz w:val="21"/>
                <w:szCs w:val="21"/>
              </w:rPr>
              <w:t> </w:t>
            </w:r>
            <w:r>
              <w:rPr>
                <w:rFonts w:ascii="宋体" w:hAnsi="宋体" w:cs="宋体" w:eastAsia="宋体" w:hint="default"/>
                <w:sz w:val="21"/>
                <w:szCs w:val="21"/>
              </w:rPr>
              <w:t>61</w:t>
            </w:r>
            <w:r>
              <w:rPr>
                <w:rFonts w:ascii="宋体" w:hAnsi="宋体" w:cs="宋体" w:eastAsia="宋体" w:hint="default"/>
                <w:spacing w:val="-56"/>
                <w:sz w:val="21"/>
                <w:szCs w:val="21"/>
              </w:rPr>
              <w:t> </w:t>
            </w:r>
            <w:r>
              <w:rPr>
                <w:rFonts w:ascii="宋体" w:hAnsi="宋体" w:cs="宋体" w:eastAsia="宋体" w:hint="default"/>
                <w:sz w:val="21"/>
                <w:szCs w:val="21"/>
              </w:rPr>
              <w:t>号新黄浦金融大厦</w:t>
            </w:r>
            <w:r>
              <w:rPr>
                <w:rFonts w:ascii="宋体" w:hAnsi="宋体" w:cs="宋体" w:eastAsia="宋体" w:hint="default"/>
                <w:spacing w:val="-57"/>
                <w:sz w:val="21"/>
                <w:szCs w:val="21"/>
              </w:rPr>
              <w:t> </w:t>
            </w:r>
            <w:r>
              <w:rPr>
                <w:rFonts w:ascii="宋体" w:hAnsi="宋体" w:cs="宋体" w:eastAsia="宋体" w:hint="default"/>
                <w:sz w:val="21"/>
                <w:szCs w:val="21"/>
              </w:rPr>
              <w:t>4</w:t>
            </w:r>
            <w:r>
              <w:rPr>
                <w:rFonts w:ascii="宋体" w:hAnsi="宋体" w:cs="宋体" w:eastAsia="宋体" w:hint="default"/>
                <w:spacing w:val="-56"/>
                <w:sz w:val="21"/>
                <w:szCs w:val="21"/>
              </w:rPr>
              <w:t> </w:t>
            </w:r>
            <w:r>
              <w:rPr>
                <w:rFonts w:ascii="宋体" w:hAnsi="宋体" w:cs="宋体" w:eastAsia="宋体" w:hint="default"/>
                <w:sz w:val="21"/>
                <w:szCs w:val="21"/>
              </w:rPr>
              <w:t>楼</w:t>
            </w:r>
          </w:p>
        </w:tc>
      </w:tr>
    </w:tbl>
    <w:p>
      <w:pPr>
        <w:spacing w:after="0" w:line="241" w:lineRule="exact"/>
        <w:jc w:val="left"/>
        <w:rPr>
          <w:rFonts w:ascii="宋体" w:hAnsi="宋体" w:cs="宋体" w:eastAsia="宋体" w:hint="default"/>
          <w:sz w:val="21"/>
          <w:szCs w:val="21"/>
        </w:rPr>
        <w:sectPr>
          <w:pgSz w:w="11910" w:h="16840"/>
          <w:pgMar w:header="720" w:footer="721" w:top="1100" w:bottom="920" w:left="1220" w:right="112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720" w:footer="721" w:top="1100" w:bottom="920" w:left="1120" w:right="1040"/>
        </w:sectPr>
      </w:pPr>
    </w:p>
    <w:p>
      <w:pPr>
        <w:pStyle w:val="Heading5"/>
        <w:spacing w:line="240" w:lineRule="auto"/>
        <w:ind w:left="240" w:right="0"/>
        <w:jc w:val="left"/>
        <w:rPr>
          <w:b w:val="0"/>
          <w:bCs w:val="0"/>
        </w:rPr>
      </w:pPr>
      <w:bookmarkStart w:name="_bookmark2" w:id="4"/>
      <w:bookmarkEnd w:id="4"/>
      <w:r>
        <w:rPr>
          <w:b w:val="0"/>
          <w:bCs w:val="0"/>
        </w:rPr>
      </w:r>
      <w:r>
        <w:rPr>
          <w:w w:val="95"/>
        </w:rPr>
        <w:t>三、会计数据和业务数据摘要</w:t>
      </w:r>
      <w:r>
        <w:rPr>
          <w:b w:val="0"/>
          <w:bCs w:val="0"/>
        </w:rPr>
      </w:r>
    </w:p>
    <w:p>
      <w:pPr>
        <w:pStyle w:val="BodyText"/>
        <w:spacing w:line="240" w:lineRule="auto" w:before="4"/>
        <w:ind w:left="240" w:right="0"/>
        <w:jc w:val="left"/>
      </w:pPr>
      <w:r>
        <w:rPr/>
        <w:t>（一）主要会计数据</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before="175"/>
        <w:ind w:left="24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120" w:right="1040"/>
          <w:cols w:num="2" w:equalWidth="0">
            <w:col w:w="3896" w:space="3142"/>
            <w:col w:w="2712"/>
          </w:cols>
        </w:sectPr>
      </w:pPr>
    </w:p>
    <w:p>
      <w:pPr>
        <w:spacing w:line="240" w:lineRule="auto" w:before="7"/>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5543"/>
        <w:gridCol w:w="3966"/>
      </w:tblGrid>
      <w:tr>
        <w:trPr>
          <w:trHeight w:val="287" w:hRule="exact"/>
        </w:trPr>
        <w:tc>
          <w:tcPr>
            <w:tcW w:w="55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9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r>
      <w:tr>
        <w:trPr>
          <w:trHeight w:val="275" w:hRule="exact"/>
        </w:trPr>
        <w:tc>
          <w:tcPr>
            <w:tcW w:w="554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营业利润</w:t>
            </w:r>
          </w:p>
        </w:tc>
        <w:tc>
          <w:tcPr>
            <w:tcW w:w="396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9"/>
              <w:jc w:val="right"/>
              <w:rPr>
                <w:rFonts w:ascii="宋体" w:hAnsi="宋体" w:cs="宋体" w:eastAsia="宋体" w:hint="default"/>
                <w:sz w:val="20"/>
                <w:szCs w:val="20"/>
              </w:rPr>
            </w:pPr>
            <w:r>
              <w:rPr>
                <w:rFonts w:ascii="宋体"/>
                <w:spacing w:val="-1"/>
                <w:sz w:val="20"/>
              </w:rPr>
              <w:t>671,687,541</w:t>
            </w:r>
          </w:p>
        </w:tc>
      </w:tr>
      <w:tr>
        <w:trPr>
          <w:trHeight w:val="275" w:hRule="exact"/>
        </w:trPr>
        <w:tc>
          <w:tcPr>
            <w:tcW w:w="554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利润总额</w:t>
            </w:r>
          </w:p>
        </w:tc>
        <w:tc>
          <w:tcPr>
            <w:tcW w:w="396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9"/>
              <w:jc w:val="right"/>
              <w:rPr>
                <w:rFonts w:ascii="宋体" w:hAnsi="宋体" w:cs="宋体" w:eastAsia="宋体" w:hint="default"/>
                <w:sz w:val="20"/>
                <w:szCs w:val="20"/>
              </w:rPr>
            </w:pPr>
            <w:r>
              <w:rPr>
                <w:rFonts w:ascii="宋体"/>
                <w:spacing w:val="-1"/>
                <w:sz w:val="20"/>
              </w:rPr>
              <w:t>727,756,717</w:t>
            </w:r>
          </w:p>
        </w:tc>
      </w:tr>
      <w:tr>
        <w:trPr>
          <w:trHeight w:val="274" w:hRule="exact"/>
        </w:trPr>
        <w:tc>
          <w:tcPr>
            <w:tcW w:w="554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归属于上市公司股东的净利润</w:t>
            </w:r>
          </w:p>
        </w:tc>
        <w:tc>
          <w:tcPr>
            <w:tcW w:w="396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9"/>
              <w:jc w:val="right"/>
              <w:rPr>
                <w:rFonts w:ascii="宋体" w:hAnsi="宋体" w:cs="宋体" w:eastAsia="宋体" w:hint="default"/>
                <w:sz w:val="20"/>
                <w:szCs w:val="20"/>
              </w:rPr>
            </w:pPr>
            <w:r>
              <w:rPr>
                <w:rFonts w:ascii="宋体"/>
                <w:spacing w:val="-1"/>
                <w:sz w:val="20"/>
              </w:rPr>
              <w:t>640,564,034</w:t>
            </w:r>
          </w:p>
        </w:tc>
      </w:tr>
      <w:tr>
        <w:trPr>
          <w:trHeight w:val="275" w:hRule="exact"/>
        </w:trPr>
        <w:tc>
          <w:tcPr>
            <w:tcW w:w="554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归属于上市公司股东的扣除非经常性损益后的净利润</w:t>
            </w:r>
          </w:p>
        </w:tc>
        <w:tc>
          <w:tcPr>
            <w:tcW w:w="396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9"/>
              <w:jc w:val="right"/>
              <w:rPr>
                <w:rFonts w:ascii="宋体" w:hAnsi="宋体" w:cs="宋体" w:eastAsia="宋体" w:hint="default"/>
                <w:sz w:val="20"/>
                <w:szCs w:val="20"/>
              </w:rPr>
            </w:pPr>
            <w:r>
              <w:rPr>
                <w:rFonts w:ascii="宋体"/>
                <w:spacing w:val="-1"/>
                <w:sz w:val="20"/>
              </w:rPr>
              <w:t>521,794,633</w:t>
            </w:r>
          </w:p>
        </w:tc>
      </w:tr>
      <w:tr>
        <w:trPr>
          <w:trHeight w:val="275" w:hRule="exact"/>
        </w:trPr>
        <w:tc>
          <w:tcPr>
            <w:tcW w:w="554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经营活动产生的现金流量净额</w:t>
            </w:r>
          </w:p>
        </w:tc>
        <w:tc>
          <w:tcPr>
            <w:tcW w:w="396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9"/>
              <w:jc w:val="right"/>
              <w:rPr>
                <w:rFonts w:ascii="宋体" w:hAnsi="宋体" w:cs="宋体" w:eastAsia="宋体" w:hint="default"/>
                <w:sz w:val="20"/>
                <w:szCs w:val="20"/>
              </w:rPr>
            </w:pPr>
            <w:r>
              <w:rPr>
                <w:rFonts w:ascii="宋体"/>
                <w:spacing w:val="-1"/>
                <w:sz w:val="20"/>
              </w:rPr>
              <w:t>772,564,482</w:t>
            </w:r>
          </w:p>
        </w:tc>
      </w:tr>
    </w:tbl>
    <w:p>
      <w:pPr>
        <w:spacing w:line="240" w:lineRule="auto" w:before="11"/>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type w:val="continuous"/>
          <w:pgSz w:w="11910" w:h="16840"/>
          <w:pgMar w:top="1600" w:bottom="280" w:left="1120" w:right="1040"/>
        </w:sectPr>
      </w:pPr>
    </w:p>
    <w:p>
      <w:pPr>
        <w:pStyle w:val="BodyText"/>
        <w:spacing w:line="240" w:lineRule="auto" w:before="26"/>
        <w:ind w:left="240" w:right="-20"/>
        <w:jc w:val="left"/>
      </w:pPr>
      <w:r>
        <w:rPr/>
        <w:t>（二）非经常性损益项目和金额</w:t>
      </w:r>
    </w:p>
    <w:p>
      <w:pPr>
        <w:spacing w:line="240" w:lineRule="auto" w:before="0"/>
        <w:rPr>
          <w:rFonts w:ascii="宋体" w:hAnsi="宋体" w:cs="宋体" w:eastAsia="宋体" w:hint="default"/>
          <w:sz w:val="26"/>
          <w:szCs w:val="26"/>
        </w:rPr>
      </w:pPr>
      <w:r>
        <w:rPr/>
        <w:br w:type="column"/>
      </w:r>
      <w:r>
        <w:rPr>
          <w:rFonts w:ascii="宋体"/>
          <w:sz w:val="26"/>
        </w:rPr>
      </w:r>
    </w:p>
    <w:p>
      <w:pPr>
        <w:spacing w:before="0"/>
        <w:ind w:left="24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120" w:right="1040"/>
          <w:cols w:num="2" w:equalWidth="0">
            <w:col w:w="3601" w:space="3437"/>
            <w:col w:w="2712"/>
          </w:cols>
        </w:sectPr>
      </w:pPr>
    </w:p>
    <w:p>
      <w:pPr>
        <w:spacing w:line="240" w:lineRule="auto" w:before="7"/>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545"/>
        <w:gridCol w:w="4099"/>
        <w:gridCol w:w="1207"/>
        <w:gridCol w:w="3607"/>
      </w:tblGrid>
      <w:tr>
        <w:trPr>
          <w:trHeight w:val="558" w:hRule="exact"/>
        </w:trPr>
        <w:tc>
          <w:tcPr>
            <w:tcW w:w="545" w:type="dxa"/>
            <w:tcBorders>
              <w:top w:val="single" w:sz="6" w:space="0" w:color="000000"/>
              <w:left w:val="single" w:sz="6" w:space="0" w:color="000000"/>
              <w:bottom w:val="single" w:sz="4" w:space="0" w:color="000000"/>
              <w:right w:val="single" w:sz="6" w:space="0" w:color="000000"/>
            </w:tcBorders>
          </w:tcPr>
          <w:p>
            <w:pPr>
              <w:pStyle w:val="TableParagraph"/>
              <w:spacing w:line="239" w:lineRule="exact"/>
              <w:ind w:left="159" w:right="0"/>
              <w:jc w:val="left"/>
              <w:rPr>
                <w:rFonts w:ascii="宋体" w:hAnsi="宋体" w:cs="宋体" w:eastAsia="宋体" w:hint="default"/>
                <w:sz w:val="21"/>
                <w:szCs w:val="21"/>
              </w:rPr>
            </w:pPr>
            <w:r>
              <w:rPr>
                <w:rFonts w:ascii="宋体" w:hAnsi="宋体" w:cs="宋体" w:eastAsia="宋体" w:hint="default"/>
                <w:b/>
                <w:bCs/>
                <w:w w:val="99"/>
                <w:sz w:val="21"/>
                <w:szCs w:val="21"/>
              </w:rPr>
              <w:t>序</w:t>
            </w:r>
            <w:r>
              <w:rPr>
                <w:rFonts w:ascii="宋体" w:hAnsi="宋体" w:cs="宋体" w:eastAsia="宋体" w:hint="default"/>
                <w:sz w:val="21"/>
                <w:szCs w:val="21"/>
              </w:rPr>
            </w:r>
          </w:p>
          <w:p>
            <w:pPr>
              <w:pStyle w:val="TableParagraph"/>
              <w:spacing w:line="274" w:lineRule="exact"/>
              <w:ind w:left="159" w:right="0"/>
              <w:jc w:val="left"/>
              <w:rPr>
                <w:rFonts w:ascii="宋体" w:hAnsi="宋体" w:cs="宋体" w:eastAsia="宋体" w:hint="default"/>
                <w:sz w:val="21"/>
                <w:szCs w:val="21"/>
              </w:rPr>
            </w:pPr>
            <w:r>
              <w:rPr>
                <w:rFonts w:ascii="宋体" w:hAnsi="宋体" w:cs="宋体" w:eastAsia="宋体" w:hint="default"/>
                <w:b/>
                <w:bCs/>
                <w:w w:val="99"/>
                <w:sz w:val="21"/>
                <w:szCs w:val="21"/>
              </w:rPr>
              <w:t>号</w:t>
            </w:r>
            <w:r>
              <w:rPr>
                <w:rFonts w:ascii="宋体" w:hAnsi="宋体" w:cs="宋体" w:eastAsia="宋体" w:hint="default"/>
                <w:sz w:val="21"/>
                <w:szCs w:val="21"/>
              </w:rPr>
            </w:r>
          </w:p>
        </w:tc>
        <w:tc>
          <w:tcPr>
            <w:tcW w:w="4099"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01"/>
              <w:ind w:left="1198" w:right="0"/>
              <w:jc w:val="left"/>
              <w:rPr>
                <w:rFonts w:ascii="宋体" w:hAnsi="宋体" w:cs="宋体" w:eastAsia="宋体" w:hint="default"/>
                <w:sz w:val="21"/>
                <w:szCs w:val="21"/>
              </w:rPr>
            </w:pPr>
            <w:r>
              <w:rPr>
                <w:rFonts w:ascii="宋体" w:hAnsi="宋体" w:cs="宋体" w:eastAsia="宋体" w:hint="default"/>
                <w:b/>
                <w:bCs/>
                <w:sz w:val="21"/>
                <w:szCs w:val="21"/>
              </w:rPr>
              <w:t>非经常性损益项目</w:t>
            </w:r>
            <w:r>
              <w:rPr>
                <w:rFonts w:ascii="宋体" w:hAnsi="宋体" w:cs="宋体" w:eastAsia="宋体" w:hint="default"/>
                <w:sz w:val="21"/>
                <w:szCs w:val="21"/>
              </w:rPr>
            </w:r>
          </w:p>
        </w:tc>
        <w:tc>
          <w:tcPr>
            <w:tcW w:w="1207"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01"/>
              <w:ind w:left="385"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3607"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b/>
                <w:bCs/>
                <w:sz w:val="21"/>
                <w:szCs w:val="21"/>
              </w:rPr>
              <w:t>说明</w:t>
            </w:r>
            <w:r>
              <w:rPr>
                <w:rFonts w:ascii="宋体" w:hAnsi="宋体" w:cs="宋体" w:eastAsia="宋体" w:hint="default"/>
                <w:sz w:val="21"/>
                <w:szCs w:val="21"/>
              </w:rPr>
            </w:r>
          </w:p>
        </w:tc>
      </w:tr>
      <w:tr>
        <w:trPr>
          <w:trHeight w:val="476" w:hRule="exact"/>
        </w:trPr>
        <w:tc>
          <w:tcPr>
            <w:tcW w:w="545"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127"/>
              <w:ind w:right="0"/>
              <w:jc w:val="center"/>
              <w:rPr>
                <w:rFonts w:ascii="Arial" w:hAnsi="Arial" w:cs="Arial" w:eastAsia="Arial" w:hint="default"/>
                <w:sz w:val="18"/>
                <w:szCs w:val="18"/>
              </w:rPr>
            </w:pPr>
            <w:r>
              <w:rPr>
                <w:rFonts w:ascii="Arial"/>
                <w:w w:val="99"/>
                <w:sz w:val="18"/>
              </w:rPr>
              <w:t>1</w:t>
            </w:r>
            <w:r>
              <w:rPr>
                <w:rFonts w:ascii="Arial"/>
                <w:sz w:val="18"/>
              </w:rPr>
            </w:r>
          </w:p>
        </w:tc>
        <w:tc>
          <w:tcPr>
            <w:tcW w:w="4099"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86"/>
              <w:ind w:left="100"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207"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86"/>
              <w:ind w:right="98"/>
              <w:jc w:val="right"/>
              <w:rPr>
                <w:rFonts w:ascii="宋体" w:hAnsi="宋体" w:cs="宋体" w:eastAsia="宋体" w:hint="default"/>
                <w:sz w:val="18"/>
                <w:szCs w:val="18"/>
              </w:rPr>
            </w:pPr>
            <w:r>
              <w:rPr>
                <w:rFonts w:ascii="宋体"/>
                <w:sz w:val="18"/>
              </w:rPr>
              <w:t>-7,903,766</w:t>
            </w:r>
          </w:p>
        </w:tc>
        <w:tc>
          <w:tcPr>
            <w:tcW w:w="3607" w:type="dxa"/>
            <w:tcBorders>
              <w:top w:val="single" w:sz="4" w:space="0" w:color="000000"/>
              <w:left w:val="single" w:sz="6" w:space="0" w:color="000000"/>
              <w:bottom w:val="single" w:sz="4" w:space="0" w:color="000000"/>
              <w:right w:val="single" w:sz="6"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处置固定资产、无形资产及长期股权投资形</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成的损失</w:t>
            </w:r>
          </w:p>
        </w:tc>
      </w:tr>
      <w:tr>
        <w:trPr>
          <w:trHeight w:val="478" w:hRule="exact"/>
        </w:trPr>
        <w:tc>
          <w:tcPr>
            <w:tcW w:w="545"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127"/>
              <w:ind w:right="0"/>
              <w:jc w:val="center"/>
              <w:rPr>
                <w:rFonts w:ascii="Arial" w:hAnsi="Arial" w:cs="Arial" w:eastAsia="Arial" w:hint="default"/>
                <w:sz w:val="18"/>
                <w:szCs w:val="18"/>
              </w:rPr>
            </w:pPr>
            <w:r>
              <w:rPr>
                <w:rFonts w:ascii="Arial"/>
                <w:w w:val="99"/>
                <w:sz w:val="18"/>
              </w:rPr>
              <w:t>2</w:t>
            </w:r>
            <w:r>
              <w:rPr>
                <w:rFonts w:ascii="Arial"/>
                <w:sz w:val="18"/>
              </w:rPr>
            </w:r>
          </w:p>
        </w:tc>
        <w:tc>
          <w:tcPr>
            <w:tcW w:w="4099"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86"/>
              <w:ind w:left="100" w:right="0"/>
              <w:jc w:val="left"/>
              <w:rPr>
                <w:rFonts w:ascii="宋体" w:hAnsi="宋体" w:cs="宋体" w:eastAsia="宋体" w:hint="default"/>
                <w:sz w:val="18"/>
                <w:szCs w:val="18"/>
              </w:rPr>
            </w:pPr>
            <w:r>
              <w:rPr>
                <w:rFonts w:ascii="宋体" w:hAnsi="宋体" w:cs="宋体" w:eastAsia="宋体" w:hint="default"/>
                <w:sz w:val="18"/>
                <w:szCs w:val="18"/>
              </w:rPr>
              <w:t>计入当期损益的政府补贴</w:t>
            </w:r>
          </w:p>
        </w:tc>
        <w:tc>
          <w:tcPr>
            <w:tcW w:w="1207"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86"/>
              <w:ind w:right="98"/>
              <w:jc w:val="right"/>
              <w:rPr>
                <w:rFonts w:ascii="宋体" w:hAnsi="宋体" w:cs="宋体" w:eastAsia="宋体" w:hint="default"/>
                <w:sz w:val="18"/>
                <w:szCs w:val="18"/>
              </w:rPr>
            </w:pPr>
            <w:r>
              <w:rPr>
                <w:rFonts w:ascii="宋体"/>
                <w:sz w:val="18"/>
              </w:rPr>
              <w:t>38,968,688</w:t>
            </w:r>
          </w:p>
        </w:tc>
        <w:tc>
          <w:tcPr>
            <w:tcW w:w="3607" w:type="dxa"/>
            <w:tcBorders>
              <w:top w:val="single" w:sz="4" w:space="0" w:color="000000"/>
              <w:left w:val="single" w:sz="6" w:space="0" w:color="000000"/>
              <w:bottom w:val="single" w:sz="4" w:space="0" w:color="000000"/>
              <w:right w:val="single" w:sz="6"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pacing w:val="8"/>
                <w:sz w:val="18"/>
                <w:szCs w:val="18"/>
              </w:rPr>
              <w:t>主要为计入损益的科研项目政府补助以及</w:t>
            </w:r>
            <w:r>
              <w:rPr>
                <w:rFonts w:ascii="宋体" w:hAnsi="宋体" w:cs="宋体" w:eastAsia="宋体" w:hint="default"/>
                <w:sz w:val="18"/>
                <w:szCs w:val="18"/>
              </w:rPr>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政府拨付的各项基金补贴</w:t>
            </w:r>
          </w:p>
        </w:tc>
      </w:tr>
      <w:tr>
        <w:trPr>
          <w:trHeight w:val="712" w:hRule="exact"/>
        </w:trPr>
        <w:tc>
          <w:tcPr>
            <w:tcW w:w="545"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center"/>
              <w:rPr>
                <w:rFonts w:ascii="Arial" w:hAnsi="Arial" w:cs="Arial" w:eastAsia="Arial" w:hint="default"/>
                <w:sz w:val="18"/>
                <w:szCs w:val="18"/>
              </w:rPr>
            </w:pPr>
            <w:r>
              <w:rPr>
                <w:rFonts w:ascii="Arial"/>
                <w:w w:val="99"/>
                <w:sz w:val="18"/>
              </w:rPr>
              <w:t>3</w:t>
            </w:r>
            <w:r>
              <w:rPr>
                <w:rFonts w:ascii="Arial"/>
                <w:sz w:val="18"/>
              </w:rPr>
            </w:r>
          </w:p>
        </w:tc>
        <w:tc>
          <w:tcPr>
            <w:tcW w:w="4099"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1207"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7,730,763</w:t>
            </w:r>
          </w:p>
        </w:tc>
        <w:tc>
          <w:tcPr>
            <w:tcW w:w="3607" w:type="dxa"/>
            <w:tcBorders>
              <w:top w:val="single" w:sz="4" w:space="0" w:color="000000"/>
              <w:left w:val="single" w:sz="6" w:space="0" w:color="000000"/>
              <w:bottom w:val="single" w:sz="6" w:space="0" w:color="000000"/>
              <w:right w:val="single" w:sz="6"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收取南海东软信息技术职业学院、成都东软</w:t>
            </w:r>
          </w:p>
          <w:p>
            <w:pPr>
              <w:pStyle w:val="TableParagraph"/>
              <w:spacing w:line="240" w:lineRule="auto"/>
              <w:ind w:left="100" w:right="92"/>
              <w:jc w:val="left"/>
              <w:rPr>
                <w:rFonts w:ascii="宋体" w:hAnsi="宋体" w:cs="宋体" w:eastAsia="宋体" w:hint="default"/>
                <w:sz w:val="18"/>
                <w:szCs w:val="18"/>
              </w:rPr>
            </w:pPr>
            <w:r>
              <w:rPr>
                <w:rFonts w:ascii="宋体" w:hAnsi="宋体" w:cs="宋体" w:eastAsia="宋体" w:hint="default"/>
                <w:spacing w:val="8"/>
                <w:sz w:val="18"/>
                <w:szCs w:val="18"/>
              </w:rPr>
              <w:t>信息技术职业学院以前期资产转让款延期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付款部分的资金占用费</w:t>
            </w:r>
          </w:p>
        </w:tc>
      </w:tr>
      <w:tr>
        <w:trPr>
          <w:trHeight w:val="716" w:hRule="exact"/>
        </w:trPr>
        <w:tc>
          <w:tcPr>
            <w:tcW w:w="5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center"/>
              <w:rPr>
                <w:rFonts w:ascii="Arial" w:hAnsi="Arial" w:cs="Arial" w:eastAsia="Arial" w:hint="default"/>
                <w:sz w:val="18"/>
                <w:szCs w:val="18"/>
              </w:rPr>
            </w:pPr>
            <w:r>
              <w:rPr>
                <w:rFonts w:ascii="Arial"/>
                <w:w w:val="99"/>
                <w:sz w:val="18"/>
              </w:rPr>
              <w:t>4</w:t>
            </w:r>
            <w:r>
              <w:rPr>
                <w:rFonts w:ascii="Arial"/>
                <w:sz w:val="18"/>
              </w:rPr>
            </w:r>
          </w:p>
        </w:tc>
        <w:tc>
          <w:tcPr>
            <w:tcW w:w="40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12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13,400,000</w:t>
            </w:r>
          </w:p>
        </w:tc>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8"/>
                <w:sz w:val="18"/>
                <w:szCs w:val="18"/>
              </w:rPr>
              <w:t>本集团之子公司成都东软信息技术发展有</w:t>
            </w:r>
            <w:r>
              <w:rPr>
                <w:rFonts w:ascii="宋体" w:hAnsi="宋体" w:cs="宋体" w:eastAsia="宋体" w:hint="default"/>
                <w:sz w:val="18"/>
                <w:szCs w:val="18"/>
              </w:rPr>
            </w:r>
          </w:p>
          <w:p>
            <w:pPr>
              <w:pStyle w:val="TableParagraph"/>
              <w:spacing w:line="240" w:lineRule="auto"/>
              <w:ind w:left="100" w:right="92"/>
              <w:jc w:val="left"/>
              <w:rPr>
                <w:rFonts w:ascii="宋体" w:hAnsi="宋体" w:cs="宋体" w:eastAsia="宋体" w:hint="default"/>
                <w:sz w:val="18"/>
                <w:szCs w:val="18"/>
              </w:rPr>
            </w:pPr>
            <w:r>
              <w:rPr>
                <w:rFonts w:ascii="宋体" w:hAnsi="宋体" w:cs="宋体" w:eastAsia="宋体" w:hint="default"/>
                <w:spacing w:val="8"/>
                <w:sz w:val="18"/>
                <w:szCs w:val="18"/>
              </w:rPr>
              <w:t>限公司于上年计提的长期应收款坏账准备</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本期转回</w:t>
            </w:r>
            <w:r>
              <w:rPr>
                <w:rFonts w:ascii="宋体" w:hAnsi="宋体" w:cs="宋体" w:eastAsia="宋体" w:hint="default"/>
                <w:spacing w:val="-46"/>
                <w:sz w:val="18"/>
                <w:szCs w:val="18"/>
              </w:rPr>
              <w:t> </w:t>
            </w:r>
            <w:r>
              <w:rPr>
                <w:rFonts w:ascii="宋体" w:hAnsi="宋体" w:cs="宋体" w:eastAsia="宋体" w:hint="default"/>
                <w:sz w:val="18"/>
                <w:szCs w:val="18"/>
              </w:rPr>
              <w:t>1,340</w:t>
            </w:r>
            <w:r>
              <w:rPr>
                <w:rFonts w:ascii="宋体" w:hAnsi="宋体" w:cs="宋体" w:eastAsia="宋体" w:hint="default"/>
                <w:spacing w:val="-46"/>
                <w:sz w:val="18"/>
                <w:szCs w:val="18"/>
              </w:rPr>
              <w:t> </w:t>
            </w:r>
            <w:r>
              <w:rPr>
                <w:rFonts w:ascii="宋体" w:hAnsi="宋体" w:cs="宋体" w:eastAsia="宋体" w:hint="default"/>
                <w:sz w:val="18"/>
                <w:szCs w:val="18"/>
              </w:rPr>
              <w:t>万元</w:t>
            </w:r>
          </w:p>
        </w:tc>
      </w:tr>
      <w:tr>
        <w:trPr>
          <w:trHeight w:val="913" w:hRule="exact"/>
        </w:trPr>
        <w:tc>
          <w:tcPr>
            <w:tcW w:w="5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0"/>
              <w:jc w:val="center"/>
              <w:rPr>
                <w:rFonts w:ascii="Arial" w:hAnsi="Arial" w:cs="Arial" w:eastAsia="Arial" w:hint="default"/>
                <w:sz w:val="18"/>
                <w:szCs w:val="18"/>
              </w:rPr>
            </w:pPr>
            <w:r>
              <w:rPr>
                <w:rFonts w:ascii="Arial"/>
                <w:w w:val="99"/>
                <w:sz w:val="18"/>
              </w:rPr>
              <w:t>5</w:t>
            </w:r>
            <w:r>
              <w:rPr>
                <w:rFonts w:ascii="Arial"/>
                <w:sz w:val="18"/>
              </w:rPr>
            </w:r>
          </w:p>
        </w:tc>
        <w:tc>
          <w:tcPr>
            <w:tcW w:w="409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pacing w:val="4"/>
                <w:sz w:val="18"/>
                <w:szCs w:val="18"/>
              </w:rPr>
              <w:t>除同公司正常经营业务相关的有效套期保值业务</w:t>
            </w:r>
            <w:r>
              <w:rPr>
                <w:rFonts w:ascii="宋体" w:hAnsi="宋体" w:cs="宋体" w:eastAsia="宋体" w:hint="default"/>
                <w:sz w:val="18"/>
                <w:szCs w:val="18"/>
              </w:rPr>
            </w:r>
          </w:p>
          <w:p>
            <w:pPr>
              <w:pStyle w:val="TableParagraph"/>
              <w:spacing w:line="237" w:lineRule="auto"/>
              <w:ind w:left="100" w:right="95"/>
              <w:jc w:val="both"/>
              <w:rPr>
                <w:rFonts w:ascii="宋体" w:hAnsi="宋体" w:cs="宋体" w:eastAsia="宋体" w:hint="default"/>
                <w:sz w:val="18"/>
                <w:szCs w:val="18"/>
              </w:rPr>
            </w:pPr>
            <w:r>
              <w:rPr>
                <w:rFonts w:ascii="宋体" w:hAnsi="宋体" w:cs="宋体" w:eastAsia="宋体" w:hint="default"/>
                <w:spacing w:val="-4"/>
                <w:sz w:val="18"/>
                <w:szCs w:val="18"/>
              </w:rPr>
              <w:t>外，持有交易性金融资产、交易性金融负债产生的</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公允价值变动损益，以及处置交易性金融资产、交</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4"/>
                <w:sz w:val="18"/>
                <w:szCs w:val="18"/>
              </w:rPr>
              <w:t>易性金融负债和可供出售金融资产取得的投资收</w:t>
            </w:r>
            <w:r>
              <w:rPr>
                <w:rFonts w:ascii="宋体" w:hAnsi="宋体" w:cs="宋体" w:eastAsia="宋体" w:hint="default"/>
                <w:sz w:val="18"/>
                <w:szCs w:val="18"/>
              </w:rPr>
            </w:r>
          </w:p>
        </w:tc>
        <w:tc>
          <w:tcPr>
            <w:tcW w:w="12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98"/>
              <w:jc w:val="right"/>
              <w:rPr>
                <w:rFonts w:ascii="宋体" w:hAnsi="宋体" w:cs="宋体" w:eastAsia="宋体" w:hint="default"/>
                <w:sz w:val="18"/>
                <w:szCs w:val="18"/>
              </w:rPr>
            </w:pPr>
            <w:r>
              <w:rPr>
                <w:rFonts w:ascii="宋体"/>
                <w:sz w:val="18"/>
              </w:rPr>
              <w:t>83,998,795</w:t>
            </w:r>
          </w:p>
        </w:tc>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71"/>
              <w:ind w:left="100" w:right="92"/>
              <w:jc w:val="both"/>
              <w:rPr>
                <w:rFonts w:ascii="宋体" w:hAnsi="宋体" w:cs="宋体" w:eastAsia="宋体" w:hint="default"/>
                <w:sz w:val="18"/>
                <w:szCs w:val="18"/>
              </w:rPr>
            </w:pPr>
            <w:r>
              <w:rPr>
                <w:rFonts w:ascii="宋体" w:hAnsi="宋体" w:cs="宋体" w:eastAsia="宋体" w:hint="default"/>
                <w:spacing w:val="-2"/>
                <w:sz w:val="18"/>
                <w:szCs w:val="18"/>
              </w:rPr>
              <w:t>处置可供出售金融资产（中国联通股票）的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8"/>
                <w:sz w:val="18"/>
                <w:szCs w:val="18"/>
              </w:rPr>
              <w:t>投资收益及交易性金融资产（远期结汇合</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同）的公允价值变动收益</w:t>
            </w:r>
          </w:p>
        </w:tc>
      </w:tr>
      <w:tr>
        <w:trPr>
          <w:trHeight w:val="341" w:hRule="exact"/>
        </w:trPr>
        <w:tc>
          <w:tcPr>
            <w:tcW w:w="5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right="0"/>
              <w:jc w:val="center"/>
              <w:rPr>
                <w:rFonts w:ascii="Arial" w:hAnsi="Arial" w:cs="Arial" w:eastAsia="Arial" w:hint="default"/>
                <w:sz w:val="18"/>
                <w:szCs w:val="18"/>
              </w:rPr>
            </w:pPr>
            <w:r>
              <w:rPr>
                <w:rFonts w:ascii="Arial"/>
                <w:w w:val="99"/>
                <w:sz w:val="18"/>
              </w:rPr>
              <w:t>6</w:t>
            </w:r>
            <w:r>
              <w:rPr>
                <w:rFonts w:ascii="Arial"/>
                <w:sz w:val="18"/>
              </w:rPr>
            </w:r>
          </w:p>
        </w:tc>
        <w:tc>
          <w:tcPr>
            <w:tcW w:w="40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100"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除上述各项之外的其他营业外收支净额</w:t>
            </w:r>
          </w:p>
        </w:tc>
        <w:tc>
          <w:tcPr>
            <w:tcW w:w="12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宋体" w:hAnsi="宋体" w:cs="宋体" w:eastAsia="宋体" w:hint="default"/>
                <w:sz w:val="18"/>
                <w:szCs w:val="18"/>
              </w:rPr>
            </w:pPr>
            <w:r>
              <w:rPr>
                <w:rFonts w:ascii="宋体"/>
                <w:sz w:val="18"/>
              </w:rPr>
              <w:t>2,295,537</w:t>
            </w:r>
          </w:p>
        </w:tc>
        <w:tc>
          <w:tcPr>
            <w:tcW w:w="3607" w:type="dxa"/>
            <w:tcBorders>
              <w:top w:val="single" w:sz="6" w:space="0" w:color="000000"/>
              <w:left w:val="single" w:sz="6" w:space="0" w:color="000000"/>
              <w:bottom w:val="single" w:sz="6" w:space="0" w:color="000000"/>
              <w:right w:val="single" w:sz="6" w:space="0" w:color="000000"/>
            </w:tcBorders>
          </w:tcPr>
          <w:p>
            <w:pPr/>
          </w:p>
        </w:tc>
      </w:tr>
      <w:tr>
        <w:trPr>
          <w:trHeight w:val="340" w:hRule="exact"/>
        </w:trPr>
        <w:tc>
          <w:tcPr>
            <w:tcW w:w="5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right="0"/>
              <w:jc w:val="center"/>
              <w:rPr>
                <w:rFonts w:ascii="Arial" w:hAnsi="Arial" w:cs="Arial" w:eastAsia="Arial" w:hint="default"/>
                <w:sz w:val="18"/>
                <w:szCs w:val="18"/>
              </w:rPr>
            </w:pPr>
            <w:r>
              <w:rPr>
                <w:rFonts w:ascii="Arial"/>
                <w:w w:val="99"/>
                <w:sz w:val="18"/>
              </w:rPr>
              <w:t>7</w:t>
            </w:r>
            <w:r>
              <w:rPr>
                <w:rFonts w:ascii="Arial"/>
                <w:sz w:val="18"/>
              </w:rPr>
            </w:r>
          </w:p>
        </w:tc>
        <w:tc>
          <w:tcPr>
            <w:tcW w:w="40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2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宋体" w:hAnsi="宋体" w:cs="宋体" w:eastAsia="宋体" w:hint="default"/>
                <w:sz w:val="18"/>
                <w:szCs w:val="18"/>
              </w:rPr>
            </w:pPr>
            <w:r>
              <w:rPr>
                <w:rFonts w:ascii="宋体"/>
                <w:sz w:val="18"/>
              </w:rPr>
              <w:t>-9,690,610</w:t>
            </w:r>
          </w:p>
        </w:tc>
        <w:tc>
          <w:tcPr>
            <w:tcW w:w="3607" w:type="dxa"/>
            <w:tcBorders>
              <w:top w:val="single" w:sz="6" w:space="0" w:color="000000"/>
              <w:left w:val="single" w:sz="6" w:space="0" w:color="000000"/>
              <w:bottom w:val="single" w:sz="6" w:space="0" w:color="000000"/>
              <w:right w:val="single" w:sz="6" w:space="0" w:color="000000"/>
            </w:tcBorders>
          </w:tcPr>
          <w:p>
            <w:pPr/>
          </w:p>
        </w:tc>
      </w:tr>
      <w:tr>
        <w:trPr>
          <w:trHeight w:val="340" w:hRule="exact"/>
        </w:trPr>
        <w:tc>
          <w:tcPr>
            <w:tcW w:w="5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right="0"/>
              <w:jc w:val="center"/>
              <w:rPr>
                <w:rFonts w:ascii="Arial" w:hAnsi="Arial" w:cs="Arial" w:eastAsia="Arial" w:hint="default"/>
                <w:sz w:val="18"/>
                <w:szCs w:val="18"/>
              </w:rPr>
            </w:pPr>
            <w:r>
              <w:rPr>
                <w:rFonts w:ascii="Arial"/>
                <w:w w:val="99"/>
                <w:sz w:val="18"/>
              </w:rPr>
              <w:t>8</w:t>
            </w:r>
            <w:r>
              <w:rPr>
                <w:rFonts w:ascii="Arial"/>
                <w:sz w:val="18"/>
              </w:rPr>
            </w:r>
          </w:p>
        </w:tc>
        <w:tc>
          <w:tcPr>
            <w:tcW w:w="40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2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宋体" w:hAnsi="宋体" w:cs="宋体" w:eastAsia="宋体" w:hint="default"/>
                <w:sz w:val="18"/>
                <w:szCs w:val="18"/>
              </w:rPr>
            </w:pPr>
            <w:r>
              <w:rPr>
                <w:rFonts w:ascii="宋体"/>
                <w:sz w:val="18"/>
              </w:rPr>
              <w:t>-10,030,006</w:t>
            </w:r>
          </w:p>
        </w:tc>
        <w:tc>
          <w:tcPr>
            <w:tcW w:w="3607" w:type="dxa"/>
            <w:tcBorders>
              <w:top w:val="single" w:sz="6" w:space="0" w:color="000000"/>
              <w:left w:val="single" w:sz="6" w:space="0" w:color="000000"/>
              <w:bottom w:val="single" w:sz="6" w:space="0" w:color="000000"/>
              <w:right w:val="single" w:sz="6" w:space="0" w:color="000000"/>
            </w:tcBorders>
          </w:tcPr>
          <w:p>
            <w:pPr/>
          </w:p>
        </w:tc>
      </w:tr>
      <w:tr>
        <w:trPr>
          <w:trHeight w:val="341" w:hRule="exact"/>
        </w:trPr>
        <w:tc>
          <w:tcPr>
            <w:tcW w:w="5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right="0"/>
              <w:jc w:val="center"/>
              <w:rPr>
                <w:rFonts w:ascii="Arial" w:hAnsi="Arial" w:cs="Arial" w:eastAsia="Arial" w:hint="default"/>
                <w:sz w:val="18"/>
                <w:szCs w:val="18"/>
              </w:rPr>
            </w:pPr>
            <w:r>
              <w:rPr>
                <w:rFonts w:ascii="Arial"/>
                <w:w w:val="99"/>
                <w:sz w:val="18"/>
              </w:rPr>
              <w:t>9</w:t>
            </w:r>
            <w:r>
              <w:rPr>
                <w:rFonts w:ascii="Arial"/>
                <w:sz w:val="18"/>
              </w:rPr>
            </w:r>
          </w:p>
        </w:tc>
        <w:tc>
          <w:tcPr>
            <w:tcW w:w="40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宋体" w:hAnsi="宋体" w:cs="宋体" w:eastAsia="宋体" w:hint="default"/>
                <w:sz w:val="18"/>
                <w:szCs w:val="18"/>
              </w:rPr>
            </w:pPr>
            <w:r>
              <w:rPr>
                <w:rFonts w:ascii="宋体"/>
                <w:sz w:val="18"/>
              </w:rPr>
              <w:t>118,769,401</w:t>
            </w:r>
          </w:p>
        </w:tc>
        <w:tc>
          <w:tcPr>
            <w:tcW w:w="3607"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600" w:bottom="280" w:left="1120" w:right="10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720" w:footer="721" w:top="1100" w:bottom="920" w:left="980" w:right="920"/>
        </w:sectPr>
      </w:pPr>
    </w:p>
    <w:p>
      <w:pPr>
        <w:pStyle w:val="BodyText"/>
        <w:spacing w:line="240" w:lineRule="auto" w:before="26"/>
        <w:ind w:left="380" w:right="-20"/>
        <w:jc w:val="left"/>
      </w:pPr>
      <w:r>
        <w:rPr/>
        <w:t>（三）报告期末公司前三年主要会计数据和财务指标</w:t>
      </w:r>
    </w:p>
    <w:p>
      <w:pPr>
        <w:spacing w:line="240" w:lineRule="auto" w:before="0"/>
        <w:rPr>
          <w:rFonts w:ascii="宋体" w:hAnsi="宋体" w:cs="宋体" w:eastAsia="宋体" w:hint="default"/>
          <w:sz w:val="26"/>
          <w:szCs w:val="26"/>
        </w:rPr>
      </w:pPr>
      <w:r>
        <w:rPr/>
        <w:br w:type="column"/>
      </w:r>
      <w:r>
        <w:rPr>
          <w:rFonts w:ascii="宋体"/>
          <w:sz w:val="26"/>
        </w:rPr>
      </w:r>
    </w:p>
    <w:p>
      <w:pPr>
        <w:spacing w:before="0"/>
        <w:ind w:left="38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980" w:right="920"/>
          <w:cols w:num="2" w:equalWidth="0">
            <w:col w:w="5901" w:space="1137"/>
            <w:col w:w="2972"/>
          </w:cols>
        </w:sectPr>
      </w:pPr>
    </w:p>
    <w:p>
      <w:pPr>
        <w:spacing w:line="240" w:lineRule="auto" w:before="7"/>
        <w:rPr>
          <w:rFonts w:ascii="宋体" w:hAnsi="宋体" w:cs="宋体" w:eastAsia="宋体" w:hint="default"/>
          <w:sz w:val="2"/>
          <w:szCs w:val="2"/>
        </w:rPr>
      </w:pPr>
    </w:p>
    <w:tbl>
      <w:tblPr>
        <w:tblW w:w="0" w:type="auto"/>
        <w:jc w:val="left"/>
        <w:tblInd w:w="169" w:type="dxa"/>
        <w:tblLayout w:type="fixed"/>
        <w:tblCellMar>
          <w:top w:w="0" w:type="dxa"/>
          <w:left w:w="0" w:type="dxa"/>
          <w:bottom w:w="0" w:type="dxa"/>
          <w:right w:w="0" w:type="dxa"/>
        </w:tblCellMar>
        <w:tblLook w:val="01E0"/>
      </w:tblPr>
      <w:tblGrid>
        <w:gridCol w:w="2442"/>
        <w:gridCol w:w="1386"/>
        <w:gridCol w:w="1420"/>
        <w:gridCol w:w="1416"/>
        <w:gridCol w:w="1423"/>
        <w:gridCol w:w="1564"/>
      </w:tblGrid>
      <w:tr>
        <w:trPr>
          <w:trHeight w:val="248" w:hRule="exact"/>
        </w:trPr>
        <w:tc>
          <w:tcPr>
            <w:tcW w:w="2442" w:type="dxa"/>
            <w:vMerge w:val="restart"/>
            <w:tcBorders>
              <w:top w:val="single" w:sz="6" w:space="0" w:color="000000"/>
              <w:left w:val="single" w:sz="6" w:space="0" w:color="000000"/>
              <w:right w:val="single" w:sz="6" w:space="0" w:color="000000"/>
            </w:tcBorders>
          </w:tcPr>
          <w:p>
            <w:pPr>
              <w:pStyle w:val="TableParagraph"/>
              <w:spacing w:line="240" w:lineRule="auto" w:before="87"/>
              <w:ind w:left="672" w:right="0"/>
              <w:jc w:val="left"/>
              <w:rPr>
                <w:rFonts w:ascii="宋体" w:hAnsi="宋体" w:cs="宋体" w:eastAsia="宋体" w:hint="default"/>
                <w:sz w:val="18"/>
                <w:szCs w:val="18"/>
              </w:rPr>
            </w:pPr>
            <w:r>
              <w:rPr>
                <w:rFonts w:ascii="宋体" w:hAnsi="宋体" w:cs="宋体" w:eastAsia="宋体" w:hint="default"/>
                <w:b/>
                <w:bCs/>
                <w:sz w:val="18"/>
                <w:szCs w:val="18"/>
              </w:rPr>
              <w:t>主要会计数据</w:t>
            </w:r>
            <w:r>
              <w:rPr>
                <w:rFonts w:ascii="宋体" w:hAnsi="宋体" w:cs="宋体" w:eastAsia="宋体" w:hint="default"/>
                <w:sz w:val="18"/>
                <w:szCs w:val="18"/>
              </w:rPr>
            </w:r>
          </w:p>
        </w:tc>
        <w:tc>
          <w:tcPr>
            <w:tcW w:w="1386" w:type="dxa"/>
            <w:vMerge w:val="restart"/>
            <w:tcBorders>
              <w:top w:val="single" w:sz="6" w:space="0" w:color="000000"/>
              <w:left w:val="single" w:sz="6" w:space="0" w:color="000000"/>
              <w:right w:val="single" w:sz="6" w:space="0" w:color="000000"/>
            </w:tcBorders>
          </w:tcPr>
          <w:p>
            <w:pPr>
              <w:pStyle w:val="TableParagraph"/>
              <w:spacing w:line="240" w:lineRule="auto" w:before="87"/>
              <w:ind w:left="389" w:right="0"/>
              <w:jc w:val="left"/>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47"/>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420" w:type="dxa"/>
            <w:vMerge w:val="restart"/>
            <w:tcBorders>
              <w:top w:val="single" w:sz="6" w:space="0" w:color="000000"/>
              <w:left w:val="single" w:sz="6" w:space="0" w:color="000000"/>
              <w:right w:val="single" w:sz="6" w:space="0" w:color="000000"/>
            </w:tcBorders>
          </w:tcPr>
          <w:p>
            <w:pPr>
              <w:pStyle w:val="TableParagraph"/>
              <w:spacing w:line="240" w:lineRule="auto" w:before="87"/>
              <w:ind w:left="406" w:right="0"/>
              <w:jc w:val="left"/>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7"/>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416" w:type="dxa"/>
            <w:vMerge w:val="restart"/>
            <w:tcBorders>
              <w:top w:val="single" w:sz="6" w:space="0" w:color="000000"/>
              <w:left w:val="single" w:sz="6" w:space="0" w:color="000000"/>
              <w:right w:val="single" w:sz="6" w:space="0" w:color="000000"/>
            </w:tcBorders>
          </w:tcPr>
          <w:p>
            <w:pPr>
              <w:pStyle w:val="TableParagraph"/>
              <w:spacing w:line="206" w:lineRule="exact"/>
              <w:ind w:left="204" w:right="0" w:hanging="45"/>
              <w:jc w:val="left"/>
              <w:rPr>
                <w:rFonts w:ascii="宋体" w:hAnsi="宋体" w:cs="宋体" w:eastAsia="宋体" w:hint="default"/>
                <w:sz w:val="18"/>
                <w:szCs w:val="18"/>
              </w:rPr>
            </w:pPr>
            <w:r>
              <w:rPr>
                <w:rFonts w:ascii="宋体" w:hAnsi="宋体" w:cs="宋体" w:eastAsia="宋体" w:hint="default"/>
                <w:b/>
                <w:bCs/>
                <w:sz w:val="18"/>
                <w:szCs w:val="18"/>
              </w:rPr>
              <w:t>本期比上年同</w:t>
            </w:r>
            <w:r>
              <w:rPr>
                <w:rFonts w:ascii="宋体" w:hAnsi="宋体" w:cs="宋体" w:eastAsia="宋体" w:hint="default"/>
                <w:sz w:val="18"/>
                <w:szCs w:val="18"/>
              </w:rPr>
            </w:r>
          </w:p>
          <w:p>
            <w:pPr>
              <w:pStyle w:val="TableParagraph"/>
              <w:spacing w:line="235" w:lineRule="exact"/>
              <w:ind w:left="204" w:right="0"/>
              <w:jc w:val="left"/>
              <w:rPr>
                <w:rFonts w:ascii="宋体" w:hAnsi="宋体" w:cs="宋体" w:eastAsia="宋体" w:hint="default"/>
                <w:sz w:val="18"/>
                <w:szCs w:val="18"/>
              </w:rPr>
            </w:pPr>
            <w:r>
              <w:rPr>
                <w:rFonts w:ascii="宋体" w:hAnsi="宋体" w:cs="宋体" w:eastAsia="宋体" w:hint="default"/>
                <w:b/>
                <w:bCs/>
                <w:sz w:val="18"/>
                <w:szCs w:val="18"/>
              </w:rPr>
              <w:t>期增减（%）</w:t>
            </w:r>
            <w:r>
              <w:rPr>
                <w:rFonts w:ascii="宋体" w:hAnsi="宋体" w:cs="宋体" w:eastAsia="宋体" w:hint="default"/>
                <w:sz w:val="18"/>
                <w:szCs w:val="18"/>
              </w:rPr>
            </w:r>
          </w:p>
        </w:tc>
        <w:tc>
          <w:tcPr>
            <w:tcW w:w="2987"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b/>
                <w:bCs/>
                <w:sz w:val="18"/>
                <w:szCs w:val="18"/>
              </w:rPr>
              <w:t>2007</w:t>
            </w:r>
            <w:r>
              <w:rPr>
                <w:rFonts w:ascii="宋体" w:hAnsi="宋体" w:cs="宋体" w:eastAsia="宋体" w:hint="default"/>
                <w:b/>
                <w:bCs/>
                <w:spacing w:val="-47"/>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r>
      <w:tr>
        <w:trPr>
          <w:trHeight w:val="248" w:hRule="exact"/>
        </w:trPr>
        <w:tc>
          <w:tcPr>
            <w:tcW w:w="2442" w:type="dxa"/>
            <w:vMerge/>
            <w:tcBorders>
              <w:left w:val="single" w:sz="6" w:space="0" w:color="000000"/>
              <w:bottom w:val="single" w:sz="6" w:space="0" w:color="000000"/>
              <w:right w:val="single" w:sz="6" w:space="0" w:color="000000"/>
            </w:tcBorders>
          </w:tcPr>
          <w:p>
            <w:pPr/>
          </w:p>
        </w:tc>
        <w:tc>
          <w:tcPr>
            <w:tcW w:w="1386" w:type="dxa"/>
            <w:vMerge/>
            <w:tcBorders>
              <w:left w:val="single" w:sz="6" w:space="0" w:color="000000"/>
              <w:bottom w:val="single" w:sz="6" w:space="0" w:color="000000"/>
              <w:right w:val="single" w:sz="6" w:space="0" w:color="000000"/>
            </w:tcBorders>
          </w:tcPr>
          <w:p>
            <w:pPr/>
          </w:p>
        </w:tc>
        <w:tc>
          <w:tcPr>
            <w:tcW w:w="1420" w:type="dxa"/>
            <w:vMerge/>
            <w:tcBorders>
              <w:left w:val="single" w:sz="6" w:space="0" w:color="000000"/>
              <w:bottom w:val="single" w:sz="6" w:space="0" w:color="000000"/>
              <w:right w:val="single" w:sz="6" w:space="0" w:color="000000"/>
            </w:tcBorders>
          </w:tcPr>
          <w:p>
            <w:pPr/>
          </w:p>
        </w:tc>
        <w:tc>
          <w:tcPr>
            <w:tcW w:w="1416" w:type="dxa"/>
            <w:vMerge/>
            <w:tcBorders>
              <w:left w:val="single" w:sz="6" w:space="0" w:color="000000"/>
              <w:bottom w:val="single" w:sz="6" w:space="0" w:color="000000"/>
              <w:right w:val="single" w:sz="6" w:space="0" w:color="000000"/>
            </w:tcBorders>
          </w:tcPr>
          <w:p>
            <w:pP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432" w:right="0"/>
              <w:jc w:val="left"/>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56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02" w:right="0"/>
              <w:jc w:val="left"/>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r>
      <w:tr>
        <w:trPr>
          <w:trHeight w:val="248" w:hRule="exact"/>
        </w:trPr>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4,166,055,393</w:t>
            </w:r>
          </w:p>
        </w:tc>
        <w:tc>
          <w:tcPr>
            <w:tcW w:w="142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9"/>
              <w:jc w:val="right"/>
              <w:rPr>
                <w:rFonts w:ascii="宋体" w:hAnsi="宋体" w:cs="宋体" w:eastAsia="宋体" w:hint="default"/>
                <w:sz w:val="18"/>
                <w:szCs w:val="18"/>
              </w:rPr>
            </w:pPr>
            <w:r>
              <w:rPr>
                <w:rFonts w:ascii="宋体"/>
                <w:sz w:val="18"/>
              </w:rPr>
              <w:t>3,711,345,600</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12.3</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3,365,445,486</w:t>
            </w:r>
          </w:p>
        </w:tc>
        <w:tc>
          <w:tcPr>
            <w:tcW w:w="156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2,895,556,680</w:t>
            </w:r>
          </w:p>
        </w:tc>
      </w:tr>
      <w:tr>
        <w:trPr>
          <w:trHeight w:val="248" w:hRule="exact"/>
        </w:trPr>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727,756,717</w:t>
            </w:r>
          </w:p>
        </w:tc>
        <w:tc>
          <w:tcPr>
            <w:tcW w:w="142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9"/>
              <w:jc w:val="right"/>
              <w:rPr>
                <w:rFonts w:ascii="宋体" w:hAnsi="宋体" w:cs="宋体" w:eastAsia="宋体" w:hint="default"/>
                <w:sz w:val="18"/>
                <w:szCs w:val="18"/>
              </w:rPr>
            </w:pPr>
            <w:r>
              <w:rPr>
                <w:rFonts w:ascii="宋体"/>
                <w:sz w:val="18"/>
              </w:rPr>
              <w:t>537,169,386</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35.5</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471,161,736</w:t>
            </w:r>
          </w:p>
        </w:tc>
        <w:tc>
          <w:tcPr>
            <w:tcW w:w="156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264,612,830</w:t>
            </w:r>
          </w:p>
        </w:tc>
      </w:tr>
      <w:tr>
        <w:trPr>
          <w:trHeight w:val="482" w:hRule="exact"/>
        </w:trPr>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润</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640,564,034</w:t>
            </w:r>
          </w:p>
        </w:tc>
        <w:tc>
          <w:tcPr>
            <w:tcW w:w="14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9"/>
              <w:jc w:val="right"/>
              <w:rPr>
                <w:rFonts w:ascii="宋体" w:hAnsi="宋体" w:cs="宋体" w:eastAsia="宋体" w:hint="default"/>
                <w:sz w:val="18"/>
                <w:szCs w:val="18"/>
              </w:rPr>
            </w:pPr>
            <w:r>
              <w:rPr>
                <w:rFonts w:ascii="宋体"/>
                <w:sz w:val="18"/>
              </w:rPr>
              <w:t>490,778,900</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30.5</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415,074,714</w:t>
            </w:r>
          </w:p>
        </w:tc>
        <w:tc>
          <w:tcPr>
            <w:tcW w:w="15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204,850,043</w:t>
            </w:r>
          </w:p>
        </w:tc>
      </w:tr>
      <w:tr>
        <w:trPr>
          <w:trHeight w:val="482" w:hRule="exact"/>
        </w:trPr>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归属于上市公司股东的扣除</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非经常性损益的净利润</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521,794,633</w:t>
            </w:r>
          </w:p>
        </w:tc>
        <w:tc>
          <w:tcPr>
            <w:tcW w:w="14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9"/>
              <w:jc w:val="right"/>
              <w:rPr>
                <w:rFonts w:ascii="宋体" w:hAnsi="宋体" w:cs="宋体" w:eastAsia="宋体" w:hint="default"/>
                <w:sz w:val="18"/>
                <w:szCs w:val="18"/>
              </w:rPr>
            </w:pPr>
            <w:r>
              <w:rPr>
                <w:rFonts w:ascii="宋体"/>
                <w:sz w:val="18"/>
              </w:rPr>
              <w:t>484,412,602</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7.7</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328,603,783</w:t>
            </w:r>
          </w:p>
        </w:tc>
        <w:tc>
          <w:tcPr>
            <w:tcW w:w="15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171,260,294</w:t>
            </w:r>
          </w:p>
        </w:tc>
      </w:tr>
      <w:tr>
        <w:trPr>
          <w:trHeight w:val="481" w:hRule="exact"/>
        </w:trPr>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772,564,482</w:t>
            </w:r>
          </w:p>
        </w:tc>
        <w:tc>
          <w:tcPr>
            <w:tcW w:w="14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9"/>
              <w:jc w:val="right"/>
              <w:rPr>
                <w:rFonts w:ascii="宋体" w:hAnsi="宋体" w:cs="宋体" w:eastAsia="宋体" w:hint="default"/>
                <w:sz w:val="18"/>
                <w:szCs w:val="18"/>
              </w:rPr>
            </w:pPr>
            <w:r>
              <w:rPr>
                <w:rFonts w:ascii="宋体"/>
                <w:sz w:val="18"/>
              </w:rPr>
              <w:t>732,360,398</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5.5</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695,876,865</w:t>
            </w:r>
          </w:p>
        </w:tc>
        <w:tc>
          <w:tcPr>
            <w:tcW w:w="15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448,795,327</w:t>
            </w:r>
          </w:p>
        </w:tc>
      </w:tr>
      <w:tr>
        <w:trPr>
          <w:trHeight w:val="248" w:hRule="exact"/>
        </w:trPr>
        <w:tc>
          <w:tcPr>
            <w:tcW w:w="2442" w:type="dxa"/>
            <w:vMerge w:val="restart"/>
            <w:tcBorders>
              <w:top w:val="single" w:sz="6" w:space="0" w:color="000000"/>
              <w:left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386" w:type="dxa"/>
            <w:vMerge w:val="restart"/>
            <w:tcBorders>
              <w:top w:val="single" w:sz="6" w:space="0" w:color="000000"/>
              <w:left w:val="single" w:sz="6" w:space="0" w:color="000000"/>
              <w:right w:val="single" w:sz="6" w:space="0" w:color="000000"/>
            </w:tcBorders>
          </w:tcPr>
          <w:p>
            <w:pPr>
              <w:pStyle w:val="TableParagraph"/>
              <w:spacing w:line="240" w:lineRule="auto" w:before="87"/>
              <w:ind w:left="300" w:right="0"/>
              <w:jc w:val="left"/>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49"/>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c>
          <w:tcPr>
            <w:tcW w:w="1420" w:type="dxa"/>
            <w:vMerge w:val="restart"/>
            <w:tcBorders>
              <w:top w:val="single" w:sz="6" w:space="0" w:color="000000"/>
              <w:left w:val="single" w:sz="6" w:space="0" w:color="000000"/>
              <w:right w:val="single" w:sz="6" w:space="0" w:color="000000"/>
            </w:tcBorders>
          </w:tcPr>
          <w:p>
            <w:pPr>
              <w:pStyle w:val="TableParagraph"/>
              <w:spacing w:line="240" w:lineRule="auto" w:before="87"/>
              <w:ind w:left="316" w:right="0"/>
              <w:jc w:val="left"/>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9"/>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c>
          <w:tcPr>
            <w:tcW w:w="1416" w:type="dxa"/>
            <w:vMerge w:val="restart"/>
            <w:tcBorders>
              <w:top w:val="single" w:sz="6" w:space="0" w:color="000000"/>
              <w:left w:val="single" w:sz="6" w:space="0" w:color="000000"/>
              <w:right w:val="single" w:sz="6" w:space="0" w:color="000000"/>
            </w:tcBorders>
          </w:tcPr>
          <w:p>
            <w:pPr>
              <w:pStyle w:val="TableParagraph"/>
              <w:spacing w:line="206" w:lineRule="exact"/>
              <w:ind w:left="100" w:right="0" w:firstLine="58"/>
              <w:jc w:val="left"/>
              <w:rPr>
                <w:rFonts w:ascii="宋体" w:hAnsi="宋体" w:cs="宋体" w:eastAsia="宋体" w:hint="default"/>
                <w:sz w:val="18"/>
                <w:szCs w:val="18"/>
              </w:rPr>
            </w:pPr>
            <w:r>
              <w:rPr>
                <w:rFonts w:ascii="宋体" w:hAnsi="宋体" w:cs="宋体" w:eastAsia="宋体" w:hint="default"/>
                <w:b/>
                <w:bCs/>
                <w:sz w:val="18"/>
                <w:szCs w:val="18"/>
              </w:rPr>
              <w:t>本期末比上年</w:t>
            </w:r>
            <w:r>
              <w:rPr>
                <w:rFonts w:ascii="宋体" w:hAnsi="宋体" w:cs="宋体" w:eastAsia="宋体" w:hint="default"/>
                <w:sz w:val="18"/>
                <w:szCs w:val="18"/>
              </w:rPr>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b/>
                <w:bCs/>
                <w:spacing w:val="-8"/>
                <w:sz w:val="18"/>
                <w:szCs w:val="18"/>
              </w:rPr>
              <w:t>同期末增减（%）</w:t>
            </w:r>
            <w:r>
              <w:rPr>
                <w:rFonts w:ascii="宋体" w:hAnsi="宋体" w:cs="宋体" w:eastAsia="宋体" w:hint="default"/>
                <w:spacing w:val="-8"/>
                <w:sz w:val="18"/>
                <w:szCs w:val="18"/>
              </w:rPr>
            </w:r>
          </w:p>
        </w:tc>
        <w:tc>
          <w:tcPr>
            <w:tcW w:w="2987"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b/>
                <w:bCs/>
                <w:sz w:val="18"/>
                <w:szCs w:val="18"/>
              </w:rPr>
              <w:t>2007</w:t>
            </w:r>
            <w:r>
              <w:rPr>
                <w:rFonts w:ascii="宋体" w:hAnsi="宋体" w:cs="宋体" w:eastAsia="宋体" w:hint="default"/>
                <w:b/>
                <w:bCs/>
                <w:spacing w:val="-49"/>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r>
      <w:tr>
        <w:trPr>
          <w:trHeight w:val="248" w:hRule="exact"/>
        </w:trPr>
        <w:tc>
          <w:tcPr>
            <w:tcW w:w="2442" w:type="dxa"/>
            <w:vMerge/>
            <w:tcBorders>
              <w:left w:val="single" w:sz="6" w:space="0" w:color="000000"/>
              <w:bottom w:val="single" w:sz="6" w:space="0" w:color="000000"/>
              <w:right w:val="single" w:sz="6" w:space="0" w:color="000000"/>
            </w:tcBorders>
          </w:tcPr>
          <w:p>
            <w:pPr/>
          </w:p>
        </w:tc>
        <w:tc>
          <w:tcPr>
            <w:tcW w:w="1386" w:type="dxa"/>
            <w:vMerge/>
            <w:tcBorders>
              <w:left w:val="single" w:sz="6" w:space="0" w:color="000000"/>
              <w:bottom w:val="single" w:sz="6" w:space="0" w:color="000000"/>
              <w:right w:val="single" w:sz="6" w:space="0" w:color="000000"/>
            </w:tcBorders>
          </w:tcPr>
          <w:p>
            <w:pPr/>
          </w:p>
        </w:tc>
        <w:tc>
          <w:tcPr>
            <w:tcW w:w="1420" w:type="dxa"/>
            <w:vMerge/>
            <w:tcBorders>
              <w:left w:val="single" w:sz="6" w:space="0" w:color="000000"/>
              <w:bottom w:val="single" w:sz="6" w:space="0" w:color="000000"/>
              <w:right w:val="single" w:sz="6" w:space="0" w:color="000000"/>
            </w:tcBorders>
          </w:tcPr>
          <w:p>
            <w:pPr/>
          </w:p>
        </w:tc>
        <w:tc>
          <w:tcPr>
            <w:tcW w:w="1416" w:type="dxa"/>
            <w:vMerge/>
            <w:tcBorders>
              <w:left w:val="single" w:sz="6" w:space="0" w:color="000000"/>
              <w:bottom w:val="single" w:sz="6" w:space="0" w:color="000000"/>
              <w:right w:val="single" w:sz="6" w:space="0" w:color="000000"/>
            </w:tcBorders>
          </w:tcPr>
          <w:p>
            <w:pP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434"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56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03" w:right="0"/>
              <w:jc w:val="left"/>
              <w:rPr>
                <w:rFonts w:ascii="宋体" w:hAnsi="宋体" w:cs="宋体" w:eastAsia="宋体" w:hint="default"/>
                <w:sz w:val="18"/>
                <w:szCs w:val="18"/>
              </w:rPr>
            </w:pPr>
            <w:r>
              <w:rPr>
                <w:rFonts w:ascii="宋体" w:hAnsi="宋体" w:cs="宋体" w:eastAsia="宋体" w:hint="default"/>
                <w:sz w:val="18"/>
                <w:szCs w:val="18"/>
              </w:rPr>
              <w:t>调整前</w:t>
            </w:r>
          </w:p>
        </w:tc>
      </w:tr>
      <w:tr>
        <w:trPr>
          <w:trHeight w:val="248" w:hRule="exact"/>
        </w:trPr>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6,209,047,971</w:t>
            </w:r>
          </w:p>
        </w:tc>
        <w:tc>
          <w:tcPr>
            <w:tcW w:w="142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16"/>
              <w:jc w:val="right"/>
              <w:rPr>
                <w:rFonts w:ascii="宋体" w:hAnsi="宋体" w:cs="宋体" w:eastAsia="宋体" w:hint="default"/>
                <w:sz w:val="18"/>
                <w:szCs w:val="18"/>
              </w:rPr>
            </w:pPr>
            <w:r>
              <w:rPr>
                <w:rFonts w:ascii="宋体"/>
                <w:sz w:val="18"/>
              </w:rPr>
              <w:t>5,592,974,892</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11.0</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5,570,038,650</w:t>
            </w:r>
          </w:p>
        </w:tc>
        <w:tc>
          <w:tcPr>
            <w:tcW w:w="156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2,875,035,348</w:t>
            </w:r>
          </w:p>
        </w:tc>
      </w:tr>
      <w:tr>
        <w:trPr>
          <w:trHeight w:val="250" w:hRule="exact"/>
        </w:trPr>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3,997,562,677</w:t>
            </w:r>
          </w:p>
        </w:tc>
        <w:tc>
          <w:tcPr>
            <w:tcW w:w="142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16"/>
              <w:jc w:val="right"/>
              <w:rPr>
                <w:rFonts w:ascii="宋体" w:hAnsi="宋体" w:cs="宋体" w:eastAsia="宋体" w:hint="default"/>
                <w:sz w:val="18"/>
                <w:szCs w:val="18"/>
              </w:rPr>
            </w:pPr>
            <w:r>
              <w:rPr>
                <w:rFonts w:ascii="宋体"/>
                <w:sz w:val="18"/>
              </w:rPr>
              <w:t>3,407,472,215</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17.3</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3,021,224,764</w:t>
            </w:r>
          </w:p>
        </w:tc>
        <w:tc>
          <w:tcPr>
            <w:tcW w:w="156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1,614,647,349</w:t>
            </w:r>
          </w:p>
        </w:tc>
      </w:tr>
    </w:tbl>
    <w:p>
      <w:pPr>
        <w:spacing w:line="240" w:lineRule="auto" w:before="11"/>
        <w:rPr>
          <w:rFonts w:ascii="宋体" w:hAnsi="宋体" w:cs="宋体" w:eastAsia="宋体" w:hint="default"/>
          <w:sz w:val="20"/>
          <w:szCs w:val="20"/>
        </w:rPr>
      </w:pPr>
    </w:p>
    <w:tbl>
      <w:tblPr>
        <w:tblW w:w="0" w:type="auto"/>
        <w:jc w:val="left"/>
        <w:tblInd w:w="119" w:type="dxa"/>
        <w:tblLayout w:type="fixed"/>
        <w:tblCellMar>
          <w:top w:w="0" w:type="dxa"/>
          <w:left w:w="0" w:type="dxa"/>
          <w:bottom w:w="0" w:type="dxa"/>
          <w:right w:w="0" w:type="dxa"/>
        </w:tblCellMar>
        <w:tblLook w:val="01E0"/>
      </w:tblPr>
      <w:tblGrid>
        <w:gridCol w:w="3755"/>
        <w:gridCol w:w="1274"/>
        <w:gridCol w:w="1160"/>
        <w:gridCol w:w="1765"/>
        <w:gridCol w:w="864"/>
        <w:gridCol w:w="931"/>
      </w:tblGrid>
      <w:tr>
        <w:trPr>
          <w:trHeight w:val="248" w:hRule="exact"/>
        </w:trPr>
        <w:tc>
          <w:tcPr>
            <w:tcW w:w="3755" w:type="dxa"/>
            <w:vMerge w:val="restart"/>
            <w:tcBorders>
              <w:top w:val="single" w:sz="6" w:space="0" w:color="000000"/>
              <w:left w:val="single" w:sz="6" w:space="0" w:color="000000"/>
              <w:right w:val="single" w:sz="6" w:space="0" w:color="000000"/>
            </w:tcBorders>
          </w:tcPr>
          <w:p>
            <w:pPr>
              <w:pStyle w:val="TableParagraph"/>
              <w:spacing w:line="240" w:lineRule="auto" w:before="87"/>
              <w:ind w:left="43" w:right="0"/>
              <w:jc w:val="center"/>
              <w:rPr>
                <w:rFonts w:ascii="宋体" w:hAnsi="宋体" w:cs="宋体" w:eastAsia="宋体" w:hint="default"/>
                <w:sz w:val="18"/>
                <w:szCs w:val="18"/>
              </w:rPr>
            </w:pPr>
            <w:r>
              <w:rPr>
                <w:rFonts w:ascii="宋体" w:hAnsi="宋体" w:cs="宋体" w:eastAsia="宋体" w:hint="default"/>
                <w:b/>
                <w:bCs/>
                <w:sz w:val="18"/>
                <w:szCs w:val="18"/>
              </w:rPr>
              <w:t>主要财务指标</w:t>
            </w:r>
            <w:r>
              <w:rPr>
                <w:rFonts w:ascii="宋体" w:hAnsi="宋体" w:cs="宋体" w:eastAsia="宋体" w:hint="default"/>
                <w:sz w:val="18"/>
                <w:szCs w:val="18"/>
              </w:rPr>
            </w:r>
          </w:p>
        </w:tc>
        <w:tc>
          <w:tcPr>
            <w:tcW w:w="1274" w:type="dxa"/>
            <w:vMerge w:val="restart"/>
            <w:tcBorders>
              <w:top w:val="single" w:sz="6" w:space="0" w:color="000000"/>
              <w:left w:val="single" w:sz="6" w:space="0" w:color="000000"/>
              <w:right w:val="single" w:sz="6" w:space="0" w:color="000000"/>
            </w:tcBorders>
          </w:tcPr>
          <w:p>
            <w:pPr>
              <w:pStyle w:val="TableParagraph"/>
              <w:spacing w:line="240" w:lineRule="auto" w:before="87"/>
              <w:ind w:left="334" w:right="0"/>
              <w:jc w:val="left"/>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47"/>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160" w:type="dxa"/>
            <w:vMerge w:val="restart"/>
            <w:tcBorders>
              <w:top w:val="single" w:sz="6" w:space="0" w:color="000000"/>
              <w:left w:val="single" w:sz="6" w:space="0" w:color="000000"/>
              <w:right w:val="single" w:sz="6" w:space="0" w:color="000000"/>
            </w:tcBorders>
          </w:tcPr>
          <w:p>
            <w:pPr>
              <w:pStyle w:val="TableParagraph"/>
              <w:spacing w:line="240" w:lineRule="auto" w:before="87"/>
              <w:ind w:left="276" w:right="0"/>
              <w:jc w:val="left"/>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7"/>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765" w:type="dxa"/>
            <w:vMerge w:val="restart"/>
            <w:tcBorders>
              <w:top w:val="single" w:sz="6" w:space="0" w:color="000000"/>
              <w:left w:val="single" w:sz="6" w:space="0" w:color="000000"/>
              <w:right w:val="single" w:sz="6"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b/>
                <w:bCs/>
                <w:sz w:val="18"/>
                <w:szCs w:val="18"/>
              </w:rPr>
              <w:t>本期比上年同期增</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减（%）</w:t>
            </w:r>
            <w:r>
              <w:rPr>
                <w:rFonts w:ascii="宋体" w:hAnsi="宋体" w:cs="宋体" w:eastAsia="宋体" w:hint="default"/>
                <w:sz w:val="18"/>
                <w:szCs w:val="18"/>
              </w:rPr>
            </w:r>
          </w:p>
        </w:tc>
        <w:tc>
          <w:tcPr>
            <w:tcW w:w="1795"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b/>
                <w:bCs/>
                <w:sz w:val="18"/>
                <w:szCs w:val="18"/>
              </w:rPr>
              <w:t>2007</w:t>
            </w:r>
            <w:r>
              <w:rPr>
                <w:rFonts w:ascii="宋体" w:hAnsi="宋体" w:cs="宋体" w:eastAsia="宋体" w:hint="default"/>
                <w:b/>
                <w:bCs/>
                <w:spacing w:val="-47"/>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r>
      <w:tr>
        <w:trPr>
          <w:trHeight w:val="248" w:hRule="exact"/>
        </w:trPr>
        <w:tc>
          <w:tcPr>
            <w:tcW w:w="3755" w:type="dxa"/>
            <w:vMerge/>
            <w:tcBorders>
              <w:left w:val="single" w:sz="6" w:space="0" w:color="000000"/>
              <w:bottom w:val="single" w:sz="6" w:space="0" w:color="000000"/>
              <w:right w:val="single" w:sz="6" w:space="0" w:color="000000"/>
            </w:tcBorders>
          </w:tcPr>
          <w:p>
            <w:pPr/>
          </w:p>
        </w:tc>
        <w:tc>
          <w:tcPr>
            <w:tcW w:w="1274" w:type="dxa"/>
            <w:vMerge/>
            <w:tcBorders>
              <w:left w:val="single" w:sz="6" w:space="0" w:color="000000"/>
              <w:bottom w:val="single" w:sz="6" w:space="0" w:color="000000"/>
              <w:right w:val="single" w:sz="6" w:space="0" w:color="000000"/>
            </w:tcBorders>
          </w:tcPr>
          <w:p>
            <w:pPr/>
          </w:p>
        </w:tc>
        <w:tc>
          <w:tcPr>
            <w:tcW w:w="1160" w:type="dxa"/>
            <w:vMerge/>
            <w:tcBorders>
              <w:left w:val="single" w:sz="6" w:space="0" w:color="000000"/>
              <w:bottom w:val="single" w:sz="6" w:space="0" w:color="000000"/>
              <w:right w:val="single" w:sz="6" w:space="0" w:color="000000"/>
            </w:tcBorders>
          </w:tcPr>
          <w:p>
            <w:pPr/>
          </w:p>
        </w:tc>
        <w:tc>
          <w:tcPr>
            <w:tcW w:w="1765" w:type="dxa"/>
            <w:vMerge/>
            <w:tcBorders>
              <w:left w:val="single" w:sz="6" w:space="0" w:color="000000"/>
              <w:bottom w:val="single" w:sz="6" w:space="0" w:color="000000"/>
              <w:right w:val="single" w:sz="6" w:space="0" w:color="000000"/>
            </w:tcBorders>
          </w:tcPr>
          <w:p>
            <w:pPr/>
          </w:p>
        </w:tc>
        <w:tc>
          <w:tcPr>
            <w:tcW w:w="86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51"/>
              <w:jc w:val="right"/>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87" w:right="0"/>
              <w:jc w:val="left"/>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r>
      <w:tr>
        <w:trPr>
          <w:trHeight w:val="248" w:hRule="exact"/>
        </w:trPr>
        <w:tc>
          <w:tcPr>
            <w:tcW w:w="3755"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45" w:right="0"/>
              <w:jc w:val="left"/>
              <w:rPr>
                <w:rFonts w:ascii="宋体" w:hAnsi="宋体" w:cs="宋体" w:eastAsia="宋体" w:hint="default"/>
                <w:sz w:val="18"/>
                <w:szCs w:val="18"/>
              </w:rPr>
            </w:pPr>
            <w:r>
              <w:rPr>
                <w:rFonts w:ascii="宋体" w:hAnsi="宋体" w:cs="宋体" w:eastAsia="宋体" w:hint="default"/>
                <w:sz w:val="18"/>
                <w:szCs w:val="18"/>
              </w:rPr>
              <w:t>基本每股收益（元／股）</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0.68</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0.52</w:t>
            </w:r>
          </w:p>
        </w:tc>
        <w:tc>
          <w:tcPr>
            <w:tcW w:w="1765"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30.5</w:t>
            </w:r>
          </w:p>
        </w:tc>
        <w:tc>
          <w:tcPr>
            <w:tcW w:w="86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0.44</w:t>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0.73</w:t>
            </w:r>
          </w:p>
        </w:tc>
      </w:tr>
      <w:tr>
        <w:trPr>
          <w:trHeight w:val="248" w:hRule="exact"/>
        </w:trPr>
        <w:tc>
          <w:tcPr>
            <w:tcW w:w="3755"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45" w:right="0"/>
              <w:jc w:val="left"/>
              <w:rPr>
                <w:rFonts w:ascii="宋体" w:hAnsi="宋体" w:cs="宋体" w:eastAsia="宋体" w:hint="default"/>
                <w:sz w:val="18"/>
                <w:szCs w:val="18"/>
              </w:rPr>
            </w:pPr>
            <w:r>
              <w:rPr>
                <w:rFonts w:ascii="宋体" w:hAnsi="宋体" w:cs="宋体" w:eastAsia="宋体" w:hint="default"/>
                <w:sz w:val="18"/>
                <w:szCs w:val="18"/>
              </w:rPr>
              <w:t>稀释每股收益（元／股）</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0.68</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0.52</w:t>
            </w:r>
          </w:p>
        </w:tc>
        <w:tc>
          <w:tcPr>
            <w:tcW w:w="1765"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30.5</w:t>
            </w:r>
          </w:p>
        </w:tc>
        <w:tc>
          <w:tcPr>
            <w:tcW w:w="86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0.44</w:t>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0.73</w:t>
            </w:r>
          </w:p>
        </w:tc>
      </w:tr>
      <w:tr>
        <w:trPr>
          <w:trHeight w:val="481" w:hRule="exact"/>
        </w:trPr>
        <w:tc>
          <w:tcPr>
            <w:tcW w:w="375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45" w:right="0"/>
              <w:jc w:val="left"/>
              <w:rPr>
                <w:rFonts w:ascii="宋体" w:hAnsi="宋体" w:cs="宋体" w:eastAsia="宋体" w:hint="default"/>
                <w:sz w:val="18"/>
                <w:szCs w:val="18"/>
              </w:rPr>
            </w:pPr>
            <w:r>
              <w:rPr>
                <w:rFonts w:ascii="宋体" w:hAnsi="宋体" w:cs="宋体" w:eastAsia="宋体" w:hint="default"/>
                <w:sz w:val="18"/>
                <w:szCs w:val="18"/>
              </w:rPr>
              <w:t>扣除非经常性损益后的基本每股收益（元／</w:t>
            </w:r>
          </w:p>
          <w:p>
            <w:pPr>
              <w:pStyle w:val="TableParagraph"/>
              <w:spacing w:line="234" w:lineRule="exact"/>
              <w:ind w:left="145"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0.55</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0.51</w:t>
            </w:r>
          </w:p>
        </w:tc>
        <w:tc>
          <w:tcPr>
            <w:tcW w:w="17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7.7</w:t>
            </w:r>
          </w:p>
        </w:tc>
        <w:tc>
          <w:tcPr>
            <w:tcW w:w="8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0.35</w:t>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0.61</w:t>
            </w:r>
          </w:p>
        </w:tc>
      </w:tr>
      <w:tr>
        <w:trPr>
          <w:trHeight w:val="248" w:hRule="exact"/>
        </w:trPr>
        <w:tc>
          <w:tcPr>
            <w:tcW w:w="3755"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45"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17.21</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15.25</w:t>
            </w:r>
          </w:p>
        </w:tc>
        <w:tc>
          <w:tcPr>
            <w:tcW w:w="1765"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宋体" w:hAnsi="宋体" w:cs="宋体" w:eastAsia="宋体" w:hint="default"/>
                <w:sz w:val="18"/>
                <w:szCs w:val="18"/>
              </w:rPr>
              <w:t>1.96</w:t>
            </w:r>
            <w:r>
              <w:rPr>
                <w:rFonts w:ascii="宋体" w:hAnsi="宋体" w:cs="宋体" w:eastAsia="宋体" w:hint="default"/>
                <w:spacing w:val="-46"/>
                <w:sz w:val="18"/>
                <w:szCs w:val="18"/>
              </w:rPr>
              <w:t> </w:t>
            </w:r>
            <w:r>
              <w:rPr>
                <w:rFonts w:ascii="宋体" w:hAnsi="宋体" w:cs="宋体" w:eastAsia="宋体" w:hint="default"/>
                <w:sz w:val="18"/>
                <w:szCs w:val="18"/>
              </w:rPr>
              <w:t>个百分点</w:t>
            </w:r>
          </w:p>
        </w:tc>
        <w:tc>
          <w:tcPr>
            <w:tcW w:w="86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14.85</w:t>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13.52</w:t>
            </w:r>
          </w:p>
        </w:tc>
      </w:tr>
      <w:tr>
        <w:trPr>
          <w:trHeight w:val="482" w:hRule="exact"/>
        </w:trPr>
        <w:tc>
          <w:tcPr>
            <w:tcW w:w="375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45" w:right="0"/>
              <w:jc w:val="left"/>
              <w:rPr>
                <w:rFonts w:ascii="宋体" w:hAnsi="宋体" w:cs="宋体" w:eastAsia="宋体" w:hint="default"/>
                <w:sz w:val="18"/>
                <w:szCs w:val="18"/>
              </w:rPr>
            </w:pPr>
            <w:r>
              <w:rPr>
                <w:rFonts w:ascii="宋体" w:hAnsi="宋体" w:cs="宋体" w:eastAsia="宋体" w:hint="default"/>
                <w:sz w:val="18"/>
                <w:szCs w:val="18"/>
              </w:rPr>
              <w:t>扣除非经常性损益后的加权平均净资产收益</w:t>
            </w:r>
          </w:p>
          <w:p>
            <w:pPr>
              <w:pStyle w:val="TableParagraph"/>
              <w:spacing w:line="235" w:lineRule="exact"/>
              <w:ind w:left="145" w:right="0"/>
              <w:jc w:val="left"/>
              <w:rPr>
                <w:rFonts w:ascii="宋体" w:hAnsi="宋体" w:cs="宋体" w:eastAsia="宋体" w:hint="default"/>
                <w:sz w:val="18"/>
                <w:szCs w:val="18"/>
              </w:rPr>
            </w:pPr>
            <w:r>
              <w:rPr>
                <w:rFonts w:ascii="宋体" w:hAnsi="宋体" w:cs="宋体" w:eastAsia="宋体" w:hint="default"/>
                <w:sz w:val="18"/>
                <w:szCs w:val="18"/>
              </w:rPr>
              <w:t>率（%）</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14.02</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15.06</w:t>
            </w:r>
          </w:p>
        </w:tc>
        <w:tc>
          <w:tcPr>
            <w:tcW w:w="17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17"/>
              <w:jc w:val="righ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6"/>
                <w:sz w:val="18"/>
                <w:szCs w:val="18"/>
              </w:rPr>
              <w:t> </w:t>
            </w:r>
            <w:r>
              <w:rPr>
                <w:rFonts w:ascii="宋体" w:hAnsi="宋体" w:cs="宋体" w:eastAsia="宋体" w:hint="default"/>
                <w:sz w:val="18"/>
                <w:szCs w:val="18"/>
              </w:rPr>
              <w:t>1.04</w:t>
            </w:r>
            <w:r>
              <w:rPr>
                <w:rFonts w:ascii="宋体" w:hAnsi="宋体" w:cs="宋体" w:eastAsia="宋体" w:hint="default"/>
                <w:spacing w:val="-46"/>
                <w:sz w:val="18"/>
                <w:szCs w:val="18"/>
              </w:rPr>
              <w:t> </w:t>
            </w:r>
            <w:r>
              <w:rPr>
                <w:rFonts w:ascii="宋体" w:hAnsi="宋体" w:cs="宋体" w:eastAsia="宋体" w:hint="default"/>
                <w:sz w:val="18"/>
                <w:szCs w:val="18"/>
              </w:rPr>
              <w:t>个百分点</w:t>
            </w:r>
          </w:p>
        </w:tc>
        <w:tc>
          <w:tcPr>
            <w:tcW w:w="8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11.94</w:t>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11.30</w:t>
            </w:r>
          </w:p>
        </w:tc>
      </w:tr>
      <w:tr>
        <w:trPr>
          <w:trHeight w:val="572" w:hRule="exact"/>
        </w:trPr>
        <w:tc>
          <w:tcPr>
            <w:tcW w:w="3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45" w:right="0"/>
              <w:jc w:val="left"/>
              <w:rPr>
                <w:rFonts w:ascii="宋体" w:hAnsi="宋体" w:cs="宋体" w:eastAsia="宋体" w:hint="default"/>
                <w:sz w:val="18"/>
                <w:szCs w:val="18"/>
              </w:rPr>
            </w:pPr>
            <w:r>
              <w:rPr>
                <w:rFonts w:ascii="宋体" w:hAnsi="宋体" w:cs="宋体" w:eastAsia="宋体" w:hint="default"/>
                <w:sz w:val="18"/>
                <w:szCs w:val="18"/>
              </w:rPr>
              <w:t>每股经营活动产生的现金流量净额（元／股）</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right="98"/>
              <w:jc w:val="right"/>
              <w:rPr>
                <w:rFonts w:ascii="宋体" w:hAnsi="宋体" w:cs="宋体" w:eastAsia="宋体" w:hint="default"/>
                <w:sz w:val="18"/>
                <w:szCs w:val="18"/>
              </w:rPr>
            </w:pPr>
            <w:r>
              <w:rPr>
                <w:rFonts w:ascii="宋体"/>
                <w:sz w:val="18"/>
              </w:rPr>
              <w:t>0.82</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right="98"/>
              <w:jc w:val="right"/>
              <w:rPr>
                <w:rFonts w:ascii="宋体" w:hAnsi="宋体" w:cs="宋体" w:eastAsia="宋体" w:hint="default"/>
                <w:sz w:val="18"/>
                <w:szCs w:val="18"/>
              </w:rPr>
            </w:pPr>
            <w:r>
              <w:rPr>
                <w:rFonts w:ascii="宋体"/>
                <w:sz w:val="18"/>
              </w:rPr>
              <w:t>0.78</w:t>
            </w:r>
          </w:p>
        </w:tc>
        <w:tc>
          <w:tcPr>
            <w:tcW w:w="17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right="98"/>
              <w:jc w:val="right"/>
              <w:rPr>
                <w:rFonts w:ascii="宋体" w:hAnsi="宋体" w:cs="宋体" w:eastAsia="宋体" w:hint="default"/>
                <w:sz w:val="18"/>
                <w:szCs w:val="18"/>
              </w:rPr>
            </w:pPr>
            <w:r>
              <w:rPr>
                <w:rFonts w:ascii="宋体"/>
                <w:sz w:val="18"/>
              </w:rPr>
              <w:t>5.5</w:t>
            </w:r>
          </w:p>
        </w:tc>
        <w:tc>
          <w:tcPr>
            <w:tcW w:w="8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right="98"/>
              <w:jc w:val="right"/>
              <w:rPr>
                <w:rFonts w:ascii="宋体" w:hAnsi="宋体" w:cs="宋体" w:eastAsia="宋体" w:hint="default"/>
                <w:sz w:val="18"/>
                <w:szCs w:val="18"/>
              </w:rPr>
            </w:pPr>
            <w:r>
              <w:rPr>
                <w:rFonts w:ascii="宋体"/>
                <w:sz w:val="18"/>
              </w:rPr>
              <w:t>1.33</w:t>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right="97"/>
              <w:jc w:val="right"/>
              <w:rPr>
                <w:rFonts w:ascii="宋体" w:hAnsi="宋体" w:cs="宋体" w:eastAsia="宋体" w:hint="default"/>
                <w:sz w:val="18"/>
                <w:szCs w:val="18"/>
              </w:rPr>
            </w:pPr>
            <w:r>
              <w:rPr>
                <w:rFonts w:ascii="宋体"/>
                <w:sz w:val="18"/>
              </w:rPr>
              <w:t>1.59</w:t>
            </w:r>
          </w:p>
        </w:tc>
      </w:tr>
      <w:tr>
        <w:trPr>
          <w:trHeight w:val="248" w:hRule="exact"/>
        </w:trPr>
        <w:tc>
          <w:tcPr>
            <w:tcW w:w="3755" w:type="dxa"/>
            <w:vMerge w:val="restart"/>
            <w:tcBorders>
              <w:top w:val="single" w:sz="6" w:space="0" w:color="000000"/>
              <w:left w:val="single" w:sz="6" w:space="0" w:color="000000"/>
              <w:right w:val="single" w:sz="6" w:space="0" w:color="000000"/>
            </w:tcBorders>
          </w:tcPr>
          <w:p>
            <w:pPr>
              <w:pStyle w:val="TableParagraph"/>
              <w:spacing w:line="240" w:lineRule="auto" w:before="87"/>
              <w:ind w:left="42"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274" w:type="dxa"/>
            <w:vMerge w:val="restart"/>
            <w:tcBorders>
              <w:top w:val="single" w:sz="6" w:space="0" w:color="000000"/>
              <w:left w:val="single" w:sz="6" w:space="0" w:color="000000"/>
              <w:right w:val="single" w:sz="6" w:space="0" w:color="000000"/>
            </w:tcBorders>
          </w:tcPr>
          <w:p>
            <w:pPr>
              <w:pStyle w:val="TableParagraph"/>
              <w:spacing w:line="240" w:lineRule="auto" w:before="87"/>
              <w:ind w:left="244" w:right="0"/>
              <w:jc w:val="left"/>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49"/>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c>
          <w:tcPr>
            <w:tcW w:w="1160" w:type="dxa"/>
            <w:vMerge w:val="restart"/>
            <w:tcBorders>
              <w:top w:val="single" w:sz="6" w:space="0" w:color="000000"/>
              <w:left w:val="single" w:sz="6" w:space="0" w:color="000000"/>
              <w:right w:val="single" w:sz="6" w:space="0" w:color="000000"/>
            </w:tcBorders>
          </w:tcPr>
          <w:p>
            <w:pPr>
              <w:pStyle w:val="TableParagraph"/>
              <w:spacing w:line="240" w:lineRule="auto" w:before="87"/>
              <w:ind w:left="187" w:right="0"/>
              <w:jc w:val="left"/>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9"/>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c>
          <w:tcPr>
            <w:tcW w:w="1765" w:type="dxa"/>
            <w:vMerge w:val="restart"/>
            <w:tcBorders>
              <w:top w:val="single" w:sz="6" w:space="0" w:color="000000"/>
              <w:left w:val="single" w:sz="6" w:space="0" w:color="000000"/>
              <w:right w:val="single" w:sz="6"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b/>
                <w:bCs/>
                <w:sz w:val="18"/>
                <w:szCs w:val="18"/>
              </w:rPr>
              <w:t>本期末比上年同期</w:t>
            </w:r>
            <w:r>
              <w:rPr>
                <w:rFonts w:ascii="宋体" w:hAnsi="宋体" w:cs="宋体" w:eastAsia="宋体" w:hint="default"/>
                <w:sz w:val="18"/>
                <w:szCs w:val="18"/>
              </w:rPr>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b/>
                <w:bCs/>
                <w:sz w:val="18"/>
                <w:szCs w:val="18"/>
              </w:rPr>
              <w:t>末增减（%）</w:t>
            </w:r>
            <w:r>
              <w:rPr>
                <w:rFonts w:ascii="宋体" w:hAnsi="宋体" w:cs="宋体" w:eastAsia="宋体" w:hint="default"/>
                <w:sz w:val="18"/>
                <w:szCs w:val="18"/>
              </w:rPr>
            </w:r>
          </w:p>
        </w:tc>
        <w:tc>
          <w:tcPr>
            <w:tcW w:w="1795"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05" w:right="0"/>
              <w:jc w:val="left"/>
              <w:rPr>
                <w:rFonts w:ascii="宋体" w:hAnsi="宋体" w:cs="宋体" w:eastAsia="宋体" w:hint="default"/>
                <w:sz w:val="18"/>
                <w:szCs w:val="18"/>
              </w:rPr>
            </w:pPr>
            <w:r>
              <w:rPr>
                <w:rFonts w:ascii="宋体" w:hAnsi="宋体" w:cs="宋体" w:eastAsia="宋体" w:hint="default"/>
                <w:b/>
                <w:bCs/>
                <w:sz w:val="18"/>
                <w:szCs w:val="18"/>
              </w:rPr>
              <w:t>2007</w:t>
            </w:r>
            <w:r>
              <w:rPr>
                <w:rFonts w:ascii="宋体" w:hAnsi="宋体" w:cs="宋体" w:eastAsia="宋体" w:hint="default"/>
                <w:b/>
                <w:bCs/>
                <w:spacing w:val="-49"/>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r>
      <w:tr>
        <w:trPr>
          <w:trHeight w:val="248" w:hRule="exact"/>
        </w:trPr>
        <w:tc>
          <w:tcPr>
            <w:tcW w:w="3755" w:type="dxa"/>
            <w:vMerge/>
            <w:tcBorders>
              <w:left w:val="single" w:sz="6" w:space="0" w:color="000000"/>
              <w:bottom w:val="single" w:sz="6" w:space="0" w:color="000000"/>
              <w:right w:val="single" w:sz="6" w:space="0" w:color="000000"/>
            </w:tcBorders>
          </w:tcPr>
          <w:p>
            <w:pPr/>
          </w:p>
        </w:tc>
        <w:tc>
          <w:tcPr>
            <w:tcW w:w="1274" w:type="dxa"/>
            <w:vMerge/>
            <w:tcBorders>
              <w:left w:val="single" w:sz="6" w:space="0" w:color="000000"/>
              <w:bottom w:val="single" w:sz="6" w:space="0" w:color="000000"/>
              <w:right w:val="single" w:sz="6" w:space="0" w:color="000000"/>
            </w:tcBorders>
          </w:tcPr>
          <w:p>
            <w:pPr/>
          </w:p>
        </w:tc>
        <w:tc>
          <w:tcPr>
            <w:tcW w:w="1160" w:type="dxa"/>
            <w:vMerge/>
            <w:tcBorders>
              <w:left w:val="single" w:sz="6" w:space="0" w:color="000000"/>
              <w:bottom w:val="single" w:sz="6" w:space="0" w:color="000000"/>
              <w:right w:val="single" w:sz="6" w:space="0" w:color="000000"/>
            </w:tcBorders>
          </w:tcPr>
          <w:p>
            <w:pPr/>
          </w:p>
        </w:tc>
        <w:tc>
          <w:tcPr>
            <w:tcW w:w="1765" w:type="dxa"/>
            <w:vMerge/>
            <w:tcBorders>
              <w:left w:val="single" w:sz="6" w:space="0" w:color="000000"/>
              <w:bottom w:val="single" w:sz="6" w:space="0" w:color="000000"/>
              <w:right w:val="single" w:sz="6" w:space="0" w:color="000000"/>
            </w:tcBorders>
          </w:tcPr>
          <w:p>
            <w:pPr/>
          </w:p>
        </w:tc>
        <w:tc>
          <w:tcPr>
            <w:tcW w:w="86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52"/>
              <w:jc w:val="right"/>
              <w:rPr>
                <w:rFonts w:ascii="宋体" w:hAnsi="宋体" w:cs="宋体" w:eastAsia="宋体" w:hint="default"/>
                <w:sz w:val="18"/>
                <w:szCs w:val="18"/>
              </w:rPr>
            </w:pPr>
            <w:r>
              <w:rPr>
                <w:rFonts w:ascii="宋体" w:hAnsi="宋体" w:cs="宋体" w:eastAsia="宋体" w:hint="default"/>
                <w:sz w:val="18"/>
                <w:szCs w:val="18"/>
              </w:rPr>
              <w:t>调整后</w:t>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88" w:right="0"/>
              <w:jc w:val="left"/>
              <w:rPr>
                <w:rFonts w:ascii="宋体" w:hAnsi="宋体" w:cs="宋体" w:eastAsia="宋体" w:hint="default"/>
                <w:sz w:val="18"/>
                <w:szCs w:val="18"/>
              </w:rPr>
            </w:pPr>
            <w:r>
              <w:rPr>
                <w:rFonts w:ascii="宋体" w:hAnsi="宋体" w:cs="宋体" w:eastAsia="宋体" w:hint="default"/>
                <w:sz w:val="18"/>
                <w:szCs w:val="18"/>
              </w:rPr>
              <w:t>调整前</w:t>
            </w:r>
          </w:p>
        </w:tc>
      </w:tr>
      <w:tr>
        <w:trPr>
          <w:trHeight w:val="373" w:hRule="exact"/>
        </w:trPr>
        <w:tc>
          <w:tcPr>
            <w:tcW w:w="3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145" w:right="0"/>
              <w:jc w:val="left"/>
              <w:rPr>
                <w:rFonts w:ascii="宋体" w:hAnsi="宋体" w:cs="宋体" w:eastAsia="宋体" w:hint="default"/>
                <w:sz w:val="18"/>
                <w:szCs w:val="18"/>
              </w:rPr>
            </w:pPr>
            <w:r>
              <w:rPr>
                <w:rFonts w:ascii="宋体" w:hAnsi="宋体" w:cs="宋体" w:eastAsia="宋体" w:hint="default"/>
                <w:sz w:val="18"/>
                <w:szCs w:val="18"/>
              </w:rPr>
              <w:t>归属于上市公司股东的每股净资产（元／股）</w:t>
            </w:r>
          </w:p>
        </w:tc>
        <w:tc>
          <w:tcPr>
            <w:tcW w:w="12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8"/>
              <w:jc w:val="right"/>
              <w:rPr>
                <w:rFonts w:ascii="宋体" w:hAnsi="宋体" w:cs="宋体" w:eastAsia="宋体" w:hint="default"/>
                <w:sz w:val="18"/>
                <w:szCs w:val="18"/>
              </w:rPr>
            </w:pPr>
            <w:r>
              <w:rPr>
                <w:rFonts w:ascii="宋体"/>
                <w:sz w:val="18"/>
              </w:rPr>
              <w:t>4.23</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8"/>
              <w:jc w:val="right"/>
              <w:rPr>
                <w:rFonts w:ascii="宋体" w:hAnsi="宋体" w:cs="宋体" w:eastAsia="宋体" w:hint="default"/>
                <w:sz w:val="18"/>
                <w:szCs w:val="18"/>
              </w:rPr>
            </w:pPr>
            <w:r>
              <w:rPr>
                <w:rFonts w:ascii="宋体"/>
                <w:sz w:val="18"/>
              </w:rPr>
              <w:t>3.61</w:t>
            </w:r>
          </w:p>
        </w:tc>
        <w:tc>
          <w:tcPr>
            <w:tcW w:w="17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8"/>
              <w:jc w:val="right"/>
              <w:rPr>
                <w:rFonts w:ascii="宋体" w:hAnsi="宋体" w:cs="宋体" w:eastAsia="宋体" w:hint="default"/>
                <w:sz w:val="18"/>
                <w:szCs w:val="18"/>
              </w:rPr>
            </w:pPr>
            <w:r>
              <w:rPr>
                <w:rFonts w:ascii="宋体"/>
                <w:sz w:val="18"/>
              </w:rPr>
              <w:t>17.3</w:t>
            </w:r>
          </w:p>
        </w:tc>
        <w:tc>
          <w:tcPr>
            <w:tcW w:w="8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8"/>
              <w:jc w:val="right"/>
              <w:rPr>
                <w:rFonts w:ascii="宋体" w:hAnsi="宋体" w:cs="宋体" w:eastAsia="宋体" w:hint="default"/>
                <w:sz w:val="18"/>
                <w:szCs w:val="18"/>
              </w:rPr>
            </w:pPr>
            <w:r>
              <w:rPr>
                <w:rFonts w:ascii="宋体"/>
                <w:sz w:val="18"/>
              </w:rPr>
              <w:t>5.76</w:t>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7"/>
              <w:jc w:val="right"/>
              <w:rPr>
                <w:rFonts w:ascii="宋体" w:hAnsi="宋体" w:cs="宋体" w:eastAsia="宋体" w:hint="default"/>
                <w:sz w:val="18"/>
                <w:szCs w:val="18"/>
              </w:rPr>
            </w:pPr>
            <w:r>
              <w:rPr>
                <w:rFonts w:ascii="宋体"/>
                <w:sz w:val="18"/>
              </w:rPr>
              <w:t>5.74</w:t>
            </w:r>
          </w:p>
        </w:tc>
      </w:tr>
    </w:tbl>
    <w:p>
      <w:pPr>
        <w:spacing w:line="240" w:lineRule="auto" w:before="6"/>
        <w:rPr>
          <w:rFonts w:ascii="宋体" w:hAnsi="宋体" w:cs="宋体" w:eastAsia="宋体" w:hint="default"/>
          <w:sz w:val="15"/>
          <w:szCs w:val="15"/>
        </w:rPr>
      </w:pPr>
    </w:p>
    <w:p>
      <w:pPr>
        <w:spacing w:line="272" w:lineRule="exact" w:before="63"/>
        <w:ind w:left="380" w:right="365" w:firstLine="0"/>
        <w:jc w:val="left"/>
        <w:rPr>
          <w:rFonts w:ascii="宋体" w:hAnsi="宋体" w:cs="宋体" w:eastAsia="宋体" w:hint="default"/>
          <w:sz w:val="21"/>
          <w:szCs w:val="21"/>
        </w:rPr>
      </w:pPr>
      <w:r>
        <w:rPr>
          <w:rFonts w:ascii="宋体" w:hAnsi="宋体" w:cs="宋体" w:eastAsia="宋体" w:hint="default"/>
          <w:sz w:val="21"/>
          <w:szCs w:val="21"/>
        </w:rPr>
        <w:t>注：1、以上</w:t>
      </w:r>
      <w:r>
        <w:rPr>
          <w:rFonts w:ascii="宋体" w:hAnsi="宋体" w:cs="宋体" w:eastAsia="宋体" w:hint="default"/>
          <w:spacing w:val="-54"/>
          <w:sz w:val="21"/>
          <w:szCs w:val="21"/>
        </w:rPr>
        <w:t> </w:t>
      </w: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年度调整后数据，为按照模拟本公司换股吸收合并原控股股东－东软集团有限公司</w:t>
      </w:r>
      <w:r>
        <w:rPr>
          <w:rFonts w:ascii="宋体" w:hAnsi="宋体" w:cs="宋体" w:eastAsia="宋体" w:hint="default"/>
          <w:sz w:val="21"/>
          <w:szCs w:val="21"/>
        </w:rPr>
        <w:t> 追溯调整后的数据，调整前数据为合并前本公司年度报告披露的数据。</w:t>
      </w:r>
    </w:p>
    <w:p>
      <w:pPr>
        <w:spacing w:line="246" w:lineRule="exact" w:before="0"/>
        <w:ind w:left="802" w:right="0" w:firstLine="0"/>
        <w:jc w:val="left"/>
        <w:rPr>
          <w:rFonts w:ascii="宋体" w:hAnsi="宋体" w:cs="宋体" w:eastAsia="宋体" w:hint="default"/>
          <w:sz w:val="21"/>
          <w:szCs w:val="21"/>
        </w:rPr>
      </w:pPr>
      <w:r>
        <w:rPr>
          <w:rFonts w:ascii="宋体" w:hAnsi="宋体" w:cs="宋体" w:eastAsia="宋体" w:hint="default"/>
          <w:spacing w:val="11"/>
          <w:sz w:val="21"/>
          <w:szCs w:val="21"/>
        </w:rPr>
        <w:t>2、根据相关规定，每股收益的计算，调整后数据均按 </w:t>
      </w:r>
      <w:r>
        <w:rPr>
          <w:rFonts w:ascii="宋体" w:hAnsi="宋体" w:cs="宋体" w:eastAsia="宋体" w:hint="default"/>
          <w:sz w:val="21"/>
          <w:szCs w:val="21"/>
        </w:rPr>
        <w:t>944,303,265</w:t>
      </w:r>
      <w:r>
        <w:rPr>
          <w:rFonts w:ascii="宋体" w:hAnsi="宋体" w:cs="宋体" w:eastAsia="宋体" w:hint="default"/>
          <w:spacing w:val="28"/>
          <w:sz w:val="21"/>
          <w:szCs w:val="21"/>
        </w:rPr>
        <w:t> </w:t>
      </w:r>
      <w:r>
        <w:rPr>
          <w:rFonts w:ascii="宋体" w:hAnsi="宋体" w:cs="宋体" w:eastAsia="宋体" w:hint="default"/>
          <w:spacing w:val="11"/>
          <w:sz w:val="21"/>
          <w:szCs w:val="21"/>
        </w:rPr>
        <w:t>股计算，调整前数据按</w:t>
      </w:r>
    </w:p>
    <w:p>
      <w:pPr>
        <w:spacing w:line="272" w:lineRule="exact" w:before="0"/>
        <w:ind w:left="380" w:right="0" w:firstLine="0"/>
        <w:jc w:val="left"/>
        <w:rPr>
          <w:rFonts w:ascii="宋体" w:hAnsi="宋体" w:cs="宋体" w:eastAsia="宋体" w:hint="default"/>
          <w:sz w:val="21"/>
          <w:szCs w:val="21"/>
        </w:rPr>
      </w:pPr>
      <w:r>
        <w:rPr>
          <w:rFonts w:ascii="宋体" w:hAnsi="宋体" w:cs="宋体" w:eastAsia="宋体" w:hint="default"/>
          <w:sz w:val="21"/>
          <w:szCs w:val="21"/>
        </w:rPr>
        <w:t>281,451,690</w:t>
      </w:r>
      <w:r>
        <w:rPr>
          <w:rFonts w:ascii="宋体" w:hAnsi="宋体" w:cs="宋体" w:eastAsia="宋体" w:hint="default"/>
          <w:spacing w:val="-53"/>
          <w:sz w:val="21"/>
          <w:szCs w:val="21"/>
        </w:rPr>
        <w:t> </w:t>
      </w:r>
      <w:r>
        <w:rPr>
          <w:rFonts w:ascii="宋体" w:hAnsi="宋体" w:cs="宋体" w:eastAsia="宋体" w:hint="default"/>
          <w:spacing w:val="-6"/>
          <w:sz w:val="21"/>
          <w:szCs w:val="21"/>
        </w:rPr>
        <w:t>股计算；每股经营现金流量、每股净资产的计算，2009</w:t>
      </w:r>
      <w:r>
        <w:rPr>
          <w:rFonts w:ascii="宋体" w:hAnsi="宋体" w:cs="宋体" w:eastAsia="宋体" w:hint="default"/>
          <w:spacing w:val="-53"/>
          <w:sz w:val="21"/>
          <w:szCs w:val="21"/>
        </w:rPr>
        <w:t> </w:t>
      </w:r>
      <w:r>
        <w:rPr>
          <w:rFonts w:ascii="宋体" w:hAnsi="宋体" w:cs="宋体" w:eastAsia="宋体" w:hint="default"/>
          <w:spacing w:val="-8"/>
          <w:sz w:val="21"/>
          <w:szCs w:val="21"/>
        </w:rPr>
        <w:t>年度、2008</w:t>
      </w:r>
      <w:r>
        <w:rPr>
          <w:rFonts w:ascii="宋体" w:hAnsi="宋体" w:cs="宋体" w:eastAsia="宋体" w:hint="default"/>
          <w:spacing w:val="-52"/>
          <w:sz w:val="21"/>
          <w:szCs w:val="21"/>
        </w:rPr>
        <w:t> </w:t>
      </w:r>
      <w:r>
        <w:rPr>
          <w:rFonts w:ascii="宋体" w:hAnsi="宋体" w:cs="宋体" w:eastAsia="宋体" w:hint="default"/>
          <w:sz w:val="21"/>
          <w:szCs w:val="21"/>
        </w:rPr>
        <w:t>年度按照</w:t>
      </w:r>
      <w:r>
        <w:rPr>
          <w:rFonts w:ascii="宋体" w:hAnsi="宋体" w:cs="宋体" w:eastAsia="宋体" w:hint="default"/>
          <w:spacing w:val="-54"/>
          <w:sz w:val="21"/>
          <w:szCs w:val="21"/>
        </w:rPr>
        <w:t> </w:t>
      </w:r>
      <w:r>
        <w:rPr>
          <w:rFonts w:ascii="宋体" w:hAnsi="宋体" w:cs="宋体" w:eastAsia="宋体" w:hint="default"/>
          <w:sz w:val="21"/>
          <w:szCs w:val="21"/>
        </w:rPr>
        <w:t>944,303,265</w:t>
      </w:r>
    </w:p>
    <w:p>
      <w:pPr>
        <w:spacing w:line="274" w:lineRule="exact" w:before="0"/>
        <w:ind w:left="380" w:right="365" w:firstLine="0"/>
        <w:jc w:val="left"/>
        <w:rPr>
          <w:rFonts w:ascii="宋体" w:hAnsi="宋体" w:cs="宋体" w:eastAsia="宋体" w:hint="default"/>
          <w:sz w:val="21"/>
          <w:szCs w:val="21"/>
        </w:rPr>
      </w:pPr>
      <w:r>
        <w:rPr>
          <w:rFonts w:ascii="宋体" w:hAnsi="宋体" w:cs="宋体" w:eastAsia="宋体" w:hint="default"/>
          <w:sz w:val="21"/>
          <w:szCs w:val="21"/>
        </w:rPr>
        <w:t>股计算，2007</w:t>
      </w:r>
      <w:r>
        <w:rPr>
          <w:rFonts w:ascii="宋体" w:hAnsi="宋体" w:cs="宋体" w:eastAsia="宋体" w:hint="default"/>
          <w:spacing w:val="-58"/>
          <w:sz w:val="21"/>
          <w:szCs w:val="21"/>
        </w:rPr>
        <w:t> </w:t>
      </w:r>
      <w:r>
        <w:rPr>
          <w:rFonts w:ascii="宋体" w:hAnsi="宋体" w:cs="宋体" w:eastAsia="宋体" w:hint="default"/>
          <w:sz w:val="21"/>
          <w:szCs w:val="21"/>
        </w:rPr>
        <w:t>年度调整后数据按</w:t>
      </w:r>
      <w:r>
        <w:rPr>
          <w:rFonts w:ascii="宋体" w:hAnsi="宋体" w:cs="宋体" w:eastAsia="宋体" w:hint="default"/>
          <w:spacing w:val="-59"/>
          <w:sz w:val="21"/>
          <w:szCs w:val="21"/>
        </w:rPr>
        <w:t> </w:t>
      </w:r>
      <w:r>
        <w:rPr>
          <w:rFonts w:ascii="宋体" w:hAnsi="宋体" w:cs="宋体" w:eastAsia="宋体" w:hint="default"/>
          <w:sz w:val="21"/>
          <w:szCs w:val="21"/>
        </w:rPr>
        <w:t>524,612,925</w:t>
      </w:r>
      <w:r>
        <w:rPr>
          <w:rFonts w:ascii="宋体" w:hAnsi="宋体" w:cs="宋体" w:eastAsia="宋体" w:hint="default"/>
          <w:spacing w:val="-58"/>
          <w:sz w:val="21"/>
          <w:szCs w:val="21"/>
        </w:rPr>
        <w:t> </w:t>
      </w:r>
      <w:r>
        <w:rPr>
          <w:rFonts w:ascii="宋体" w:hAnsi="宋体" w:cs="宋体" w:eastAsia="宋体" w:hint="default"/>
          <w:sz w:val="21"/>
          <w:szCs w:val="21"/>
        </w:rPr>
        <w:t>股计算，调整前数据按</w:t>
      </w:r>
      <w:r>
        <w:rPr>
          <w:rFonts w:ascii="宋体" w:hAnsi="宋体" w:cs="宋体" w:eastAsia="宋体" w:hint="default"/>
          <w:spacing w:val="-59"/>
          <w:sz w:val="21"/>
          <w:szCs w:val="21"/>
        </w:rPr>
        <w:t> </w:t>
      </w:r>
      <w:r>
        <w:rPr>
          <w:rFonts w:ascii="宋体" w:hAnsi="宋体" w:cs="宋体" w:eastAsia="宋体" w:hint="default"/>
          <w:sz w:val="21"/>
          <w:szCs w:val="21"/>
        </w:rPr>
        <w:t>281,451,690</w:t>
      </w:r>
      <w:r>
        <w:rPr>
          <w:rFonts w:ascii="宋体" w:hAnsi="宋体" w:cs="宋体" w:eastAsia="宋体" w:hint="default"/>
          <w:spacing w:val="-58"/>
          <w:sz w:val="21"/>
          <w:szCs w:val="21"/>
        </w:rPr>
        <w:t> </w:t>
      </w:r>
      <w:r>
        <w:rPr>
          <w:rFonts w:ascii="宋体" w:hAnsi="宋体" w:cs="宋体" w:eastAsia="宋体" w:hint="default"/>
          <w:sz w:val="21"/>
          <w:szCs w:val="21"/>
        </w:rPr>
        <w:t>股计算。</w:t>
      </w:r>
    </w:p>
    <w:p>
      <w:pPr>
        <w:spacing w:after="0" w:line="274" w:lineRule="exact"/>
        <w:jc w:val="left"/>
        <w:rPr>
          <w:rFonts w:ascii="宋体" w:hAnsi="宋体" w:cs="宋体" w:eastAsia="宋体" w:hint="default"/>
          <w:sz w:val="21"/>
          <w:szCs w:val="21"/>
        </w:rPr>
        <w:sectPr>
          <w:type w:val="continuous"/>
          <w:pgSz w:w="11910" w:h="16840"/>
          <w:pgMar w:top="1600" w:bottom="280" w:left="980" w:right="92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720" w:footer="721" w:top="1100" w:bottom="920" w:left="1060" w:right="1000"/>
        </w:sectPr>
      </w:pPr>
    </w:p>
    <w:p>
      <w:pPr>
        <w:pStyle w:val="BodyText"/>
        <w:spacing w:line="240" w:lineRule="auto" w:before="26"/>
        <w:ind w:left="300" w:right="-20"/>
        <w:jc w:val="left"/>
      </w:pPr>
      <w:bookmarkStart w:name="_bookmark3" w:id="5"/>
      <w:bookmarkEnd w:id="5"/>
      <w:r>
        <w:rPr/>
      </w:r>
      <w:r>
        <w:rPr/>
        <w:t>（四）采用公允价值计量的项目</w:t>
      </w:r>
    </w:p>
    <w:p>
      <w:pPr>
        <w:spacing w:line="240" w:lineRule="auto" w:before="0"/>
        <w:rPr>
          <w:rFonts w:ascii="宋体" w:hAnsi="宋体" w:cs="宋体" w:eastAsia="宋体" w:hint="default"/>
          <w:sz w:val="26"/>
          <w:szCs w:val="26"/>
        </w:rPr>
      </w:pPr>
      <w:r>
        <w:rPr/>
        <w:br w:type="column"/>
      </w:r>
      <w:r>
        <w:rPr>
          <w:rFonts w:ascii="宋体"/>
          <w:sz w:val="26"/>
        </w:rPr>
      </w:r>
    </w:p>
    <w:p>
      <w:pPr>
        <w:spacing w:before="0"/>
        <w:ind w:left="30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3"/>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060" w:right="1000"/>
          <w:cols w:num="2" w:equalWidth="0">
            <w:col w:w="3661" w:space="3585"/>
            <w:col w:w="2604"/>
          </w:cols>
        </w:sectPr>
      </w:pPr>
    </w:p>
    <w:p>
      <w:pPr>
        <w:spacing w:line="240" w:lineRule="auto" w:before="7"/>
        <w:rPr>
          <w:rFonts w:ascii="宋体" w:hAnsi="宋体" w:cs="宋体" w:eastAsia="宋体" w:hint="default"/>
          <w:sz w:val="2"/>
          <w:szCs w:val="2"/>
        </w:rPr>
      </w:pPr>
    </w:p>
    <w:tbl>
      <w:tblPr>
        <w:tblW w:w="0" w:type="auto"/>
        <w:jc w:val="left"/>
        <w:tblInd w:w="285" w:type="dxa"/>
        <w:tblLayout w:type="fixed"/>
        <w:tblCellMar>
          <w:top w:w="0" w:type="dxa"/>
          <w:left w:w="0" w:type="dxa"/>
          <w:bottom w:w="0" w:type="dxa"/>
          <w:right w:w="0" w:type="dxa"/>
        </w:tblCellMar>
        <w:tblLook w:val="01E0"/>
      </w:tblPr>
      <w:tblGrid>
        <w:gridCol w:w="1860"/>
        <w:gridCol w:w="1860"/>
        <w:gridCol w:w="1860"/>
        <w:gridCol w:w="1860"/>
        <w:gridCol w:w="1860"/>
      </w:tblGrid>
      <w:tr>
        <w:trPr>
          <w:trHeight w:val="56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00" w:right="0"/>
              <w:jc w:val="left"/>
              <w:rPr>
                <w:rFonts w:ascii="宋体" w:hAnsi="宋体" w:cs="宋体" w:eastAsia="宋体" w:hint="default"/>
                <w:sz w:val="21"/>
                <w:szCs w:val="21"/>
              </w:rPr>
            </w:pPr>
            <w:r>
              <w:rPr>
                <w:rFonts w:ascii="宋体" w:hAnsi="宋体" w:cs="宋体" w:eastAsia="宋体" w:hint="default"/>
                <w:b/>
                <w:bCs/>
                <w:sz w:val="21"/>
                <w:szCs w:val="21"/>
              </w:rPr>
              <w:t>项目名称</w:t>
            </w:r>
            <w:r>
              <w:rPr>
                <w:rFonts w:ascii="宋体" w:hAnsi="宋体" w:cs="宋体" w:eastAsia="宋体" w:hint="default"/>
                <w:sz w:val="21"/>
                <w:szCs w:val="21"/>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00"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00"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00" w:right="0"/>
              <w:jc w:val="left"/>
              <w:rPr>
                <w:rFonts w:ascii="宋体" w:hAnsi="宋体" w:cs="宋体" w:eastAsia="宋体" w:hint="default"/>
                <w:sz w:val="21"/>
                <w:szCs w:val="21"/>
              </w:rPr>
            </w:pPr>
            <w:r>
              <w:rPr>
                <w:rFonts w:ascii="宋体" w:hAnsi="宋体" w:cs="宋体" w:eastAsia="宋体" w:hint="default"/>
                <w:b/>
                <w:bCs/>
                <w:sz w:val="21"/>
                <w:szCs w:val="21"/>
              </w:rPr>
              <w:t>当期变动</w:t>
            </w:r>
            <w:r>
              <w:rPr>
                <w:rFonts w:ascii="宋体" w:hAnsi="宋体" w:cs="宋体" w:eastAsia="宋体" w:hint="default"/>
                <w:sz w:val="21"/>
                <w:szCs w:val="21"/>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b/>
                <w:bCs/>
                <w:sz w:val="21"/>
                <w:szCs w:val="21"/>
              </w:rPr>
              <w:t>对当期利润的影</w:t>
            </w:r>
            <w:r>
              <w:rPr>
                <w:rFonts w:ascii="宋体" w:hAnsi="宋体" w:cs="宋体" w:eastAsia="宋体" w:hint="default"/>
                <w:sz w:val="21"/>
                <w:szCs w:val="21"/>
              </w:rPr>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响金额</w:t>
            </w:r>
            <w:r>
              <w:rPr>
                <w:rFonts w:ascii="宋体" w:hAnsi="宋体" w:cs="宋体" w:eastAsia="宋体" w:hint="default"/>
                <w:sz w:val="21"/>
                <w:szCs w:val="21"/>
              </w:rPr>
            </w:r>
          </w:p>
        </w:tc>
      </w:tr>
      <w:tr>
        <w:trPr>
          <w:trHeight w:val="24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18"/>
                <w:szCs w:val="18"/>
              </w:rPr>
            </w:pPr>
            <w:r>
              <w:rPr>
                <w:rFonts w:ascii="Arial"/>
                <w:w w:val="99"/>
                <w:sz w:val="18"/>
              </w:rPr>
              <w:t>-</w:t>
            </w:r>
            <w:r>
              <w:rPr>
                <w:rFonts w:ascii="Arial"/>
                <w:sz w:val="18"/>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18"/>
                <w:szCs w:val="18"/>
              </w:rPr>
            </w:pPr>
            <w:r>
              <w:rPr>
                <w:rFonts w:ascii="Arial"/>
                <w:spacing w:val="-1"/>
                <w:sz w:val="18"/>
              </w:rPr>
              <w:t>436,360</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Arial" w:hAnsi="Arial" w:cs="Arial" w:eastAsia="Arial" w:hint="default"/>
                <w:sz w:val="18"/>
                <w:szCs w:val="18"/>
              </w:rPr>
            </w:pPr>
            <w:r>
              <w:rPr>
                <w:rFonts w:ascii="Arial"/>
                <w:spacing w:val="-1"/>
                <w:sz w:val="18"/>
              </w:rPr>
              <w:t>436,360</w:t>
            </w:r>
            <w:r>
              <w:rPr>
                <w:rFonts w:ascii="Arial"/>
                <w:sz w:val="18"/>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right="96"/>
              <w:jc w:val="right"/>
              <w:rPr>
                <w:rFonts w:ascii="Arial" w:hAnsi="Arial" w:cs="Arial" w:eastAsia="Arial" w:hint="default"/>
                <w:sz w:val="18"/>
                <w:szCs w:val="18"/>
              </w:rPr>
            </w:pPr>
            <w:r>
              <w:rPr>
                <w:rFonts w:ascii="Arial"/>
                <w:spacing w:val="-1"/>
                <w:w w:val="95"/>
                <w:sz w:val="18"/>
              </w:rPr>
              <w:t>392,724</w:t>
            </w:r>
            <w:r>
              <w:rPr>
                <w:rFonts w:ascii="Arial"/>
                <w:sz w:val="18"/>
              </w:rPr>
            </w:r>
          </w:p>
        </w:tc>
      </w:tr>
      <w:tr>
        <w:trPr>
          <w:trHeight w:val="24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Arial" w:hAnsi="Arial" w:cs="Arial" w:eastAsia="Arial" w:hint="default"/>
                <w:sz w:val="18"/>
                <w:szCs w:val="18"/>
              </w:rPr>
            </w:pPr>
            <w:r>
              <w:rPr>
                <w:rFonts w:ascii="Arial"/>
                <w:spacing w:val="-1"/>
                <w:sz w:val="18"/>
              </w:rPr>
              <w:t>80,171,609</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Arial" w:hAnsi="Arial" w:cs="Arial" w:eastAsia="Arial" w:hint="default"/>
                <w:sz w:val="18"/>
                <w:szCs w:val="18"/>
              </w:rPr>
            </w:pPr>
            <w:r>
              <w:rPr>
                <w:rFonts w:ascii="Arial"/>
                <w:w w:val="99"/>
                <w:sz w:val="18"/>
              </w:rPr>
              <w:t>-</w:t>
            </w:r>
            <w:r>
              <w:rPr>
                <w:rFonts w:ascii="Arial"/>
                <w:sz w:val="18"/>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Arial" w:hAnsi="Arial" w:cs="Arial" w:eastAsia="Arial" w:hint="default"/>
                <w:sz w:val="18"/>
                <w:szCs w:val="18"/>
              </w:rPr>
            </w:pPr>
            <w:r>
              <w:rPr>
                <w:rFonts w:ascii="Arial"/>
                <w:spacing w:val="-1"/>
                <w:sz w:val="18"/>
              </w:rPr>
              <w:t>-80,171,609</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right="96"/>
              <w:jc w:val="right"/>
              <w:rPr>
                <w:rFonts w:ascii="Arial" w:hAnsi="Arial" w:cs="Arial" w:eastAsia="Arial" w:hint="default"/>
                <w:sz w:val="18"/>
                <w:szCs w:val="18"/>
              </w:rPr>
            </w:pPr>
            <w:r>
              <w:rPr>
                <w:rFonts w:ascii="Arial"/>
                <w:spacing w:val="-1"/>
                <w:sz w:val="18"/>
              </w:rPr>
              <w:t>67,322,066</w:t>
            </w:r>
            <w:r>
              <w:rPr>
                <w:rFonts w:ascii="Arial"/>
                <w:sz w:val="18"/>
              </w:rPr>
            </w:r>
          </w:p>
        </w:tc>
      </w:tr>
      <w:tr>
        <w:trPr>
          <w:trHeight w:val="24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18"/>
                <w:szCs w:val="18"/>
              </w:rPr>
            </w:pPr>
            <w:r>
              <w:rPr>
                <w:rFonts w:ascii="Arial"/>
                <w:spacing w:val="-1"/>
                <w:sz w:val="18"/>
              </w:rPr>
              <w:t>8,760,139</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Arial" w:hAnsi="Arial" w:cs="Arial" w:eastAsia="Arial" w:hint="default"/>
                <w:sz w:val="18"/>
                <w:szCs w:val="18"/>
              </w:rPr>
            </w:pPr>
            <w:r>
              <w:rPr>
                <w:rFonts w:ascii="Arial"/>
                <w:w w:val="99"/>
                <w:sz w:val="18"/>
              </w:rPr>
              <w:t>-</w:t>
            </w:r>
            <w:r>
              <w:rPr>
                <w:rFonts w:ascii="Arial"/>
                <w:sz w:val="18"/>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Arial" w:hAnsi="Arial" w:cs="Arial" w:eastAsia="Arial" w:hint="default"/>
                <w:sz w:val="18"/>
                <w:szCs w:val="18"/>
              </w:rPr>
            </w:pPr>
            <w:r>
              <w:rPr>
                <w:rFonts w:ascii="Arial"/>
                <w:spacing w:val="-1"/>
                <w:sz w:val="18"/>
              </w:rPr>
              <w:t>-8,760,139</w:t>
            </w:r>
            <w:r>
              <w:rPr>
                <w:rFonts w:ascii="Arial"/>
                <w:sz w:val="18"/>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right="96"/>
              <w:jc w:val="right"/>
              <w:rPr>
                <w:rFonts w:ascii="Arial" w:hAnsi="Arial" w:cs="Arial" w:eastAsia="Arial" w:hint="default"/>
                <w:sz w:val="18"/>
                <w:szCs w:val="18"/>
              </w:rPr>
            </w:pPr>
            <w:r>
              <w:rPr>
                <w:rFonts w:ascii="Arial"/>
                <w:spacing w:val="-1"/>
                <w:sz w:val="18"/>
              </w:rPr>
              <w:t>7,884,125</w:t>
            </w:r>
            <w:r>
              <w:rPr>
                <w:rFonts w:ascii="Arial"/>
                <w:sz w:val="18"/>
              </w:rPr>
            </w:r>
          </w:p>
        </w:tc>
      </w:tr>
      <w:tr>
        <w:trPr>
          <w:trHeight w:val="24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18"/>
                <w:szCs w:val="18"/>
              </w:rPr>
            </w:pPr>
            <w:r>
              <w:rPr>
                <w:rFonts w:ascii="Arial"/>
                <w:spacing w:val="-1"/>
                <w:sz w:val="18"/>
              </w:rPr>
              <w:t>88,931,748</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18"/>
                <w:szCs w:val="18"/>
              </w:rPr>
            </w:pPr>
            <w:r>
              <w:rPr>
                <w:rFonts w:ascii="Arial"/>
                <w:spacing w:val="-1"/>
                <w:sz w:val="18"/>
              </w:rPr>
              <w:t>436,360</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Arial" w:hAnsi="Arial" w:cs="Arial" w:eastAsia="Arial" w:hint="default"/>
                <w:sz w:val="18"/>
                <w:szCs w:val="18"/>
              </w:rPr>
            </w:pPr>
            <w:r>
              <w:rPr>
                <w:rFonts w:ascii="Arial"/>
                <w:spacing w:val="-1"/>
                <w:sz w:val="18"/>
              </w:rPr>
              <w:t>-88,495,388</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5"/>
              <w:ind w:right="96"/>
              <w:jc w:val="right"/>
              <w:rPr>
                <w:rFonts w:ascii="Arial" w:hAnsi="Arial" w:cs="Arial" w:eastAsia="Arial" w:hint="default"/>
                <w:sz w:val="18"/>
                <w:szCs w:val="18"/>
              </w:rPr>
            </w:pPr>
            <w:r>
              <w:rPr>
                <w:rFonts w:ascii="Arial"/>
                <w:spacing w:val="-1"/>
                <w:sz w:val="18"/>
              </w:rPr>
              <w:t>75,598,915</w:t>
            </w:r>
            <w:r>
              <w:rPr>
                <w:rFonts w:ascii="Arial"/>
                <w:sz w:val="18"/>
              </w:rPr>
            </w:r>
          </w:p>
        </w:tc>
      </w:tr>
    </w:tbl>
    <w:p>
      <w:pPr>
        <w:spacing w:line="240" w:lineRule="auto" w:before="4"/>
        <w:rPr>
          <w:rFonts w:ascii="宋体" w:hAnsi="宋体" w:cs="宋体" w:eastAsia="宋体" w:hint="default"/>
          <w:sz w:val="16"/>
          <w:szCs w:val="16"/>
        </w:rPr>
      </w:pPr>
    </w:p>
    <w:p>
      <w:pPr>
        <w:pStyle w:val="Heading5"/>
        <w:spacing w:line="240" w:lineRule="auto"/>
        <w:ind w:left="300" w:right="1844"/>
        <w:jc w:val="left"/>
        <w:rPr>
          <w:b w:val="0"/>
          <w:bCs w:val="0"/>
        </w:rPr>
      </w:pPr>
      <w:r>
        <w:rPr/>
        <w:t>四、股本变动及股东情况</w:t>
      </w:r>
      <w:r>
        <w:rPr>
          <w:b w:val="0"/>
          <w:bCs w:val="0"/>
        </w:rPr>
      </w:r>
    </w:p>
    <w:p>
      <w:pPr>
        <w:pStyle w:val="BodyText"/>
        <w:spacing w:line="310" w:lineRule="exact" w:before="36"/>
        <w:ind w:left="300" w:right="7364"/>
        <w:jc w:val="left"/>
      </w:pPr>
      <w:r>
        <w:rPr/>
        <w:t>（一）股本变动情况 1、股份变动情况表</w:t>
      </w:r>
    </w:p>
    <w:tbl>
      <w:tblPr>
        <w:tblW w:w="0" w:type="auto"/>
        <w:jc w:val="left"/>
        <w:tblInd w:w="118" w:type="dxa"/>
        <w:tblLayout w:type="fixed"/>
        <w:tblCellMar>
          <w:top w:w="0" w:type="dxa"/>
          <w:left w:w="0" w:type="dxa"/>
          <w:bottom w:w="0" w:type="dxa"/>
          <w:right w:w="0" w:type="dxa"/>
        </w:tblCellMar>
        <w:tblLook w:val="01E0"/>
      </w:tblPr>
      <w:tblGrid>
        <w:gridCol w:w="1753"/>
        <w:gridCol w:w="1115"/>
        <w:gridCol w:w="872"/>
        <w:gridCol w:w="773"/>
        <w:gridCol w:w="734"/>
        <w:gridCol w:w="812"/>
        <w:gridCol w:w="756"/>
        <w:gridCol w:w="756"/>
        <w:gridCol w:w="1096"/>
        <w:gridCol w:w="929"/>
      </w:tblGrid>
      <w:tr>
        <w:trPr>
          <w:trHeight w:val="250" w:hRule="exact"/>
        </w:trPr>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87" w:type="dxa"/>
            <w:gridSpan w:val="2"/>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332" w:right="0"/>
              <w:jc w:val="left"/>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8"/>
                <w:sz w:val="18"/>
                <w:szCs w:val="18"/>
              </w:rPr>
              <w:t> </w:t>
            </w:r>
            <w:r>
              <w:rPr>
                <w:rFonts w:ascii="宋体" w:hAnsi="宋体" w:cs="宋体" w:eastAsia="宋体" w:hint="default"/>
                <w:b/>
                <w:bCs/>
                <w:sz w:val="18"/>
                <w:szCs w:val="18"/>
              </w:rPr>
              <w:t>1</w:t>
            </w:r>
            <w:r>
              <w:rPr>
                <w:rFonts w:ascii="宋体" w:hAnsi="宋体" w:cs="宋体" w:eastAsia="宋体" w:hint="default"/>
                <w:b/>
                <w:bCs/>
                <w:spacing w:val="-46"/>
                <w:sz w:val="18"/>
                <w:szCs w:val="18"/>
              </w:rPr>
              <w:t> </w:t>
            </w:r>
            <w:r>
              <w:rPr>
                <w:rFonts w:ascii="宋体" w:hAnsi="宋体" w:cs="宋体" w:eastAsia="宋体" w:hint="default"/>
                <w:b/>
                <w:bCs/>
                <w:sz w:val="18"/>
                <w:szCs w:val="18"/>
              </w:rPr>
              <w:t>月</w:t>
            </w:r>
            <w:r>
              <w:rPr>
                <w:rFonts w:ascii="宋体" w:hAnsi="宋体" w:cs="宋体" w:eastAsia="宋体" w:hint="default"/>
                <w:b/>
                <w:bCs/>
                <w:spacing w:val="-48"/>
                <w:sz w:val="18"/>
                <w:szCs w:val="18"/>
              </w:rPr>
              <w:t> </w:t>
            </w:r>
            <w:r>
              <w:rPr>
                <w:rFonts w:ascii="宋体" w:hAnsi="宋体" w:cs="宋体" w:eastAsia="宋体" w:hint="default"/>
                <w:b/>
                <w:bCs/>
                <w:sz w:val="18"/>
                <w:szCs w:val="18"/>
              </w:rPr>
              <w:t>1</w:t>
            </w:r>
            <w:r>
              <w:rPr>
                <w:rFonts w:ascii="宋体" w:hAnsi="宋体" w:cs="宋体" w:eastAsia="宋体" w:hint="default"/>
                <w:b/>
                <w:bCs/>
                <w:spacing w:val="-48"/>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3832" w:type="dxa"/>
            <w:gridSpan w:val="5"/>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917" w:right="0"/>
              <w:jc w:val="left"/>
              <w:rPr>
                <w:rFonts w:ascii="宋体" w:hAnsi="宋体" w:cs="宋体" w:eastAsia="宋体" w:hint="default"/>
                <w:sz w:val="18"/>
                <w:szCs w:val="18"/>
              </w:rPr>
            </w:pPr>
            <w:r>
              <w:rPr>
                <w:rFonts w:ascii="宋体" w:hAnsi="宋体" w:cs="宋体" w:eastAsia="宋体" w:hint="default"/>
                <w:b/>
                <w:bCs/>
                <w:sz w:val="18"/>
                <w:szCs w:val="18"/>
              </w:rPr>
              <w:t>本次变动增减（＋，－）</w:t>
            </w:r>
            <w:r>
              <w:rPr>
                <w:rFonts w:ascii="宋体" w:hAnsi="宋体" w:cs="宋体" w:eastAsia="宋体" w:hint="default"/>
                <w:sz w:val="18"/>
                <w:szCs w:val="18"/>
              </w:rPr>
            </w:r>
          </w:p>
        </w:tc>
        <w:tc>
          <w:tcPr>
            <w:tcW w:w="20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59" w:right="0"/>
              <w:jc w:val="left"/>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宋体" w:hAnsi="宋体" w:cs="宋体" w:eastAsia="宋体" w:hint="default"/>
                <w:b/>
                <w:bCs/>
                <w:sz w:val="18"/>
                <w:szCs w:val="18"/>
              </w:rPr>
              <w:t>31</w:t>
            </w:r>
            <w:r>
              <w:rPr>
                <w:rFonts w:ascii="宋体" w:hAnsi="宋体" w:cs="宋体" w:eastAsia="宋体" w:hint="default"/>
                <w:b/>
                <w:bCs/>
                <w:spacing w:val="-46"/>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r>
      <w:tr>
        <w:trPr>
          <w:trHeight w:val="476" w:hRule="exact"/>
        </w:trPr>
        <w:tc>
          <w:tcPr>
            <w:tcW w:w="1753"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pacing w:val="-13"/>
                <w:sz w:val="18"/>
                <w:szCs w:val="18"/>
              </w:rPr>
              <w:t>比例（%）</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发行新</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82"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20" w:right="0" w:hanging="90"/>
              <w:jc w:val="left"/>
              <w:rPr>
                <w:rFonts w:ascii="宋体" w:hAnsi="宋体" w:cs="宋体" w:eastAsia="宋体" w:hint="default"/>
                <w:sz w:val="18"/>
                <w:szCs w:val="18"/>
              </w:rPr>
            </w:pPr>
            <w:r>
              <w:rPr>
                <w:rFonts w:ascii="宋体" w:hAnsi="宋体" w:cs="宋体" w:eastAsia="宋体" w:hint="default"/>
                <w:sz w:val="18"/>
                <w:szCs w:val="18"/>
              </w:rPr>
              <w:t>公积金</w:t>
            </w:r>
          </w:p>
          <w:p>
            <w:pPr>
              <w:pStyle w:val="TableParagraph"/>
              <w:spacing w:line="234" w:lineRule="exact"/>
              <w:ind w:left="220" w:right="0"/>
              <w:jc w:val="left"/>
              <w:rPr>
                <w:rFonts w:ascii="宋体" w:hAnsi="宋体" w:cs="宋体" w:eastAsia="宋体" w:hint="default"/>
                <w:sz w:val="18"/>
                <w:szCs w:val="18"/>
              </w:rPr>
            </w:pPr>
            <w:r>
              <w:rPr>
                <w:rFonts w:ascii="宋体" w:hAnsi="宋体" w:cs="宋体" w:eastAsia="宋体" w:hint="default"/>
                <w:sz w:val="18"/>
                <w:szCs w:val="18"/>
              </w:rPr>
              <w:t>转股</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9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93"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51" w:hRule="exact"/>
        </w:trPr>
        <w:tc>
          <w:tcPr>
            <w:tcW w:w="9596" w:type="dxa"/>
            <w:gridSpan w:val="10"/>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一、有限售条件股份</w:t>
            </w:r>
          </w:p>
        </w:tc>
      </w:tr>
      <w:tr>
        <w:trPr>
          <w:trHeight w:val="250" w:hRule="exact"/>
        </w:trPr>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1、国家持股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2"/>
              <w:jc w:val="right"/>
              <w:rPr>
                <w:rFonts w:ascii="宋体" w:hAnsi="宋体" w:cs="宋体" w:eastAsia="宋体" w:hint="default"/>
                <w:sz w:val="16"/>
                <w:szCs w:val="16"/>
              </w:rPr>
            </w:pPr>
            <w:r>
              <w:rPr>
                <w:rFonts w:ascii="宋体"/>
                <w:spacing w:val="-1"/>
                <w:sz w:val="16"/>
              </w:rPr>
              <w:t>93,721,599</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79" w:right="0"/>
              <w:jc w:val="left"/>
              <w:rPr>
                <w:rFonts w:ascii="宋体" w:hAnsi="宋体" w:cs="宋体" w:eastAsia="宋体" w:hint="default"/>
                <w:sz w:val="16"/>
                <w:szCs w:val="16"/>
              </w:rPr>
            </w:pPr>
            <w:r>
              <w:rPr>
                <w:rFonts w:ascii="宋体"/>
                <w:sz w:val="16"/>
              </w:rPr>
              <w:t>9.9249</w:t>
            </w:r>
          </w:p>
        </w:tc>
        <w:tc>
          <w:tcPr>
            <w:tcW w:w="773"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1"/>
              <w:jc w:val="right"/>
              <w:rPr>
                <w:rFonts w:ascii="宋体" w:hAnsi="宋体" w:cs="宋体" w:eastAsia="宋体" w:hint="default"/>
                <w:sz w:val="16"/>
                <w:szCs w:val="16"/>
              </w:rPr>
            </w:pPr>
            <w:r>
              <w:rPr>
                <w:rFonts w:ascii="宋体"/>
                <w:spacing w:val="-1"/>
                <w:sz w:val="16"/>
              </w:rPr>
              <w:t>93,721,599</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334" w:right="0"/>
              <w:jc w:val="left"/>
              <w:rPr>
                <w:rFonts w:ascii="宋体" w:hAnsi="宋体" w:cs="宋体" w:eastAsia="宋体" w:hint="default"/>
                <w:sz w:val="16"/>
                <w:szCs w:val="16"/>
              </w:rPr>
            </w:pPr>
            <w:r>
              <w:rPr>
                <w:rFonts w:ascii="宋体"/>
                <w:sz w:val="16"/>
              </w:rPr>
              <w:t>9.9249</w:t>
            </w:r>
          </w:p>
        </w:tc>
      </w:tr>
      <w:tr>
        <w:trPr>
          <w:trHeight w:val="250" w:hRule="exact"/>
        </w:trPr>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2、国有法人持股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3"/>
              <w:jc w:val="right"/>
              <w:rPr>
                <w:rFonts w:ascii="宋体" w:hAnsi="宋体" w:cs="宋体" w:eastAsia="宋体" w:hint="default"/>
                <w:sz w:val="16"/>
                <w:szCs w:val="16"/>
              </w:rPr>
            </w:pPr>
            <w:r>
              <w:rPr>
                <w:rFonts w:ascii="宋体"/>
                <w:spacing w:val="-1"/>
                <w:sz w:val="16"/>
              </w:rPr>
              <w:t>166,431,971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99" w:right="0"/>
              <w:jc w:val="left"/>
              <w:rPr>
                <w:rFonts w:ascii="宋体" w:hAnsi="宋体" w:cs="宋体" w:eastAsia="宋体" w:hint="default"/>
                <w:sz w:val="16"/>
                <w:szCs w:val="16"/>
              </w:rPr>
            </w:pPr>
            <w:r>
              <w:rPr>
                <w:rFonts w:ascii="宋体"/>
                <w:sz w:val="16"/>
              </w:rPr>
              <w:t>17.6248</w:t>
            </w:r>
          </w:p>
        </w:tc>
        <w:tc>
          <w:tcPr>
            <w:tcW w:w="773"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0"/>
              <w:jc w:val="right"/>
              <w:rPr>
                <w:rFonts w:ascii="宋体" w:hAnsi="宋体" w:cs="宋体" w:eastAsia="宋体" w:hint="default"/>
                <w:sz w:val="16"/>
                <w:szCs w:val="16"/>
              </w:rPr>
            </w:pPr>
            <w:r>
              <w:rPr>
                <w:rFonts w:ascii="宋体"/>
                <w:spacing w:val="-1"/>
                <w:sz w:val="16"/>
              </w:rPr>
              <w:t>166,431,971</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54" w:right="0"/>
              <w:jc w:val="left"/>
              <w:rPr>
                <w:rFonts w:ascii="宋体" w:hAnsi="宋体" w:cs="宋体" w:eastAsia="宋体" w:hint="default"/>
                <w:sz w:val="16"/>
                <w:szCs w:val="16"/>
              </w:rPr>
            </w:pPr>
            <w:r>
              <w:rPr>
                <w:rFonts w:ascii="宋体"/>
                <w:sz w:val="16"/>
              </w:rPr>
              <w:t>17.6248</w:t>
            </w:r>
          </w:p>
        </w:tc>
      </w:tr>
      <w:tr>
        <w:trPr>
          <w:trHeight w:val="251" w:hRule="exact"/>
        </w:trPr>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3、其他内资持股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3"/>
              <w:jc w:val="right"/>
              <w:rPr>
                <w:rFonts w:ascii="宋体" w:hAnsi="宋体" w:cs="宋体" w:eastAsia="宋体" w:hint="default"/>
                <w:sz w:val="16"/>
                <w:szCs w:val="16"/>
              </w:rPr>
            </w:pPr>
            <w:r>
              <w:rPr>
                <w:rFonts w:ascii="宋体"/>
                <w:spacing w:val="-1"/>
                <w:sz w:val="16"/>
              </w:rPr>
              <w:t>293,900,851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99" w:right="0"/>
              <w:jc w:val="left"/>
              <w:rPr>
                <w:rFonts w:ascii="宋体" w:hAnsi="宋体" w:cs="宋体" w:eastAsia="宋体" w:hint="default"/>
                <w:sz w:val="16"/>
                <w:szCs w:val="16"/>
              </w:rPr>
            </w:pPr>
            <w:r>
              <w:rPr>
                <w:rFonts w:ascii="宋体"/>
                <w:sz w:val="16"/>
              </w:rPr>
              <w:t>31.1236</w:t>
            </w:r>
          </w:p>
        </w:tc>
        <w:tc>
          <w:tcPr>
            <w:tcW w:w="773"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0"/>
              <w:jc w:val="right"/>
              <w:rPr>
                <w:rFonts w:ascii="宋体" w:hAnsi="宋体" w:cs="宋体" w:eastAsia="宋体" w:hint="default"/>
                <w:sz w:val="16"/>
                <w:szCs w:val="16"/>
              </w:rPr>
            </w:pPr>
            <w:r>
              <w:rPr>
                <w:rFonts w:ascii="宋体"/>
                <w:spacing w:val="-1"/>
                <w:sz w:val="16"/>
              </w:rPr>
              <w:t>293,900,851</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54" w:right="0"/>
              <w:jc w:val="left"/>
              <w:rPr>
                <w:rFonts w:ascii="宋体" w:hAnsi="宋体" w:cs="宋体" w:eastAsia="宋体" w:hint="default"/>
                <w:sz w:val="16"/>
                <w:szCs w:val="16"/>
              </w:rPr>
            </w:pPr>
            <w:r>
              <w:rPr>
                <w:rFonts w:ascii="宋体"/>
                <w:sz w:val="16"/>
              </w:rPr>
              <w:t>31.1236</w:t>
            </w:r>
          </w:p>
        </w:tc>
      </w:tr>
      <w:tr>
        <w:trPr>
          <w:trHeight w:val="398" w:hRule="exact"/>
        </w:trPr>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170" w:lineRule="exact"/>
              <w:ind w:left="103" w:right="0"/>
              <w:jc w:val="left"/>
              <w:rPr>
                <w:rFonts w:ascii="宋体" w:hAnsi="宋体" w:cs="宋体" w:eastAsia="宋体" w:hint="default"/>
                <w:sz w:val="15"/>
                <w:szCs w:val="15"/>
              </w:rPr>
            </w:pPr>
            <w:r>
              <w:rPr>
                <w:rFonts w:ascii="宋体" w:hAnsi="宋体" w:cs="宋体" w:eastAsia="宋体" w:hint="default"/>
                <w:sz w:val="15"/>
                <w:szCs w:val="15"/>
              </w:rPr>
              <w:t>其中：境内非国有法人</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持股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3"/>
              <w:jc w:val="right"/>
              <w:rPr>
                <w:rFonts w:ascii="宋体" w:hAnsi="宋体" w:cs="宋体" w:eastAsia="宋体" w:hint="default"/>
                <w:sz w:val="16"/>
                <w:szCs w:val="16"/>
              </w:rPr>
            </w:pPr>
            <w:r>
              <w:rPr>
                <w:rFonts w:ascii="宋体"/>
                <w:spacing w:val="-1"/>
                <w:sz w:val="16"/>
              </w:rPr>
              <w:t>293,900,851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99" w:right="0"/>
              <w:jc w:val="left"/>
              <w:rPr>
                <w:rFonts w:ascii="宋体" w:hAnsi="宋体" w:cs="宋体" w:eastAsia="宋体" w:hint="default"/>
                <w:sz w:val="16"/>
                <w:szCs w:val="16"/>
              </w:rPr>
            </w:pPr>
            <w:r>
              <w:rPr>
                <w:rFonts w:ascii="宋体"/>
                <w:sz w:val="16"/>
              </w:rPr>
              <w:t>31.1236</w:t>
            </w:r>
          </w:p>
        </w:tc>
        <w:tc>
          <w:tcPr>
            <w:tcW w:w="773"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0"/>
              <w:jc w:val="right"/>
              <w:rPr>
                <w:rFonts w:ascii="宋体" w:hAnsi="宋体" w:cs="宋体" w:eastAsia="宋体" w:hint="default"/>
                <w:sz w:val="16"/>
                <w:szCs w:val="16"/>
              </w:rPr>
            </w:pPr>
            <w:r>
              <w:rPr>
                <w:rFonts w:ascii="宋体"/>
                <w:spacing w:val="-1"/>
                <w:sz w:val="16"/>
              </w:rPr>
              <w:t>293,900,851</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254" w:right="0"/>
              <w:jc w:val="left"/>
              <w:rPr>
                <w:rFonts w:ascii="宋体" w:hAnsi="宋体" w:cs="宋体" w:eastAsia="宋体" w:hint="default"/>
                <w:sz w:val="16"/>
                <w:szCs w:val="16"/>
              </w:rPr>
            </w:pPr>
            <w:r>
              <w:rPr>
                <w:rFonts w:ascii="宋体"/>
                <w:sz w:val="16"/>
              </w:rPr>
              <w:t>31.1236</w:t>
            </w:r>
          </w:p>
        </w:tc>
      </w:tr>
      <w:tr>
        <w:trPr>
          <w:trHeight w:val="251" w:hRule="exact"/>
        </w:trPr>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right="138"/>
              <w:jc w:val="right"/>
              <w:rPr>
                <w:rFonts w:ascii="宋体" w:hAnsi="宋体" w:cs="宋体" w:eastAsia="宋体" w:hint="default"/>
                <w:sz w:val="15"/>
                <w:szCs w:val="15"/>
              </w:rPr>
            </w:pPr>
            <w:r>
              <w:rPr>
                <w:rFonts w:ascii="宋体" w:hAnsi="宋体" w:cs="宋体" w:eastAsia="宋体" w:hint="default"/>
                <w:spacing w:val="-1"/>
                <w:sz w:val="15"/>
                <w:szCs w:val="15"/>
              </w:rPr>
              <w:t>境内自然人持股</w:t>
            </w:r>
          </w:p>
        </w:tc>
        <w:tc>
          <w:tcPr>
            <w:tcW w:w="1115"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c>
          <w:tcPr>
            <w:tcW w:w="773"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929"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4、外资持股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3"/>
              <w:jc w:val="right"/>
              <w:rPr>
                <w:rFonts w:ascii="宋体" w:hAnsi="宋体" w:cs="宋体" w:eastAsia="宋体" w:hint="default"/>
                <w:sz w:val="16"/>
                <w:szCs w:val="16"/>
              </w:rPr>
            </w:pPr>
            <w:r>
              <w:rPr>
                <w:rFonts w:ascii="宋体"/>
                <w:spacing w:val="-1"/>
                <w:sz w:val="16"/>
              </w:rPr>
              <w:t>138,479,456</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99" w:right="0"/>
              <w:jc w:val="left"/>
              <w:rPr>
                <w:rFonts w:ascii="宋体" w:hAnsi="宋体" w:cs="宋体" w:eastAsia="宋体" w:hint="default"/>
                <w:sz w:val="16"/>
                <w:szCs w:val="16"/>
              </w:rPr>
            </w:pPr>
            <w:r>
              <w:rPr>
                <w:rFonts w:ascii="宋体"/>
                <w:sz w:val="16"/>
              </w:rPr>
              <w:t>14.6647</w:t>
            </w:r>
          </w:p>
        </w:tc>
        <w:tc>
          <w:tcPr>
            <w:tcW w:w="773"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0"/>
              <w:jc w:val="right"/>
              <w:rPr>
                <w:rFonts w:ascii="宋体" w:hAnsi="宋体" w:cs="宋体" w:eastAsia="宋体" w:hint="default"/>
                <w:sz w:val="16"/>
                <w:szCs w:val="16"/>
              </w:rPr>
            </w:pPr>
            <w:r>
              <w:rPr>
                <w:rFonts w:ascii="宋体"/>
                <w:spacing w:val="-1"/>
                <w:sz w:val="16"/>
              </w:rPr>
              <w:t>138,479,456</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54" w:right="0"/>
              <w:jc w:val="left"/>
              <w:rPr>
                <w:rFonts w:ascii="宋体" w:hAnsi="宋体" w:cs="宋体" w:eastAsia="宋体" w:hint="default"/>
                <w:sz w:val="16"/>
                <w:szCs w:val="16"/>
              </w:rPr>
            </w:pPr>
            <w:r>
              <w:rPr>
                <w:rFonts w:ascii="宋体"/>
                <w:sz w:val="16"/>
              </w:rPr>
              <w:t>14.6647</w:t>
            </w:r>
          </w:p>
        </w:tc>
      </w:tr>
      <w:tr>
        <w:trPr>
          <w:trHeight w:val="250" w:hRule="exact"/>
        </w:trPr>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其中：境外法人持股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3"/>
              <w:jc w:val="right"/>
              <w:rPr>
                <w:rFonts w:ascii="宋体" w:hAnsi="宋体" w:cs="宋体" w:eastAsia="宋体" w:hint="default"/>
                <w:sz w:val="16"/>
                <w:szCs w:val="16"/>
              </w:rPr>
            </w:pPr>
            <w:r>
              <w:rPr>
                <w:rFonts w:ascii="宋体"/>
                <w:spacing w:val="-1"/>
                <w:sz w:val="16"/>
              </w:rPr>
              <w:t>138,479,456</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99" w:right="0"/>
              <w:jc w:val="left"/>
              <w:rPr>
                <w:rFonts w:ascii="宋体" w:hAnsi="宋体" w:cs="宋体" w:eastAsia="宋体" w:hint="default"/>
                <w:sz w:val="16"/>
                <w:szCs w:val="16"/>
              </w:rPr>
            </w:pPr>
            <w:r>
              <w:rPr>
                <w:rFonts w:ascii="宋体"/>
                <w:sz w:val="16"/>
              </w:rPr>
              <w:t>14.6647</w:t>
            </w:r>
          </w:p>
        </w:tc>
        <w:tc>
          <w:tcPr>
            <w:tcW w:w="773"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0"/>
              <w:jc w:val="right"/>
              <w:rPr>
                <w:rFonts w:ascii="宋体" w:hAnsi="宋体" w:cs="宋体" w:eastAsia="宋体" w:hint="default"/>
                <w:sz w:val="16"/>
                <w:szCs w:val="16"/>
              </w:rPr>
            </w:pPr>
            <w:r>
              <w:rPr>
                <w:rFonts w:ascii="宋体"/>
                <w:spacing w:val="-1"/>
                <w:sz w:val="16"/>
              </w:rPr>
              <w:t>138,479,456</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54" w:right="0"/>
              <w:jc w:val="left"/>
              <w:rPr>
                <w:rFonts w:ascii="宋体" w:hAnsi="宋体" w:cs="宋体" w:eastAsia="宋体" w:hint="default"/>
                <w:sz w:val="16"/>
                <w:szCs w:val="16"/>
              </w:rPr>
            </w:pPr>
            <w:r>
              <w:rPr>
                <w:rFonts w:ascii="宋体"/>
                <w:sz w:val="16"/>
              </w:rPr>
              <w:t>14.6647</w:t>
            </w:r>
          </w:p>
        </w:tc>
      </w:tr>
      <w:tr>
        <w:trPr>
          <w:trHeight w:val="251" w:hRule="exact"/>
        </w:trPr>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right="138"/>
              <w:jc w:val="right"/>
              <w:rPr>
                <w:rFonts w:ascii="宋体" w:hAnsi="宋体" w:cs="宋体" w:eastAsia="宋体" w:hint="default"/>
                <w:sz w:val="15"/>
                <w:szCs w:val="15"/>
              </w:rPr>
            </w:pPr>
            <w:r>
              <w:rPr>
                <w:rFonts w:ascii="宋体" w:hAnsi="宋体" w:cs="宋体" w:eastAsia="宋体" w:hint="default"/>
                <w:spacing w:val="-1"/>
                <w:sz w:val="15"/>
                <w:szCs w:val="15"/>
              </w:rPr>
              <w:t>境外自然人持股</w:t>
            </w:r>
          </w:p>
        </w:tc>
        <w:tc>
          <w:tcPr>
            <w:tcW w:w="1115"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c>
          <w:tcPr>
            <w:tcW w:w="773"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929"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有限售条件股份合计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3"/>
              <w:jc w:val="right"/>
              <w:rPr>
                <w:rFonts w:ascii="宋体" w:hAnsi="宋体" w:cs="宋体" w:eastAsia="宋体" w:hint="default"/>
                <w:sz w:val="16"/>
                <w:szCs w:val="16"/>
              </w:rPr>
            </w:pPr>
            <w:r>
              <w:rPr>
                <w:rFonts w:ascii="宋体"/>
                <w:spacing w:val="-1"/>
                <w:sz w:val="16"/>
              </w:rPr>
              <w:t>692,533,877</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99" w:right="0"/>
              <w:jc w:val="left"/>
              <w:rPr>
                <w:rFonts w:ascii="宋体" w:hAnsi="宋体" w:cs="宋体" w:eastAsia="宋体" w:hint="default"/>
                <w:sz w:val="16"/>
                <w:szCs w:val="16"/>
              </w:rPr>
            </w:pPr>
            <w:r>
              <w:rPr>
                <w:rFonts w:ascii="宋体"/>
                <w:sz w:val="16"/>
              </w:rPr>
              <w:t>73.3381</w:t>
            </w:r>
          </w:p>
        </w:tc>
        <w:tc>
          <w:tcPr>
            <w:tcW w:w="773"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0"/>
              <w:jc w:val="right"/>
              <w:rPr>
                <w:rFonts w:ascii="宋体" w:hAnsi="宋体" w:cs="宋体" w:eastAsia="宋体" w:hint="default"/>
                <w:sz w:val="16"/>
                <w:szCs w:val="16"/>
              </w:rPr>
            </w:pPr>
            <w:r>
              <w:rPr>
                <w:rFonts w:ascii="宋体"/>
                <w:spacing w:val="-1"/>
                <w:sz w:val="16"/>
              </w:rPr>
              <w:t>692,533,877</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54" w:right="0"/>
              <w:jc w:val="left"/>
              <w:rPr>
                <w:rFonts w:ascii="宋体" w:hAnsi="宋体" w:cs="宋体" w:eastAsia="宋体" w:hint="default"/>
                <w:sz w:val="16"/>
                <w:szCs w:val="16"/>
              </w:rPr>
            </w:pPr>
            <w:r>
              <w:rPr>
                <w:rFonts w:ascii="宋体"/>
                <w:sz w:val="16"/>
              </w:rPr>
              <w:t>73.3381</w:t>
            </w:r>
          </w:p>
        </w:tc>
      </w:tr>
      <w:tr>
        <w:trPr>
          <w:trHeight w:val="250" w:hRule="exact"/>
        </w:trPr>
        <w:tc>
          <w:tcPr>
            <w:tcW w:w="9596" w:type="dxa"/>
            <w:gridSpan w:val="10"/>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03" w:right="0"/>
              <w:jc w:val="left"/>
              <w:rPr>
                <w:rFonts w:ascii="宋体" w:hAnsi="宋体" w:cs="宋体" w:eastAsia="宋体" w:hint="default"/>
                <w:sz w:val="16"/>
                <w:szCs w:val="16"/>
              </w:rPr>
            </w:pPr>
            <w:r>
              <w:rPr>
                <w:rFonts w:ascii="宋体" w:hAnsi="宋体" w:cs="宋体" w:eastAsia="宋体" w:hint="default"/>
                <w:sz w:val="16"/>
                <w:szCs w:val="16"/>
              </w:rPr>
              <w:t>二、无限售条件流通股份</w:t>
            </w:r>
          </w:p>
        </w:tc>
      </w:tr>
      <w:tr>
        <w:trPr>
          <w:trHeight w:val="251" w:hRule="exact"/>
        </w:trPr>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1、人民币普通股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3"/>
              <w:jc w:val="right"/>
              <w:rPr>
                <w:rFonts w:ascii="宋体" w:hAnsi="宋体" w:cs="宋体" w:eastAsia="宋体" w:hint="default"/>
                <w:sz w:val="16"/>
                <w:szCs w:val="16"/>
              </w:rPr>
            </w:pPr>
            <w:r>
              <w:rPr>
                <w:rFonts w:ascii="宋体"/>
                <w:spacing w:val="-1"/>
                <w:sz w:val="16"/>
              </w:rPr>
              <w:t>251,769,388</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99" w:right="0"/>
              <w:jc w:val="left"/>
              <w:rPr>
                <w:rFonts w:ascii="宋体" w:hAnsi="宋体" w:cs="宋体" w:eastAsia="宋体" w:hint="default"/>
                <w:sz w:val="16"/>
                <w:szCs w:val="16"/>
              </w:rPr>
            </w:pPr>
            <w:r>
              <w:rPr>
                <w:rFonts w:ascii="宋体"/>
                <w:sz w:val="16"/>
              </w:rPr>
              <w:t>26.6619</w:t>
            </w:r>
          </w:p>
        </w:tc>
        <w:tc>
          <w:tcPr>
            <w:tcW w:w="773"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0"/>
              <w:jc w:val="right"/>
              <w:rPr>
                <w:rFonts w:ascii="宋体" w:hAnsi="宋体" w:cs="宋体" w:eastAsia="宋体" w:hint="default"/>
                <w:sz w:val="16"/>
                <w:szCs w:val="16"/>
              </w:rPr>
            </w:pPr>
            <w:r>
              <w:rPr>
                <w:rFonts w:ascii="宋体"/>
                <w:spacing w:val="-1"/>
                <w:sz w:val="16"/>
              </w:rPr>
              <w:t>251,769,388</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54" w:right="0"/>
              <w:jc w:val="left"/>
              <w:rPr>
                <w:rFonts w:ascii="宋体" w:hAnsi="宋体" w:cs="宋体" w:eastAsia="宋体" w:hint="default"/>
                <w:sz w:val="16"/>
                <w:szCs w:val="16"/>
              </w:rPr>
            </w:pPr>
            <w:r>
              <w:rPr>
                <w:rFonts w:ascii="宋体"/>
                <w:sz w:val="16"/>
              </w:rPr>
              <w:t>26.6619</w:t>
            </w:r>
          </w:p>
        </w:tc>
      </w:tr>
      <w:tr>
        <w:trPr>
          <w:trHeight w:val="250" w:hRule="exact"/>
        </w:trPr>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2、境内上市的外资股</w:t>
            </w:r>
          </w:p>
        </w:tc>
        <w:tc>
          <w:tcPr>
            <w:tcW w:w="1115"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c>
          <w:tcPr>
            <w:tcW w:w="773"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929"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3、境外上市的外资股</w:t>
            </w:r>
          </w:p>
        </w:tc>
        <w:tc>
          <w:tcPr>
            <w:tcW w:w="1115"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c>
          <w:tcPr>
            <w:tcW w:w="773"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929"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4、其他</w:t>
            </w:r>
          </w:p>
        </w:tc>
        <w:tc>
          <w:tcPr>
            <w:tcW w:w="1115"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c>
          <w:tcPr>
            <w:tcW w:w="773"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929"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3"/>
                <w:szCs w:val="13"/>
              </w:rPr>
            </w:pPr>
            <w:r>
              <w:rPr>
                <w:rFonts w:ascii="宋体" w:hAnsi="宋体" w:cs="宋体" w:eastAsia="宋体" w:hint="default"/>
                <w:sz w:val="13"/>
                <w:szCs w:val="13"/>
              </w:rPr>
              <w:t>无限售条件流通股份合计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3"/>
              <w:jc w:val="right"/>
              <w:rPr>
                <w:rFonts w:ascii="宋体" w:hAnsi="宋体" w:cs="宋体" w:eastAsia="宋体" w:hint="default"/>
                <w:sz w:val="16"/>
                <w:szCs w:val="16"/>
              </w:rPr>
            </w:pPr>
            <w:r>
              <w:rPr>
                <w:rFonts w:ascii="宋体"/>
                <w:spacing w:val="-1"/>
                <w:sz w:val="16"/>
              </w:rPr>
              <w:t>251,769,388</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99" w:right="0"/>
              <w:jc w:val="left"/>
              <w:rPr>
                <w:rFonts w:ascii="宋体" w:hAnsi="宋体" w:cs="宋体" w:eastAsia="宋体" w:hint="default"/>
                <w:sz w:val="16"/>
                <w:szCs w:val="16"/>
              </w:rPr>
            </w:pPr>
            <w:r>
              <w:rPr>
                <w:rFonts w:ascii="宋体"/>
                <w:sz w:val="16"/>
              </w:rPr>
              <w:t>26.6619</w:t>
            </w:r>
          </w:p>
        </w:tc>
        <w:tc>
          <w:tcPr>
            <w:tcW w:w="773"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0"/>
              <w:jc w:val="right"/>
              <w:rPr>
                <w:rFonts w:ascii="宋体" w:hAnsi="宋体" w:cs="宋体" w:eastAsia="宋体" w:hint="default"/>
                <w:sz w:val="16"/>
                <w:szCs w:val="16"/>
              </w:rPr>
            </w:pPr>
            <w:r>
              <w:rPr>
                <w:rFonts w:ascii="宋体"/>
                <w:spacing w:val="-1"/>
                <w:sz w:val="16"/>
              </w:rPr>
              <w:t>251,769,388</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254" w:right="0"/>
              <w:jc w:val="left"/>
              <w:rPr>
                <w:rFonts w:ascii="宋体" w:hAnsi="宋体" w:cs="宋体" w:eastAsia="宋体" w:hint="default"/>
                <w:sz w:val="16"/>
                <w:szCs w:val="16"/>
              </w:rPr>
            </w:pPr>
            <w:r>
              <w:rPr>
                <w:rFonts w:ascii="宋体"/>
                <w:sz w:val="16"/>
              </w:rPr>
              <w:t>26.6619</w:t>
            </w:r>
          </w:p>
        </w:tc>
      </w:tr>
      <w:tr>
        <w:trPr>
          <w:trHeight w:val="251" w:hRule="exact"/>
        </w:trPr>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三、股份总数</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3"/>
              <w:jc w:val="right"/>
              <w:rPr>
                <w:rFonts w:ascii="宋体" w:hAnsi="宋体" w:cs="宋体" w:eastAsia="宋体" w:hint="default"/>
                <w:sz w:val="16"/>
                <w:szCs w:val="16"/>
              </w:rPr>
            </w:pPr>
            <w:r>
              <w:rPr>
                <w:rFonts w:ascii="宋体"/>
                <w:spacing w:val="-1"/>
                <w:sz w:val="16"/>
              </w:rPr>
              <w:t>944,303,265</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19" w:right="0"/>
              <w:jc w:val="left"/>
              <w:rPr>
                <w:rFonts w:ascii="宋体" w:hAnsi="宋体" w:cs="宋体" w:eastAsia="宋体" w:hint="default"/>
                <w:sz w:val="16"/>
                <w:szCs w:val="16"/>
              </w:rPr>
            </w:pPr>
            <w:r>
              <w:rPr>
                <w:rFonts w:ascii="宋体"/>
                <w:sz w:val="16"/>
              </w:rPr>
              <w:t>100.0000</w:t>
            </w:r>
          </w:p>
        </w:tc>
        <w:tc>
          <w:tcPr>
            <w:tcW w:w="773"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7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right="101"/>
              <w:jc w:val="right"/>
              <w:rPr>
                <w:rFonts w:ascii="宋体" w:hAnsi="宋体" w:cs="宋体" w:eastAsia="宋体" w:hint="default"/>
                <w:sz w:val="16"/>
                <w:szCs w:val="16"/>
              </w:rPr>
            </w:pPr>
            <w:r>
              <w:rPr>
                <w:rFonts w:ascii="宋体"/>
                <w:spacing w:val="-1"/>
                <w:sz w:val="16"/>
              </w:rPr>
              <w:t>944,303,265</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198" w:lineRule="exact"/>
              <w:ind w:left="174" w:right="0"/>
              <w:jc w:val="left"/>
              <w:rPr>
                <w:rFonts w:ascii="宋体" w:hAnsi="宋体" w:cs="宋体" w:eastAsia="宋体" w:hint="default"/>
                <w:sz w:val="16"/>
                <w:szCs w:val="16"/>
              </w:rPr>
            </w:pPr>
            <w:r>
              <w:rPr>
                <w:rFonts w:ascii="宋体"/>
                <w:sz w:val="16"/>
              </w:rPr>
              <w:t>100.0000</w:t>
            </w:r>
          </w:p>
        </w:tc>
      </w:tr>
    </w:tbl>
    <w:p>
      <w:pPr>
        <w:spacing w:line="240" w:lineRule="auto" w:before="6"/>
        <w:rPr>
          <w:rFonts w:ascii="宋体" w:hAnsi="宋体" w:cs="宋体" w:eastAsia="宋体" w:hint="default"/>
          <w:sz w:val="19"/>
          <w:szCs w:val="19"/>
        </w:rPr>
      </w:pPr>
    </w:p>
    <w:p>
      <w:pPr>
        <w:pStyle w:val="BodyText"/>
        <w:spacing w:line="240" w:lineRule="auto" w:before="26"/>
        <w:ind w:left="780" w:right="1844"/>
        <w:jc w:val="left"/>
      </w:pPr>
      <w:r>
        <w:rPr/>
        <w:t>报告期内，本公司股份总数及股本结构未发生变化。</w:t>
      </w:r>
    </w:p>
    <w:p>
      <w:pPr>
        <w:spacing w:line="240" w:lineRule="auto" w:before="1"/>
        <w:rPr>
          <w:rFonts w:ascii="宋体" w:hAnsi="宋体" w:cs="宋体" w:eastAsia="宋体" w:hint="default"/>
          <w:sz w:val="26"/>
          <w:szCs w:val="26"/>
        </w:rPr>
      </w:pPr>
    </w:p>
    <w:p>
      <w:pPr>
        <w:pStyle w:val="BodyText"/>
        <w:spacing w:line="310" w:lineRule="exact"/>
        <w:ind w:left="780" w:right="4724" w:hanging="480"/>
        <w:jc w:val="left"/>
      </w:pPr>
      <w:r>
        <w:rPr/>
        <w:t>2、限售股份变动情况 报告期内，本公司限售股份无变动情况。</w:t>
      </w:r>
    </w:p>
    <w:p>
      <w:pPr>
        <w:spacing w:line="240" w:lineRule="auto" w:before="12"/>
        <w:rPr>
          <w:rFonts w:ascii="宋体" w:hAnsi="宋体" w:cs="宋体" w:eastAsia="宋体" w:hint="default"/>
          <w:sz w:val="23"/>
          <w:szCs w:val="23"/>
        </w:rPr>
      </w:pPr>
    </w:p>
    <w:p>
      <w:pPr>
        <w:pStyle w:val="BodyText"/>
        <w:spacing w:line="310" w:lineRule="exact"/>
        <w:ind w:left="300" w:right="6524"/>
        <w:jc w:val="left"/>
      </w:pPr>
      <w:r>
        <w:rPr/>
        <w:t>（二）证券发行与上市情况 1、前三年历次证券发行情况</w:t>
      </w:r>
    </w:p>
    <w:p>
      <w:pPr>
        <w:pStyle w:val="BodyText"/>
        <w:spacing w:line="284" w:lineRule="exact"/>
        <w:ind w:left="780" w:right="1844"/>
        <w:jc w:val="left"/>
      </w:pPr>
      <w:r>
        <w:rPr/>
        <w:t>截止本报告期末至前三年，公司未有证券发行与上市情况。</w:t>
      </w:r>
    </w:p>
    <w:p>
      <w:pPr>
        <w:spacing w:line="240" w:lineRule="auto" w:before="11"/>
        <w:rPr>
          <w:rFonts w:ascii="宋体" w:hAnsi="宋体" w:cs="宋体" w:eastAsia="宋体" w:hint="default"/>
          <w:sz w:val="25"/>
          <w:szCs w:val="25"/>
        </w:rPr>
      </w:pPr>
    </w:p>
    <w:p>
      <w:pPr>
        <w:pStyle w:val="BodyText"/>
        <w:spacing w:line="312" w:lineRule="exact"/>
        <w:ind w:left="780" w:right="1844" w:hanging="480"/>
        <w:jc w:val="left"/>
      </w:pPr>
      <w:r>
        <w:rPr/>
        <w:t>2、公司股份总数及结构的变动情况 报告期内没有因送股、配股等原因引起公司股份总数及结构的变动。</w:t>
      </w:r>
    </w:p>
    <w:p>
      <w:pPr>
        <w:spacing w:line="240" w:lineRule="auto" w:before="9"/>
        <w:rPr>
          <w:rFonts w:ascii="宋体" w:hAnsi="宋体" w:cs="宋体" w:eastAsia="宋体" w:hint="default"/>
          <w:sz w:val="23"/>
          <w:szCs w:val="23"/>
        </w:rPr>
      </w:pPr>
    </w:p>
    <w:p>
      <w:pPr>
        <w:pStyle w:val="BodyText"/>
        <w:spacing w:line="312" w:lineRule="exact"/>
        <w:ind w:left="780" w:right="5684" w:hanging="480"/>
        <w:jc w:val="left"/>
      </w:pPr>
      <w:r>
        <w:rPr/>
        <w:t>3、现存的内部职工股情况 本报告期末公司无内部职工股。</w:t>
      </w:r>
    </w:p>
    <w:p>
      <w:pPr>
        <w:spacing w:after="0" w:line="312" w:lineRule="exact"/>
        <w:jc w:val="left"/>
        <w:sectPr>
          <w:type w:val="continuous"/>
          <w:pgSz w:w="11910" w:h="16840"/>
          <w:pgMar w:top="1600" w:bottom="280" w:left="1060" w:right="1000"/>
        </w:sectPr>
      </w:pPr>
    </w:p>
    <w:p>
      <w:pPr>
        <w:spacing w:line="240" w:lineRule="auto" w:before="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720" w:footer="721" w:top="1100" w:bottom="920" w:left="720" w:right="660"/>
        </w:sectPr>
      </w:pPr>
    </w:p>
    <w:p>
      <w:pPr>
        <w:pStyle w:val="BodyText"/>
        <w:spacing w:line="310" w:lineRule="exact" w:before="58"/>
        <w:ind w:left="640" w:right="-20"/>
        <w:jc w:val="left"/>
      </w:pPr>
      <w:r>
        <w:rPr/>
        <w:t>（三）股东和实际控制人情况 1、股东数量和持股情况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1"/>
        <w:rPr>
          <w:rFonts w:ascii="宋体" w:hAnsi="宋体" w:cs="宋体" w:eastAsia="宋体" w:hint="default"/>
          <w:sz w:val="29"/>
          <w:szCs w:val="29"/>
        </w:rPr>
      </w:pPr>
    </w:p>
    <w:p>
      <w:pPr>
        <w:spacing w:before="0"/>
        <w:ind w:left="640"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1600" w:bottom="280" w:left="720" w:right="660"/>
          <w:cols w:num="2" w:equalWidth="0">
            <w:col w:w="3761" w:space="4641"/>
            <w:col w:w="2128"/>
          </w:cols>
        </w:sectPr>
      </w:pPr>
    </w:p>
    <w:p>
      <w:pPr>
        <w:spacing w:line="240" w:lineRule="auto" w:before="7"/>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2790"/>
        <w:gridCol w:w="1488"/>
        <w:gridCol w:w="1166"/>
        <w:gridCol w:w="1206"/>
        <w:gridCol w:w="1211"/>
        <w:gridCol w:w="1266"/>
        <w:gridCol w:w="1162"/>
      </w:tblGrid>
      <w:tr>
        <w:trPr>
          <w:trHeight w:val="458" w:hRule="exact"/>
        </w:trPr>
        <w:tc>
          <w:tcPr>
            <w:tcW w:w="6650"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1"/>
              <w:jc w:val="center"/>
              <w:rPr>
                <w:rFonts w:ascii="宋体" w:hAnsi="宋体" w:cs="宋体" w:eastAsia="宋体" w:hint="default"/>
                <w:sz w:val="18"/>
                <w:szCs w:val="18"/>
              </w:rPr>
            </w:pPr>
            <w:r>
              <w:rPr>
                <w:rFonts w:ascii="宋体" w:hAnsi="宋体" w:cs="宋体" w:eastAsia="宋体" w:hint="default"/>
                <w:b/>
                <w:bCs/>
                <w:sz w:val="18"/>
                <w:szCs w:val="18"/>
              </w:rPr>
              <w:t>报告期末股东总数</w:t>
            </w:r>
            <w:r>
              <w:rPr>
                <w:rFonts w:ascii="宋体" w:hAnsi="宋体" w:cs="宋体" w:eastAsia="宋体" w:hint="default"/>
                <w:sz w:val="18"/>
                <w:szCs w:val="18"/>
              </w:rPr>
            </w:r>
          </w:p>
        </w:tc>
        <w:tc>
          <w:tcPr>
            <w:tcW w:w="364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0"/>
              <w:jc w:val="center"/>
              <w:rPr>
                <w:rFonts w:ascii="宋体" w:hAnsi="宋体" w:cs="宋体" w:eastAsia="宋体" w:hint="default"/>
                <w:sz w:val="18"/>
                <w:szCs w:val="18"/>
              </w:rPr>
            </w:pPr>
            <w:r>
              <w:rPr>
                <w:rFonts w:ascii="宋体" w:hAnsi="宋体" w:cs="宋体" w:eastAsia="宋体" w:hint="default"/>
                <w:sz w:val="18"/>
                <w:szCs w:val="18"/>
              </w:rPr>
              <w:t>31,784</w:t>
            </w:r>
            <w:r>
              <w:rPr>
                <w:rFonts w:ascii="宋体" w:hAnsi="宋体" w:cs="宋体" w:eastAsia="宋体" w:hint="default"/>
                <w:spacing w:val="-46"/>
                <w:sz w:val="18"/>
                <w:szCs w:val="18"/>
              </w:rPr>
              <w:t> </w:t>
            </w:r>
            <w:r>
              <w:rPr>
                <w:rFonts w:ascii="宋体" w:hAnsi="宋体" w:cs="宋体" w:eastAsia="宋体" w:hint="default"/>
                <w:sz w:val="18"/>
                <w:szCs w:val="18"/>
              </w:rPr>
              <w:t>户</w:t>
            </w:r>
          </w:p>
        </w:tc>
      </w:tr>
      <w:tr>
        <w:trPr>
          <w:trHeight w:val="539" w:hRule="exact"/>
        </w:trPr>
        <w:tc>
          <w:tcPr>
            <w:tcW w:w="10290" w:type="dxa"/>
            <w:gridSpan w:val="7"/>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1"/>
              <w:jc w:val="center"/>
              <w:rPr>
                <w:rFonts w:ascii="宋体" w:hAnsi="宋体" w:cs="宋体" w:eastAsia="宋体" w:hint="default"/>
                <w:sz w:val="18"/>
                <w:szCs w:val="18"/>
              </w:rPr>
            </w:pPr>
            <w:r>
              <w:rPr>
                <w:rFonts w:ascii="宋体" w:hAnsi="宋体" w:cs="宋体" w:eastAsia="宋体" w:hint="default"/>
                <w:b/>
                <w:bCs/>
                <w:sz w:val="18"/>
                <w:szCs w:val="18"/>
              </w:rPr>
              <w:t>前十名股东持股情况</w:t>
            </w:r>
            <w:r>
              <w:rPr>
                <w:rFonts w:ascii="宋体" w:hAnsi="宋体" w:cs="宋体" w:eastAsia="宋体" w:hint="default"/>
                <w:sz w:val="18"/>
                <w:szCs w:val="18"/>
              </w:rPr>
            </w:r>
          </w:p>
        </w:tc>
      </w:tr>
      <w:tr>
        <w:trPr>
          <w:trHeight w:val="715" w:hRule="exact"/>
        </w:trPr>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
              <w:jc w:val="center"/>
              <w:rPr>
                <w:rFonts w:ascii="宋体" w:hAnsi="宋体" w:cs="宋体" w:eastAsia="宋体" w:hint="default"/>
                <w:sz w:val="18"/>
                <w:szCs w:val="18"/>
              </w:rPr>
            </w:pPr>
            <w:r>
              <w:rPr>
                <w:rFonts w:ascii="宋体" w:hAnsi="宋体" w:cs="宋体" w:eastAsia="宋体" w:hint="default"/>
                <w:sz w:val="18"/>
                <w:szCs w:val="18"/>
              </w:rPr>
              <w:t>股东性质</w:t>
            </w:r>
          </w:p>
        </w:tc>
        <w:tc>
          <w:tcPr>
            <w:tcW w:w="1166"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before="87"/>
              <w:ind w:right="9"/>
              <w:jc w:val="center"/>
              <w:rPr>
                <w:rFonts w:ascii="宋体" w:hAnsi="宋体" w:cs="宋体" w:eastAsia="宋体" w:hint="default"/>
                <w:sz w:val="18"/>
                <w:szCs w:val="18"/>
              </w:rPr>
            </w:pPr>
            <w:r>
              <w:rPr>
                <w:rFonts w:ascii="宋体" w:hAnsi="宋体" w:cs="宋体" w:eastAsia="宋体" w:hint="default"/>
                <w:sz w:val="18"/>
                <w:szCs w:val="18"/>
              </w:rPr>
              <w:t>持股比例</w:t>
            </w:r>
          </w:p>
          <w:p>
            <w:pPr>
              <w:pStyle w:val="TableParagraph"/>
              <w:spacing w:line="234" w:lineRule="exact"/>
              <w:ind w:right="10"/>
              <w:jc w:val="center"/>
              <w:rPr>
                <w:rFonts w:ascii="宋体" w:hAnsi="宋体" w:cs="宋体" w:eastAsia="宋体" w:hint="default"/>
                <w:sz w:val="18"/>
                <w:szCs w:val="18"/>
              </w:rPr>
            </w:pPr>
            <w:r>
              <w:rPr>
                <w:rFonts w:ascii="宋体" w:hAnsi="宋体" w:cs="宋体" w:eastAsia="宋体" w:hint="default"/>
                <w:sz w:val="18"/>
                <w:szCs w:val="18"/>
              </w:rPr>
              <w:t>（%）</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211"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1"/>
              <w:ind w:left="505" w:right="149" w:hanging="360"/>
              <w:jc w:val="left"/>
              <w:rPr>
                <w:rFonts w:ascii="宋体" w:hAnsi="宋体" w:cs="宋体" w:eastAsia="宋体" w:hint="default"/>
                <w:sz w:val="18"/>
                <w:szCs w:val="18"/>
              </w:rPr>
            </w:pPr>
            <w:r>
              <w:rPr>
                <w:rFonts w:ascii="宋体" w:hAnsi="宋体" w:cs="宋体" w:eastAsia="宋体" w:hint="default"/>
                <w:sz w:val="18"/>
                <w:szCs w:val="18"/>
              </w:rPr>
              <w:t>报告期内增 减</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74" w:right="0"/>
              <w:jc w:val="left"/>
              <w:rPr>
                <w:rFonts w:ascii="宋体" w:hAnsi="宋体" w:cs="宋体" w:eastAsia="宋体" w:hint="default"/>
                <w:sz w:val="18"/>
                <w:szCs w:val="18"/>
              </w:rPr>
            </w:pPr>
            <w:r>
              <w:rPr>
                <w:rFonts w:ascii="宋体" w:hAnsi="宋体" w:cs="宋体" w:eastAsia="宋体" w:hint="default"/>
                <w:sz w:val="18"/>
                <w:szCs w:val="18"/>
              </w:rPr>
              <w:t>持有有限售</w:t>
            </w:r>
          </w:p>
          <w:p>
            <w:pPr>
              <w:pStyle w:val="TableParagraph"/>
              <w:spacing w:line="240" w:lineRule="auto"/>
              <w:ind w:left="534" w:right="176" w:hanging="360"/>
              <w:jc w:val="left"/>
              <w:rPr>
                <w:rFonts w:ascii="宋体" w:hAnsi="宋体" w:cs="宋体" w:eastAsia="宋体" w:hint="default"/>
                <w:sz w:val="18"/>
                <w:szCs w:val="18"/>
              </w:rPr>
            </w:pPr>
            <w:r>
              <w:rPr>
                <w:rFonts w:ascii="宋体" w:hAnsi="宋体" w:cs="宋体" w:eastAsia="宋体" w:hint="default"/>
                <w:sz w:val="18"/>
                <w:szCs w:val="18"/>
              </w:rPr>
              <w:t>条件股份数 量</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1"/>
              <w:ind w:left="125" w:right="120"/>
              <w:jc w:val="left"/>
              <w:rPr>
                <w:rFonts w:ascii="宋体" w:hAnsi="宋体" w:cs="宋体" w:eastAsia="宋体" w:hint="default"/>
                <w:sz w:val="18"/>
                <w:szCs w:val="18"/>
              </w:rPr>
            </w:pPr>
            <w:r>
              <w:rPr>
                <w:rFonts w:ascii="宋体" w:hAnsi="宋体" w:cs="宋体" w:eastAsia="宋体" w:hint="default"/>
                <w:sz w:val="18"/>
                <w:szCs w:val="18"/>
              </w:rPr>
              <w:t>质押或冻结 的股份数量</w:t>
            </w:r>
          </w:p>
        </w:tc>
      </w:tr>
      <w:tr>
        <w:trPr>
          <w:trHeight w:val="248" w:hRule="exact"/>
        </w:trPr>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东北大学科技产业集团有限公司</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1"/>
              <w:jc w:val="center"/>
              <w:rPr>
                <w:rFonts w:ascii="宋体" w:hAnsi="宋体" w:cs="宋体" w:eastAsia="宋体" w:hint="default"/>
                <w:sz w:val="18"/>
                <w:szCs w:val="18"/>
              </w:rPr>
            </w:pPr>
            <w:r>
              <w:rPr>
                <w:rFonts w:ascii="宋体" w:hAnsi="宋体" w:cs="宋体" w:eastAsia="宋体" w:hint="default"/>
                <w:sz w:val="18"/>
                <w:szCs w:val="18"/>
              </w:rPr>
              <w:t>国有法人</w:t>
            </w:r>
          </w:p>
        </w:tc>
        <w:tc>
          <w:tcPr>
            <w:tcW w:w="11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17.6248</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166,431,971</w:t>
            </w:r>
          </w:p>
        </w:tc>
        <w:tc>
          <w:tcPr>
            <w:tcW w:w="121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04"/>
              <w:jc w:val="right"/>
              <w:rPr>
                <w:rFonts w:ascii="宋体" w:hAnsi="宋体" w:cs="宋体" w:eastAsia="宋体" w:hint="default"/>
                <w:sz w:val="18"/>
                <w:szCs w:val="18"/>
              </w:rPr>
            </w:pPr>
            <w:r>
              <w:rPr>
                <w:rFonts w:ascii="宋体"/>
                <w:sz w:val="18"/>
              </w:rPr>
              <w:t>0</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5"/>
              <w:jc w:val="right"/>
              <w:rPr>
                <w:rFonts w:ascii="宋体" w:hAnsi="宋体" w:cs="宋体" w:eastAsia="宋体" w:hint="default"/>
                <w:sz w:val="18"/>
                <w:szCs w:val="18"/>
              </w:rPr>
            </w:pPr>
            <w:r>
              <w:rPr>
                <w:rFonts w:ascii="宋体"/>
                <w:sz w:val="18"/>
              </w:rPr>
              <w:t>166,431,971</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3"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48" w:hRule="exact"/>
        </w:trPr>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沈阳慧旭科技股份有限公司</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1"/>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1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17.1724</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162,159,661</w:t>
            </w:r>
          </w:p>
        </w:tc>
        <w:tc>
          <w:tcPr>
            <w:tcW w:w="121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04"/>
              <w:jc w:val="right"/>
              <w:rPr>
                <w:rFonts w:ascii="宋体" w:hAnsi="宋体" w:cs="宋体" w:eastAsia="宋体" w:hint="default"/>
                <w:sz w:val="18"/>
                <w:szCs w:val="18"/>
              </w:rPr>
            </w:pPr>
            <w:r>
              <w:rPr>
                <w:rFonts w:ascii="宋体"/>
                <w:sz w:val="18"/>
              </w:rPr>
              <w:t>0</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5"/>
              <w:jc w:val="right"/>
              <w:rPr>
                <w:rFonts w:ascii="宋体" w:hAnsi="宋体" w:cs="宋体" w:eastAsia="宋体" w:hint="default"/>
                <w:sz w:val="18"/>
                <w:szCs w:val="18"/>
              </w:rPr>
            </w:pPr>
            <w:r>
              <w:rPr>
                <w:rFonts w:ascii="宋体"/>
                <w:sz w:val="18"/>
              </w:rPr>
              <w:t>162,159,661</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3"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48" w:hRule="exact"/>
        </w:trPr>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阿尔派电子（中国）有限公司</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1"/>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1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13.9512</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131,741,190</w:t>
            </w:r>
          </w:p>
        </w:tc>
        <w:tc>
          <w:tcPr>
            <w:tcW w:w="121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04"/>
              <w:jc w:val="right"/>
              <w:rPr>
                <w:rFonts w:ascii="宋体" w:hAnsi="宋体" w:cs="宋体" w:eastAsia="宋体" w:hint="default"/>
                <w:sz w:val="18"/>
                <w:szCs w:val="18"/>
              </w:rPr>
            </w:pPr>
            <w:r>
              <w:rPr>
                <w:rFonts w:ascii="宋体"/>
                <w:sz w:val="18"/>
              </w:rPr>
              <w:t>0</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5"/>
              <w:jc w:val="right"/>
              <w:rPr>
                <w:rFonts w:ascii="宋体" w:hAnsi="宋体" w:cs="宋体" w:eastAsia="宋体" w:hint="default"/>
                <w:sz w:val="18"/>
                <w:szCs w:val="18"/>
              </w:rPr>
            </w:pPr>
            <w:r>
              <w:rPr>
                <w:rFonts w:ascii="宋体"/>
                <w:sz w:val="18"/>
              </w:rPr>
              <w:t>131,741,190</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3"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48" w:hRule="exact"/>
        </w:trPr>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宝钢集团有限公司</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1"/>
              <w:jc w:val="center"/>
              <w:rPr>
                <w:rFonts w:ascii="宋体" w:hAnsi="宋体" w:cs="宋体" w:eastAsia="宋体" w:hint="default"/>
                <w:sz w:val="18"/>
                <w:szCs w:val="18"/>
              </w:rPr>
            </w:pPr>
            <w:r>
              <w:rPr>
                <w:rFonts w:ascii="宋体" w:hAnsi="宋体" w:cs="宋体" w:eastAsia="宋体" w:hint="default"/>
                <w:sz w:val="18"/>
                <w:szCs w:val="18"/>
              </w:rPr>
              <w:t>国家</w:t>
            </w:r>
          </w:p>
        </w:tc>
        <w:tc>
          <w:tcPr>
            <w:tcW w:w="11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9.9249</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93,721,599</w:t>
            </w:r>
          </w:p>
        </w:tc>
        <w:tc>
          <w:tcPr>
            <w:tcW w:w="121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04"/>
              <w:jc w:val="right"/>
              <w:rPr>
                <w:rFonts w:ascii="宋体" w:hAnsi="宋体" w:cs="宋体" w:eastAsia="宋体" w:hint="default"/>
                <w:sz w:val="18"/>
                <w:szCs w:val="18"/>
              </w:rPr>
            </w:pPr>
            <w:r>
              <w:rPr>
                <w:rFonts w:ascii="宋体"/>
                <w:sz w:val="18"/>
              </w:rPr>
              <w:t>0</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5"/>
              <w:jc w:val="right"/>
              <w:rPr>
                <w:rFonts w:ascii="宋体" w:hAnsi="宋体" w:cs="宋体" w:eastAsia="宋体" w:hint="default"/>
                <w:sz w:val="18"/>
                <w:szCs w:val="18"/>
              </w:rPr>
            </w:pPr>
            <w:r>
              <w:rPr>
                <w:rFonts w:ascii="宋体"/>
                <w:sz w:val="18"/>
              </w:rPr>
              <w:t>93,721,599</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3"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48" w:hRule="exact"/>
        </w:trPr>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东芝解决方案株式会社</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1"/>
              <w:jc w:val="center"/>
              <w:rPr>
                <w:rFonts w:ascii="宋体" w:hAnsi="宋体" w:cs="宋体" w:eastAsia="宋体" w:hint="default"/>
                <w:sz w:val="18"/>
                <w:szCs w:val="18"/>
              </w:rPr>
            </w:pPr>
            <w:r>
              <w:rPr>
                <w:rFonts w:ascii="宋体" w:hAnsi="宋体" w:cs="宋体" w:eastAsia="宋体" w:hint="default"/>
                <w:sz w:val="18"/>
                <w:szCs w:val="18"/>
              </w:rPr>
              <w:t>境外法人</w:t>
            </w:r>
          </w:p>
        </w:tc>
        <w:tc>
          <w:tcPr>
            <w:tcW w:w="11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4.7433</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44,790,797</w:t>
            </w:r>
          </w:p>
        </w:tc>
        <w:tc>
          <w:tcPr>
            <w:tcW w:w="121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04"/>
              <w:jc w:val="right"/>
              <w:rPr>
                <w:rFonts w:ascii="宋体" w:hAnsi="宋体" w:cs="宋体" w:eastAsia="宋体" w:hint="default"/>
                <w:sz w:val="18"/>
                <w:szCs w:val="18"/>
              </w:rPr>
            </w:pPr>
            <w:r>
              <w:rPr>
                <w:rFonts w:ascii="宋体"/>
                <w:sz w:val="18"/>
              </w:rPr>
              <w:t>0</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5"/>
              <w:jc w:val="right"/>
              <w:rPr>
                <w:rFonts w:ascii="宋体" w:hAnsi="宋体" w:cs="宋体" w:eastAsia="宋体" w:hint="default"/>
                <w:sz w:val="18"/>
                <w:szCs w:val="18"/>
              </w:rPr>
            </w:pPr>
            <w:r>
              <w:rPr>
                <w:rFonts w:ascii="宋体"/>
                <w:sz w:val="18"/>
              </w:rPr>
              <w:t>44,790,797</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3"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48" w:hRule="exact"/>
        </w:trPr>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sz w:val="18"/>
              </w:rPr>
              <w:t>INTEL CAPITAL CORPORATION</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1"/>
              <w:jc w:val="center"/>
              <w:rPr>
                <w:rFonts w:ascii="宋体" w:hAnsi="宋体" w:cs="宋体" w:eastAsia="宋体" w:hint="default"/>
                <w:sz w:val="18"/>
                <w:szCs w:val="18"/>
              </w:rPr>
            </w:pPr>
            <w:r>
              <w:rPr>
                <w:rFonts w:ascii="宋体" w:hAnsi="宋体" w:cs="宋体" w:eastAsia="宋体" w:hint="default"/>
                <w:sz w:val="18"/>
                <w:szCs w:val="18"/>
              </w:rPr>
              <w:t>境外法人</w:t>
            </w:r>
          </w:p>
        </w:tc>
        <w:tc>
          <w:tcPr>
            <w:tcW w:w="11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4.2507</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40,139,372</w:t>
            </w:r>
          </w:p>
        </w:tc>
        <w:tc>
          <w:tcPr>
            <w:tcW w:w="121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04"/>
              <w:jc w:val="right"/>
              <w:rPr>
                <w:rFonts w:ascii="宋体" w:hAnsi="宋体" w:cs="宋体" w:eastAsia="宋体" w:hint="default"/>
                <w:sz w:val="18"/>
                <w:szCs w:val="18"/>
              </w:rPr>
            </w:pPr>
            <w:r>
              <w:rPr>
                <w:rFonts w:ascii="宋体"/>
                <w:sz w:val="18"/>
              </w:rPr>
              <w:t>0</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5"/>
              <w:jc w:val="right"/>
              <w:rPr>
                <w:rFonts w:ascii="宋体" w:hAnsi="宋体" w:cs="宋体" w:eastAsia="宋体" w:hint="default"/>
                <w:sz w:val="18"/>
                <w:szCs w:val="18"/>
              </w:rPr>
            </w:pPr>
            <w:r>
              <w:rPr>
                <w:rFonts w:ascii="宋体"/>
                <w:sz w:val="18"/>
              </w:rPr>
              <w:t>40,139,372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3"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48" w:hRule="exact"/>
        </w:trPr>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sz w:val="18"/>
              </w:rPr>
              <w:t>PHILIPS</w:t>
            </w:r>
            <w:r>
              <w:rPr>
                <w:rFonts w:ascii="宋体"/>
                <w:spacing w:val="-43"/>
                <w:sz w:val="18"/>
              </w:rPr>
              <w:t> </w:t>
            </w:r>
            <w:r>
              <w:rPr>
                <w:rFonts w:ascii="宋体"/>
                <w:sz w:val="18"/>
              </w:rPr>
              <w:t>ELECTRONICS</w:t>
            </w:r>
            <w:r>
              <w:rPr>
                <w:rFonts w:ascii="宋体"/>
                <w:spacing w:val="-43"/>
                <w:sz w:val="18"/>
              </w:rPr>
              <w:t> </w:t>
            </w:r>
            <w:r>
              <w:rPr>
                <w:rFonts w:ascii="宋体"/>
                <w:sz w:val="18"/>
              </w:rPr>
              <w:t>CHINA</w:t>
            </w:r>
            <w:r>
              <w:rPr>
                <w:rFonts w:ascii="宋体"/>
                <w:spacing w:val="-43"/>
                <w:sz w:val="18"/>
              </w:rPr>
              <w:t> </w:t>
            </w:r>
            <w:r>
              <w:rPr>
                <w:rFonts w:ascii="宋体"/>
                <w:sz w:val="18"/>
              </w:rPr>
              <w:t>B.V.</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
              <w:jc w:val="center"/>
              <w:rPr>
                <w:rFonts w:ascii="宋体" w:hAnsi="宋体" w:cs="宋体" w:eastAsia="宋体" w:hint="default"/>
                <w:sz w:val="18"/>
                <w:szCs w:val="18"/>
              </w:rPr>
            </w:pPr>
            <w:r>
              <w:rPr>
                <w:rFonts w:ascii="宋体" w:hAnsi="宋体" w:cs="宋体" w:eastAsia="宋体" w:hint="default"/>
                <w:sz w:val="18"/>
                <w:szCs w:val="18"/>
              </w:rPr>
              <w:t>境外法人</w:t>
            </w:r>
          </w:p>
        </w:tc>
        <w:tc>
          <w:tcPr>
            <w:tcW w:w="11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2.0328</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19,196,055</w:t>
            </w:r>
          </w:p>
        </w:tc>
        <w:tc>
          <w:tcPr>
            <w:tcW w:w="121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03"/>
              <w:jc w:val="right"/>
              <w:rPr>
                <w:rFonts w:ascii="宋体" w:hAnsi="宋体" w:cs="宋体" w:eastAsia="宋体" w:hint="default"/>
                <w:sz w:val="18"/>
                <w:szCs w:val="18"/>
              </w:rPr>
            </w:pPr>
            <w:r>
              <w:rPr>
                <w:rFonts w:ascii="宋体"/>
                <w:sz w:val="18"/>
              </w:rPr>
              <w:t>0</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5"/>
              <w:jc w:val="right"/>
              <w:rPr>
                <w:rFonts w:ascii="宋体" w:hAnsi="宋体" w:cs="宋体" w:eastAsia="宋体" w:hint="default"/>
                <w:sz w:val="18"/>
                <w:szCs w:val="18"/>
              </w:rPr>
            </w:pPr>
            <w:r>
              <w:rPr>
                <w:rFonts w:ascii="宋体"/>
                <w:sz w:val="18"/>
              </w:rPr>
              <w:t>19,196,055</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3"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81" w:hRule="exact"/>
        </w:trPr>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中国建设银行－银华核心价值优</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选股票型证券投资基金</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1"/>
              <w:jc w:val="center"/>
              <w:rPr>
                <w:rFonts w:ascii="宋体" w:hAnsi="宋体" w:cs="宋体" w:eastAsia="宋体" w:hint="default"/>
                <w:sz w:val="18"/>
                <w:szCs w:val="18"/>
              </w:rPr>
            </w:pPr>
            <w:r>
              <w:rPr>
                <w:rFonts w:ascii="宋体" w:hAnsi="宋体" w:cs="宋体" w:eastAsia="宋体" w:hint="default"/>
                <w:sz w:val="18"/>
                <w:szCs w:val="18"/>
              </w:rPr>
              <w:t>未知</w:t>
            </w:r>
          </w:p>
        </w:tc>
        <w:tc>
          <w:tcPr>
            <w:tcW w:w="11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1.7974</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16,973,237</w:t>
            </w:r>
          </w:p>
        </w:tc>
        <w:tc>
          <w:tcPr>
            <w:tcW w:w="12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04"/>
              <w:jc w:val="right"/>
              <w:rPr>
                <w:rFonts w:ascii="宋体" w:hAnsi="宋体" w:cs="宋体" w:eastAsia="宋体" w:hint="default"/>
                <w:sz w:val="18"/>
                <w:szCs w:val="18"/>
              </w:rPr>
            </w:pPr>
            <w:r>
              <w:rPr>
                <w:rFonts w:ascii="宋体"/>
                <w:sz w:val="18"/>
              </w:rPr>
              <w:t>10,744,945</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5"/>
              <w:jc w:val="right"/>
              <w:rPr>
                <w:rFonts w:ascii="宋体" w:hAnsi="宋体" w:cs="宋体" w:eastAsia="宋体" w:hint="default"/>
                <w:sz w:val="18"/>
                <w:szCs w:val="18"/>
              </w:rPr>
            </w:pPr>
            <w:r>
              <w:rPr>
                <w:rFonts w:ascii="宋体"/>
                <w:sz w:val="18"/>
              </w:rPr>
              <w:t>0</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3"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82" w:hRule="exact"/>
        </w:trPr>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中国建设银行－博时主题行业股</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票证券投资基金</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1"/>
              <w:jc w:val="center"/>
              <w:rPr>
                <w:rFonts w:ascii="宋体" w:hAnsi="宋体" w:cs="宋体" w:eastAsia="宋体" w:hint="default"/>
                <w:sz w:val="18"/>
                <w:szCs w:val="18"/>
              </w:rPr>
            </w:pPr>
            <w:r>
              <w:rPr>
                <w:rFonts w:ascii="宋体" w:hAnsi="宋体" w:cs="宋体" w:eastAsia="宋体" w:hint="default"/>
                <w:sz w:val="18"/>
                <w:szCs w:val="18"/>
              </w:rPr>
              <w:t>未知</w:t>
            </w:r>
          </w:p>
        </w:tc>
        <w:tc>
          <w:tcPr>
            <w:tcW w:w="11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1.6995</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16,048,211</w:t>
            </w:r>
          </w:p>
        </w:tc>
        <w:tc>
          <w:tcPr>
            <w:tcW w:w="12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04"/>
              <w:jc w:val="right"/>
              <w:rPr>
                <w:rFonts w:ascii="宋体" w:hAnsi="宋体" w:cs="宋体" w:eastAsia="宋体" w:hint="default"/>
                <w:sz w:val="18"/>
                <w:szCs w:val="18"/>
              </w:rPr>
            </w:pPr>
            <w:r>
              <w:rPr>
                <w:rFonts w:ascii="宋体"/>
                <w:sz w:val="18"/>
              </w:rPr>
              <w:t>-13,944,320</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5"/>
              <w:jc w:val="right"/>
              <w:rPr>
                <w:rFonts w:ascii="宋体" w:hAnsi="宋体" w:cs="宋体" w:eastAsia="宋体" w:hint="default"/>
                <w:sz w:val="18"/>
                <w:szCs w:val="18"/>
              </w:rPr>
            </w:pPr>
            <w:r>
              <w:rPr>
                <w:rFonts w:ascii="宋体"/>
                <w:sz w:val="18"/>
              </w:rPr>
              <w:t>0</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3"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48" w:hRule="exact"/>
        </w:trPr>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阿尔派株式会社</w:t>
            </w:r>
          </w:p>
        </w:tc>
        <w:tc>
          <w:tcPr>
            <w:tcW w:w="148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1"/>
              <w:jc w:val="center"/>
              <w:rPr>
                <w:rFonts w:ascii="宋体" w:hAnsi="宋体" w:cs="宋体" w:eastAsia="宋体" w:hint="default"/>
                <w:sz w:val="18"/>
                <w:szCs w:val="18"/>
              </w:rPr>
            </w:pPr>
            <w:r>
              <w:rPr>
                <w:rFonts w:ascii="宋体" w:hAnsi="宋体" w:cs="宋体" w:eastAsia="宋体" w:hint="default"/>
                <w:sz w:val="18"/>
                <w:szCs w:val="18"/>
              </w:rPr>
              <w:t>境外法人</w:t>
            </w:r>
          </w:p>
        </w:tc>
        <w:tc>
          <w:tcPr>
            <w:tcW w:w="11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1.6339</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15,428,572</w:t>
            </w:r>
          </w:p>
        </w:tc>
        <w:tc>
          <w:tcPr>
            <w:tcW w:w="121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04"/>
              <w:jc w:val="right"/>
              <w:rPr>
                <w:rFonts w:ascii="宋体" w:hAnsi="宋体" w:cs="宋体" w:eastAsia="宋体" w:hint="default"/>
                <w:sz w:val="18"/>
                <w:szCs w:val="18"/>
              </w:rPr>
            </w:pPr>
            <w:r>
              <w:rPr>
                <w:rFonts w:ascii="宋体"/>
                <w:sz w:val="18"/>
              </w:rPr>
              <w:t>0</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5"/>
              <w:jc w:val="right"/>
              <w:rPr>
                <w:rFonts w:ascii="宋体" w:hAnsi="宋体" w:cs="宋体" w:eastAsia="宋体" w:hint="default"/>
                <w:sz w:val="18"/>
                <w:szCs w:val="18"/>
              </w:rPr>
            </w:pPr>
            <w:r>
              <w:rPr>
                <w:rFonts w:ascii="宋体"/>
                <w:sz w:val="18"/>
              </w:rPr>
              <w:t>15,428,572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3"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660" w:hRule="exact"/>
        </w:trPr>
        <w:tc>
          <w:tcPr>
            <w:tcW w:w="10290" w:type="dxa"/>
            <w:gridSpan w:val="7"/>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z w:val="18"/>
                <w:szCs w:val="18"/>
              </w:rPr>
              <w:t>前十名无限售条件股东持股情况</w:t>
            </w:r>
            <w:r>
              <w:rPr>
                <w:rFonts w:ascii="宋体" w:hAnsi="宋体" w:cs="宋体" w:eastAsia="宋体" w:hint="default"/>
                <w:sz w:val="18"/>
                <w:szCs w:val="18"/>
              </w:rPr>
            </w:r>
          </w:p>
        </w:tc>
      </w:tr>
      <w:tr>
        <w:trPr>
          <w:trHeight w:val="248" w:hRule="exact"/>
        </w:trPr>
        <w:tc>
          <w:tcPr>
            <w:tcW w:w="42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584" w:type="dxa"/>
            <w:gridSpan w:val="3"/>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712" w:right="0"/>
              <w:jc w:val="left"/>
              <w:rPr>
                <w:rFonts w:ascii="宋体" w:hAnsi="宋体" w:cs="宋体" w:eastAsia="宋体" w:hint="default"/>
                <w:sz w:val="18"/>
                <w:szCs w:val="18"/>
              </w:rPr>
            </w:pPr>
            <w:r>
              <w:rPr>
                <w:rFonts w:ascii="宋体" w:hAnsi="宋体" w:cs="宋体" w:eastAsia="宋体" w:hint="default"/>
                <w:sz w:val="18"/>
                <w:szCs w:val="18"/>
              </w:rPr>
              <w:t>持有无限售条件股份的数量</w:t>
            </w:r>
          </w:p>
        </w:tc>
        <w:tc>
          <w:tcPr>
            <w:tcW w:w="242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79" w:right="0"/>
              <w:jc w:val="left"/>
              <w:rPr>
                <w:rFonts w:ascii="宋体" w:hAnsi="宋体" w:cs="宋体" w:eastAsia="宋体" w:hint="default"/>
                <w:sz w:val="18"/>
                <w:szCs w:val="18"/>
              </w:rPr>
            </w:pPr>
            <w:r>
              <w:rPr>
                <w:rFonts w:ascii="宋体" w:hAnsi="宋体" w:cs="宋体" w:eastAsia="宋体" w:hint="default"/>
                <w:sz w:val="18"/>
                <w:szCs w:val="18"/>
              </w:rPr>
              <w:t>股份种类及数量</w:t>
            </w:r>
          </w:p>
        </w:tc>
      </w:tr>
      <w:tr>
        <w:trPr>
          <w:trHeight w:val="482" w:hRule="exact"/>
        </w:trPr>
        <w:tc>
          <w:tcPr>
            <w:tcW w:w="42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中国建设银行－银华核心价值优选股票型证券投资</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基金</w:t>
            </w:r>
          </w:p>
        </w:tc>
        <w:tc>
          <w:tcPr>
            <w:tcW w:w="358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3"/>
              <w:jc w:val="right"/>
              <w:rPr>
                <w:rFonts w:ascii="宋体" w:hAnsi="宋体" w:cs="宋体" w:eastAsia="宋体" w:hint="default"/>
                <w:sz w:val="18"/>
                <w:szCs w:val="18"/>
              </w:rPr>
            </w:pPr>
            <w:r>
              <w:rPr>
                <w:rFonts w:ascii="宋体"/>
                <w:sz w:val="18"/>
              </w:rPr>
              <w:t>16,973,237</w:t>
            </w:r>
          </w:p>
        </w:tc>
        <w:tc>
          <w:tcPr>
            <w:tcW w:w="12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7"/>
              <w:ind w:right="86"/>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162"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87"/>
              <w:ind w:left="48" w:right="0"/>
              <w:jc w:val="center"/>
              <w:rPr>
                <w:rFonts w:ascii="宋体" w:hAnsi="宋体" w:cs="宋体" w:eastAsia="宋体" w:hint="default"/>
                <w:sz w:val="18"/>
                <w:szCs w:val="18"/>
              </w:rPr>
            </w:pPr>
            <w:r>
              <w:rPr>
                <w:rFonts w:ascii="宋体"/>
                <w:sz w:val="18"/>
              </w:rPr>
              <w:t>16,973,237</w:t>
            </w:r>
          </w:p>
        </w:tc>
      </w:tr>
      <w:tr>
        <w:trPr>
          <w:trHeight w:val="248" w:hRule="exact"/>
        </w:trPr>
        <w:tc>
          <w:tcPr>
            <w:tcW w:w="42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中国建设银行－博时主题行业股票证券投资基金</w:t>
            </w:r>
          </w:p>
        </w:tc>
        <w:tc>
          <w:tcPr>
            <w:tcW w:w="3584" w:type="dxa"/>
            <w:gridSpan w:val="3"/>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3"/>
              <w:jc w:val="right"/>
              <w:rPr>
                <w:rFonts w:ascii="宋体" w:hAnsi="宋体" w:cs="宋体" w:eastAsia="宋体" w:hint="default"/>
                <w:sz w:val="18"/>
                <w:szCs w:val="18"/>
              </w:rPr>
            </w:pPr>
            <w:r>
              <w:rPr>
                <w:rFonts w:ascii="宋体"/>
                <w:sz w:val="18"/>
              </w:rPr>
              <w:t>16,048,211</w:t>
            </w:r>
          </w:p>
        </w:tc>
        <w:tc>
          <w:tcPr>
            <w:tcW w:w="1266" w:type="dxa"/>
            <w:tcBorders>
              <w:top w:val="single" w:sz="6" w:space="0" w:color="000000"/>
              <w:left w:val="single" w:sz="6" w:space="0" w:color="000000"/>
              <w:bottom w:val="single" w:sz="6" w:space="0" w:color="000000"/>
              <w:right w:val="single" w:sz="4" w:space="0" w:color="000000"/>
            </w:tcBorders>
          </w:tcPr>
          <w:p>
            <w:pPr>
              <w:pStyle w:val="TableParagraph"/>
              <w:spacing w:line="207" w:lineRule="exact"/>
              <w:ind w:right="86"/>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162" w:type="dxa"/>
            <w:tcBorders>
              <w:top w:val="single" w:sz="6" w:space="0" w:color="000000"/>
              <w:left w:val="single" w:sz="4" w:space="0" w:color="000000"/>
              <w:bottom w:val="single" w:sz="6" w:space="0" w:color="000000"/>
              <w:right w:val="single" w:sz="6" w:space="0" w:color="000000"/>
            </w:tcBorders>
          </w:tcPr>
          <w:p>
            <w:pPr>
              <w:pStyle w:val="TableParagraph"/>
              <w:spacing w:line="207" w:lineRule="exact"/>
              <w:ind w:left="48" w:right="0"/>
              <w:jc w:val="center"/>
              <w:rPr>
                <w:rFonts w:ascii="宋体" w:hAnsi="宋体" w:cs="宋体" w:eastAsia="宋体" w:hint="default"/>
                <w:sz w:val="18"/>
                <w:szCs w:val="18"/>
              </w:rPr>
            </w:pPr>
            <w:r>
              <w:rPr>
                <w:rFonts w:ascii="宋体"/>
                <w:sz w:val="18"/>
              </w:rPr>
              <w:t>16,048,211</w:t>
            </w:r>
          </w:p>
        </w:tc>
      </w:tr>
      <w:tr>
        <w:trPr>
          <w:trHeight w:val="481" w:hRule="exact"/>
        </w:trPr>
        <w:tc>
          <w:tcPr>
            <w:tcW w:w="42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中国农业银行－富兰克林国海弹性市值股票型证券</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投资基金</w:t>
            </w:r>
          </w:p>
        </w:tc>
        <w:tc>
          <w:tcPr>
            <w:tcW w:w="358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3"/>
              <w:jc w:val="right"/>
              <w:rPr>
                <w:rFonts w:ascii="宋体" w:hAnsi="宋体" w:cs="宋体" w:eastAsia="宋体" w:hint="default"/>
                <w:sz w:val="18"/>
                <w:szCs w:val="18"/>
              </w:rPr>
            </w:pPr>
            <w:r>
              <w:rPr>
                <w:rFonts w:ascii="宋体"/>
                <w:sz w:val="18"/>
              </w:rPr>
              <w:t>11,384,313</w:t>
            </w:r>
          </w:p>
        </w:tc>
        <w:tc>
          <w:tcPr>
            <w:tcW w:w="12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7"/>
              <w:ind w:right="86"/>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162"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87"/>
              <w:ind w:left="48" w:right="0"/>
              <w:jc w:val="center"/>
              <w:rPr>
                <w:rFonts w:ascii="宋体" w:hAnsi="宋体" w:cs="宋体" w:eastAsia="宋体" w:hint="default"/>
                <w:sz w:val="18"/>
                <w:szCs w:val="18"/>
              </w:rPr>
            </w:pPr>
            <w:r>
              <w:rPr>
                <w:rFonts w:ascii="宋体"/>
                <w:sz w:val="18"/>
              </w:rPr>
              <w:t>11,384,313</w:t>
            </w:r>
          </w:p>
        </w:tc>
      </w:tr>
      <w:tr>
        <w:trPr>
          <w:trHeight w:val="248" w:hRule="exact"/>
        </w:trPr>
        <w:tc>
          <w:tcPr>
            <w:tcW w:w="42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全国社保基金一零三组合</w:t>
            </w:r>
          </w:p>
        </w:tc>
        <w:tc>
          <w:tcPr>
            <w:tcW w:w="3584" w:type="dxa"/>
            <w:gridSpan w:val="3"/>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3"/>
              <w:jc w:val="right"/>
              <w:rPr>
                <w:rFonts w:ascii="宋体" w:hAnsi="宋体" w:cs="宋体" w:eastAsia="宋体" w:hint="default"/>
                <w:sz w:val="18"/>
                <w:szCs w:val="18"/>
              </w:rPr>
            </w:pPr>
            <w:r>
              <w:rPr>
                <w:rFonts w:ascii="宋体"/>
                <w:sz w:val="18"/>
              </w:rPr>
              <w:t>8,336,997</w:t>
            </w:r>
          </w:p>
        </w:tc>
        <w:tc>
          <w:tcPr>
            <w:tcW w:w="1266" w:type="dxa"/>
            <w:tcBorders>
              <w:top w:val="single" w:sz="6" w:space="0" w:color="000000"/>
              <w:left w:val="single" w:sz="6" w:space="0" w:color="000000"/>
              <w:bottom w:val="single" w:sz="6" w:space="0" w:color="000000"/>
              <w:right w:val="single" w:sz="4" w:space="0" w:color="000000"/>
            </w:tcBorders>
          </w:tcPr>
          <w:p>
            <w:pPr>
              <w:pStyle w:val="TableParagraph"/>
              <w:spacing w:line="207" w:lineRule="exact"/>
              <w:ind w:right="86"/>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162" w:type="dxa"/>
            <w:tcBorders>
              <w:top w:val="single" w:sz="6" w:space="0" w:color="000000"/>
              <w:left w:val="single" w:sz="4" w:space="0" w:color="000000"/>
              <w:bottom w:val="single" w:sz="6" w:space="0" w:color="000000"/>
              <w:right w:val="single" w:sz="6" w:space="0" w:color="000000"/>
            </w:tcBorders>
          </w:tcPr>
          <w:p>
            <w:pPr>
              <w:pStyle w:val="TableParagraph"/>
              <w:spacing w:line="207" w:lineRule="exact"/>
              <w:ind w:left="138" w:right="0"/>
              <w:jc w:val="center"/>
              <w:rPr>
                <w:rFonts w:ascii="宋体" w:hAnsi="宋体" w:cs="宋体" w:eastAsia="宋体" w:hint="default"/>
                <w:sz w:val="18"/>
                <w:szCs w:val="18"/>
              </w:rPr>
            </w:pPr>
            <w:r>
              <w:rPr>
                <w:rFonts w:ascii="宋体"/>
                <w:sz w:val="18"/>
              </w:rPr>
              <w:t>8,336,997</w:t>
            </w:r>
          </w:p>
        </w:tc>
      </w:tr>
      <w:tr>
        <w:trPr>
          <w:trHeight w:val="248" w:hRule="exact"/>
        </w:trPr>
        <w:tc>
          <w:tcPr>
            <w:tcW w:w="42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博时价值增长证券投资基金</w:t>
            </w:r>
          </w:p>
        </w:tc>
        <w:tc>
          <w:tcPr>
            <w:tcW w:w="3584" w:type="dxa"/>
            <w:gridSpan w:val="3"/>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3"/>
              <w:jc w:val="right"/>
              <w:rPr>
                <w:rFonts w:ascii="宋体" w:hAnsi="宋体" w:cs="宋体" w:eastAsia="宋体" w:hint="default"/>
                <w:sz w:val="18"/>
                <w:szCs w:val="18"/>
              </w:rPr>
            </w:pPr>
            <w:r>
              <w:rPr>
                <w:rFonts w:ascii="宋体"/>
                <w:sz w:val="18"/>
              </w:rPr>
              <w:t>6,265,262</w:t>
            </w:r>
          </w:p>
        </w:tc>
        <w:tc>
          <w:tcPr>
            <w:tcW w:w="1266" w:type="dxa"/>
            <w:tcBorders>
              <w:top w:val="single" w:sz="6" w:space="0" w:color="000000"/>
              <w:left w:val="single" w:sz="6" w:space="0" w:color="000000"/>
              <w:bottom w:val="single" w:sz="6" w:space="0" w:color="000000"/>
              <w:right w:val="single" w:sz="4" w:space="0" w:color="000000"/>
            </w:tcBorders>
          </w:tcPr>
          <w:p>
            <w:pPr>
              <w:pStyle w:val="TableParagraph"/>
              <w:spacing w:line="207" w:lineRule="exact"/>
              <w:ind w:right="86"/>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162" w:type="dxa"/>
            <w:tcBorders>
              <w:top w:val="single" w:sz="6" w:space="0" w:color="000000"/>
              <w:left w:val="single" w:sz="4" w:space="0" w:color="000000"/>
              <w:bottom w:val="single" w:sz="6" w:space="0" w:color="000000"/>
              <w:right w:val="single" w:sz="6" w:space="0" w:color="000000"/>
            </w:tcBorders>
          </w:tcPr>
          <w:p>
            <w:pPr>
              <w:pStyle w:val="TableParagraph"/>
              <w:spacing w:line="207" w:lineRule="exact"/>
              <w:ind w:left="138" w:right="0"/>
              <w:jc w:val="center"/>
              <w:rPr>
                <w:rFonts w:ascii="宋体" w:hAnsi="宋体" w:cs="宋体" w:eastAsia="宋体" w:hint="default"/>
                <w:sz w:val="18"/>
                <w:szCs w:val="18"/>
              </w:rPr>
            </w:pPr>
            <w:r>
              <w:rPr>
                <w:rFonts w:ascii="宋体"/>
                <w:sz w:val="18"/>
              </w:rPr>
              <w:t>6,265,262</w:t>
            </w:r>
          </w:p>
        </w:tc>
      </w:tr>
      <w:tr>
        <w:trPr>
          <w:trHeight w:val="482" w:hRule="exact"/>
        </w:trPr>
        <w:tc>
          <w:tcPr>
            <w:tcW w:w="42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国际金融－渣打－GOVERNMENT OF SINGAPORE</w:t>
            </w:r>
          </w:p>
          <w:p>
            <w:pPr>
              <w:pStyle w:val="TableParagraph"/>
              <w:spacing w:line="235" w:lineRule="exact"/>
              <w:ind w:left="100" w:right="0"/>
              <w:jc w:val="left"/>
              <w:rPr>
                <w:rFonts w:ascii="宋体" w:hAnsi="宋体" w:cs="宋体" w:eastAsia="宋体" w:hint="default"/>
                <w:sz w:val="18"/>
                <w:szCs w:val="18"/>
              </w:rPr>
            </w:pPr>
            <w:r>
              <w:rPr>
                <w:rFonts w:ascii="宋体"/>
                <w:sz w:val="18"/>
              </w:rPr>
              <w:t>INVESTMENT CORPORATION PTE LTD</w:t>
            </w:r>
          </w:p>
        </w:tc>
        <w:tc>
          <w:tcPr>
            <w:tcW w:w="358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3"/>
              <w:jc w:val="right"/>
              <w:rPr>
                <w:rFonts w:ascii="宋体" w:hAnsi="宋体" w:cs="宋体" w:eastAsia="宋体" w:hint="default"/>
                <w:sz w:val="18"/>
                <w:szCs w:val="18"/>
              </w:rPr>
            </w:pPr>
            <w:r>
              <w:rPr>
                <w:rFonts w:ascii="宋体"/>
                <w:sz w:val="18"/>
              </w:rPr>
              <w:t>5,599,205</w:t>
            </w:r>
          </w:p>
        </w:tc>
        <w:tc>
          <w:tcPr>
            <w:tcW w:w="12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7"/>
              <w:ind w:right="86"/>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162"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87"/>
              <w:ind w:left="138" w:right="0"/>
              <w:jc w:val="center"/>
              <w:rPr>
                <w:rFonts w:ascii="宋体" w:hAnsi="宋体" w:cs="宋体" w:eastAsia="宋体" w:hint="default"/>
                <w:sz w:val="18"/>
                <w:szCs w:val="18"/>
              </w:rPr>
            </w:pPr>
            <w:r>
              <w:rPr>
                <w:rFonts w:ascii="宋体"/>
                <w:sz w:val="18"/>
              </w:rPr>
              <w:t>5,599,205</w:t>
            </w:r>
          </w:p>
        </w:tc>
      </w:tr>
      <w:tr>
        <w:trPr>
          <w:trHeight w:val="481" w:hRule="exact"/>
        </w:trPr>
        <w:tc>
          <w:tcPr>
            <w:tcW w:w="42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中国银行－富兰克林国海潜力组合股票型证券投资</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基金</w:t>
            </w:r>
          </w:p>
        </w:tc>
        <w:tc>
          <w:tcPr>
            <w:tcW w:w="358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3"/>
              <w:jc w:val="right"/>
              <w:rPr>
                <w:rFonts w:ascii="宋体" w:hAnsi="宋体" w:cs="宋体" w:eastAsia="宋体" w:hint="default"/>
                <w:sz w:val="18"/>
                <w:szCs w:val="18"/>
              </w:rPr>
            </w:pPr>
            <w:r>
              <w:rPr>
                <w:rFonts w:ascii="宋体"/>
                <w:sz w:val="18"/>
              </w:rPr>
              <w:t>5,469,399</w:t>
            </w:r>
          </w:p>
        </w:tc>
        <w:tc>
          <w:tcPr>
            <w:tcW w:w="12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7"/>
              <w:ind w:right="86"/>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162"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87"/>
              <w:ind w:left="138" w:right="0"/>
              <w:jc w:val="center"/>
              <w:rPr>
                <w:rFonts w:ascii="宋体" w:hAnsi="宋体" w:cs="宋体" w:eastAsia="宋体" w:hint="default"/>
                <w:sz w:val="18"/>
                <w:szCs w:val="18"/>
              </w:rPr>
            </w:pPr>
            <w:r>
              <w:rPr>
                <w:rFonts w:ascii="宋体"/>
                <w:sz w:val="18"/>
              </w:rPr>
              <w:t>5,469,399</w:t>
            </w:r>
          </w:p>
        </w:tc>
      </w:tr>
      <w:tr>
        <w:trPr>
          <w:trHeight w:val="248" w:hRule="exact"/>
        </w:trPr>
        <w:tc>
          <w:tcPr>
            <w:tcW w:w="42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大成价值增长证券投资基金</w:t>
            </w:r>
          </w:p>
        </w:tc>
        <w:tc>
          <w:tcPr>
            <w:tcW w:w="3584" w:type="dxa"/>
            <w:gridSpan w:val="3"/>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3"/>
              <w:jc w:val="right"/>
              <w:rPr>
                <w:rFonts w:ascii="宋体" w:hAnsi="宋体" w:cs="宋体" w:eastAsia="宋体" w:hint="default"/>
                <w:sz w:val="18"/>
                <w:szCs w:val="18"/>
              </w:rPr>
            </w:pPr>
            <w:r>
              <w:rPr>
                <w:rFonts w:ascii="宋体"/>
                <w:sz w:val="18"/>
              </w:rPr>
              <w:t>5,315,202</w:t>
            </w:r>
          </w:p>
        </w:tc>
        <w:tc>
          <w:tcPr>
            <w:tcW w:w="1266" w:type="dxa"/>
            <w:tcBorders>
              <w:top w:val="single" w:sz="6" w:space="0" w:color="000000"/>
              <w:left w:val="single" w:sz="6" w:space="0" w:color="000000"/>
              <w:bottom w:val="single" w:sz="6" w:space="0" w:color="000000"/>
              <w:right w:val="single" w:sz="4" w:space="0" w:color="000000"/>
            </w:tcBorders>
          </w:tcPr>
          <w:p>
            <w:pPr>
              <w:pStyle w:val="TableParagraph"/>
              <w:spacing w:line="207" w:lineRule="exact"/>
              <w:ind w:right="86"/>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162" w:type="dxa"/>
            <w:tcBorders>
              <w:top w:val="single" w:sz="6" w:space="0" w:color="000000"/>
              <w:left w:val="single" w:sz="4" w:space="0" w:color="000000"/>
              <w:bottom w:val="single" w:sz="6" w:space="0" w:color="000000"/>
              <w:right w:val="single" w:sz="6" w:space="0" w:color="000000"/>
            </w:tcBorders>
          </w:tcPr>
          <w:p>
            <w:pPr>
              <w:pStyle w:val="TableParagraph"/>
              <w:spacing w:line="207" w:lineRule="exact"/>
              <w:ind w:left="138" w:right="0"/>
              <w:jc w:val="center"/>
              <w:rPr>
                <w:rFonts w:ascii="宋体" w:hAnsi="宋体" w:cs="宋体" w:eastAsia="宋体" w:hint="default"/>
                <w:sz w:val="18"/>
                <w:szCs w:val="18"/>
              </w:rPr>
            </w:pPr>
            <w:r>
              <w:rPr>
                <w:rFonts w:ascii="宋体"/>
                <w:sz w:val="18"/>
              </w:rPr>
              <w:t>5,315,202</w:t>
            </w:r>
          </w:p>
        </w:tc>
      </w:tr>
      <w:tr>
        <w:trPr>
          <w:trHeight w:val="248" w:hRule="exact"/>
        </w:trPr>
        <w:tc>
          <w:tcPr>
            <w:tcW w:w="42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中国银行－银华优质增长股票型证券投资基金</w:t>
            </w:r>
          </w:p>
        </w:tc>
        <w:tc>
          <w:tcPr>
            <w:tcW w:w="3584" w:type="dxa"/>
            <w:gridSpan w:val="3"/>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3"/>
              <w:jc w:val="right"/>
              <w:rPr>
                <w:rFonts w:ascii="宋体" w:hAnsi="宋体" w:cs="宋体" w:eastAsia="宋体" w:hint="default"/>
                <w:sz w:val="18"/>
                <w:szCs w:val="18"/>
              </w:rPr>
            </w:pPr>
            <w:r>
              <w:rPr>
                <w:rFonts w:ascii="宋体"/>
                <w:sz w:val="18"/>
              </w:rPr>
              <w:t>4,250,758</w:t>
            </w:r>
          </w:p>
        </w:tc>
        <w:tc>
          <w:tcPr>
            <w:tcW w:w="1266" w:type="dxa"/>
            <w:tcBorders>
              <w:top w:val="single" w:sz="6" w:space="0" w:color="000000"/>
              <w:left w:val="single" w:sz="6" w:space="0" w:color="000000"/>
              <w:bottom w:val="single" w:sz="6" w:space="0" w:color="000000"/>
              <w:right w:val="single" w:sz="4" w:space="0" w:color="000000"/>
            </w:tcBorders>
          </w:tcPr>
          <w:p>
            <w:pPr>
              <w:pStyle w:val="TableParagraph"/>
              <w:spacing w:line="207" w:lineRule="exact"/>
              <w:ind w:right="86"/>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162" w:type="dxa"/>
            <w:tcBorders>
              <w:top w:val="single" w:sz="6" w:space="0" w:color="000000"/>
              <w:left w:val="single" w:sz="4" w:space="0" w:color="000000"/>
              <w:bottom w:val="single" w:sz="6" w:space="0" w:color="000000"/>
              <w:right w:val="single" w:sz="6" w:space="0" w:color="000000"/>
            </w:tcBorders>
          </w:tcPr>
          <w:p>
            <w:pPr>
              <w:pStyle w:val="TableParagraph"/>
              <w:spacing w:line="207" w:lineRule="exact"/>
              <w:ind w:left="138" w:right="0"/>
              <w:jc w:val="center"/>
              <w:rPr>
                <w:rFonts w:ascii="宋体" w:hAnsi="宋体" w:cs="宋体" w:eastAsia="宋体" w:hint="default"/>
                <w:sz w:val="18"/>
                <w:szCs w:val="18"/>
              </w:rPr>
            </w:pPr>
            <w:r>
              <w:rPr>
                <w:rFonts w:ascii="宋体"/>
                <w:sz w:val="18"/>
              </w:rPr>
              <w:t>4,250,758</w:t>
            </w:r>
          </w:p>
        </w:tc>
      </w:tr>
      <w:tr>
        <w:trPr>
          <w:trHeight w:val="248" w:hRule="exact"/>
        </w:trPr>
        <w:tc>
          <w:tcPr>
            <w:tcW w:w="42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中国建设银行－华安宏利股票型证券投资基金</w:t>
            </w:r>
          </w:p>
        </w:tc>
        <w:tc>
          <w:tcPr>
            <w:tcW w:w="3584" w:type="dxa"/>
            <w:gridSpan w:val="3"/>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3"/>
              <w:jc w:val="right"/>
              <w:rPr>
                <w:rFonts w:ascii="宋体" w:hAnsi="宋体" w:cs="宋体" w:eastAsia="宋体" w:hint="default"/>
                <w:sz w:val="18"/>
                <w:szCs w:val="18"/>
              </w:rPr>
            </w:pPr>
            <w:r>
              <w:rPr>
                <w:rFonts w:ascii="宋体"/>
                <w:sz w:val="18"/>
              </w:rPr>
              <w:t>4,190,000</w:t>
            </w:r>
          </w:p>
        </w:tc>
        <w:tc>
          <w:tcPr>
            <w:tcW w:w="1266" w:type="dxa"/>
            <w:tcBorders>
              <w:top w:val="single" w:sz="6" w:space="0" w:color="000000"/>
              <w:left w:val="single" w:sz="6" w:space="0" w:color="000000"/>
              <w:bottom w:val="single" w:sz="6" w:space="0" w:color="000000"/>
              <w:right w:val="single" w:sz="4" w:space="0" w:color="000000"/>
            </w:tcBorders>
          </w:tcPr>
          <w:p>
            <w:pPr>
              <w:pStyle w:val="TableParagraph"/>
              <w:spacing w:line="207" w:lineRule="exact"/>
              <w:ind w:right="86"/>
              <w:jc w:val="right"/>
              <w:rPr>
                <w:rFonts w:ascii="宋体" w:hAnsi="宋体" w:cs="宋体" w:eastAsia="宋体" w:hint="default"/>
                <w:sz w:val="18"/>
                <w:szCs w:val="18"/>
              </w:rPr>
            </w:pPr>
            <w:r>
              <w:rPr>
                <w:rFonts w:ascii="宋体" w:hAnsi="宋体" w:cs="宋体" w:eastAsia="宋体" w:hint="default"/>
                <w:sz w:val="18"/>
                <w:szCs w:val="18"/>
              </w:rPr>
              <w:t>人民币普通股</w:t>
            </w:r>
          </w:p>
        </w:tc>
        <w:tc>
          <w:tcPr>
            <w:tcW w:w="1162" w:type="dxa"/>
            <w:tcBorders>
              <w:top w:val="single" w:sz="6" w:space="0" w:color="000000"/>
              <w:left w:val="single" w:sz="4" w:space="0" w:color="000000"/>
              <w:bottom w:val="single" w:sz="6" w:space="0" w:color="000000"/>
              <w:right w:val="single" w:sz="6" w:space="0" w:color="000000"/>
            </w:tcBorders>
          </w:tcPr>
          <w:p>
            <w:pPr>
              <w:pStyle w:val="TableParagraph"/>
              <w:spacing w:line="207" w:lineRule="exact"/>
              <w:ind w:left="138" w:right="0"/>
              <w:jc w:val="center"/>
              <w:rPr>
                <w:rFonts w:ascii="宋体" w:hAnsi="宋体" w:cs="宋体" w:eastAsia="宋体" w:hint="default"/>
                <w:sz w:val="18"/>
                <w:szCs w:val="18"/>
              </w:rPr>
            </w:pPr>
            <w:r>
              <w:rPr>
                <w:rFonts w:ascii="宋体"/>
                <w:sz w:val="18"/>
              </w:rPr>
              <w:t>4,190,000</w:t>
            </w:r>
          </w:p>
        </w:tc>
      </w:tr>
      <w:tr>
        <w:trPr>
          <w:trHeight w:val="2351" w:hRule="exact"/>
        </w:trPr>
        <w:tc>
          <w:tcPr>
            <w:tcW w:w="42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6012" w:type="dxa"/>
            <w:gridSpan w:val="5"/>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12"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31"/>
                <w:sz w:val="18"/>
                <w:szCs w:val="18"/>
              </w:rPr>
              <w:t></w:t>
            </w:r>
            <w:r>
              <w:rPr>
                <w:rFonts w:ascii="Times New Roman" w:hAnsi="Times New Roman" w:cs="Times New Roman" w:eastAsia="Times New Roman" w:hint="default"/>
                <w:spacing w:val="-131"/>
                <w:sz w:val="18"/>
                <w:szCs w:val="18"/>
              </w:rPr>
            </w:r>
            <w:r>
              <w:rPr>
                <w:rFonts w:ascii="宋体" w:hAnsi="宋体" w:cs="宋体" w:eastAsia="宋体" w:hint="default"/>
                <w:sz w:val="18"/>
                <w:szCs w:val="18"/>
              </w:rPr>
              <w:t>阿尔派电子（中国）有限公司为阿尔派株式会社在中国设立的外商独资</w:t>
            </w:r>
          </w:p>
          <w:p>
            <w:pPr>
              <w:pStyle w:val="TableParagraph"/>
              <w:spacing w:line="228" w:lineRule="exact"/>
              <w:ind w:left="305" w:right="0"/>
              <w:jc w:val="left"/>
              <w:rPr>
                <w:rFonts w:ascii="宋体" w:hAnsi="宋体" w:cs="宋体" w:eastAsia="宋体" w:hint="default"/>
                <w:sz w:val="18"/>
                <w:szCs w:val="18"/>
              </w:rPr>
            </w:pPr>
            <w:r>
              <w:rPr>
                <w:rFonts w:ascii="宋体" w:hAnsi="宋体" w:cs="宋体" w:eastAsia="宋体" w:hint="default"/>
                <w:sz w:val="18"/>
                <w:szCs w:val="18"/>
              </w:rPr>
              <w:t>企业。</w:t>
            </w:r>
          </w:p>
          <w:p>
            <w:pPr>
              <w:pStyle w:val="TableParagraph"/>
              <w:spacing w:line="232" w:lineRule="exact" w:before="24"/>
              <w:ind w:left="305" w:right="109" w:hanging="194"/>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31"/>
                <w:sz w:val="18"/>
                <w:szCs w:val="18"/>
              </w:rPr>
              <w:t></w:t>
            </w:r>
            <w:r>
              <w:rPr>
                <w:rFonts w:ascii="Times New Roman" w:hAnsi="Times New Roman" w:cs="Times New Roman" w:eastAsia="Times New Roman" w:hint="default"/>
                <w:spacing w:val="-131"/>
                <w:sz w:val="18"/>
                <w:szCs w:val="18"/>
              </w:rPr>
            </w:r>
            <w:r>
              <w:rPr>
                <w:rFonts w:ascii="宋体" w:hAnsi="宋体" w:cs="宋体" w:eastAsia="宋体" w:hint="default"/>
                <w:sz w:val="18"/>
                <w:szCs w:val="18"/>
              </w:rPr>
              <w:t>中国建设银行－银华核心价值优选股票型证券投资基金、中国银行－银 华优质增长股票型证券投资基金同为银华基金管理有限公司基金产品。</w:t>
            </w:r>
          </w:p>
          <w:p>
            <w:pPr>
              <w:pStyle w:val="TableParagraph"/>
              <w:spacing w:line="232" w:lineRule="exact" w:before="2"/>
              <w:ind w:left="305" w:right="109" w:hanging="194"/>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31"/>
                <w:sz w:val="18"/>
                <w:szCs w:val="18"/>
              </w:rPr>
              <w:t></w:t>
            </w:r>
            <w:r>
              <w:rPr>
                <w:rFonts w:ascii="Times New Roman" w:hAnsi="Times New Roman" w:cs="Times New Roman" w:eastAsia="Times New Roman" w:hint="default"/>
                <w:spacing w:val="-131"/>
                <w:sz w:val="18"/>
                <w:szCs w:val="18"/>
              </w:rPr>
            </w:r>
            <w:r>
              <w:rPr>
                <w:rFonts w:ascii="宋体" w:hAnsi="宋体" w:cs="宋体" w:eastAsia="宋体" w:hint="default"/>
                <w:sz w:val="18"/>
                <w:szCs w:val="18"/>
              </w:rPr>
              <w:t>中国建设银行－博时主题行业股票证券投资基金、博时价值增长证券投 资基金同为博时基金管理有限公司基金产品。</w:t>
            </w:r>
          </w:p>
          <w:p>
            <w:pPr>
              <w:pStyle w:val="TableParagraph"/>
              <w:spacing w:line="218" w:lineRule="exact"/>
              <w:ind w:left="112"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31"/>
                <w:sz w:val="18"/>
                <w:szCs w:val="18"/>
              </w:rPr>
              <w:t></w:t>
            </w:r>
            <w:r>
              <w:rPr>
                <w:rFonts w:ascii="Times New Roman" w:hAnsi="Times New Roman" w:cs="Times New Roman" w:eastAsia="Times New Roman" w:hint="default"/>
                <w:spacing w:val="-131"/>
                <w:sz w:val="18"/>
                <w:szCs w:val="18"/>
              </w:rPr>
            </w:r>
            <w:r>
              <w:rPr>
                <w:rFonts w:ascii="宋体" w:hAnsi="宋体" w:cs="宋体" w:eastAsia="宋体" w:hint="default"/>
                <w:sz w:val="18"/>
                <w:szCs w:val="18"/>
              </w:rPr>
              <w:t>中国农业银行－富兰克林国海弹性市值股票型证券投资基金、中国银行</w:t>
            </w:r>
          </w:p>
          <w:p>
            <w:pPr>
              <w:pStyle w:val="TableParagraph"/>
              <w:spacing w:line="234" w:lineRule="exact" w:before="15"/>
              <w:ind w:left="305" w:right="109"/>
              <w:jc w:val="left"/>
              <w:rPr>
                <w:rFonts w:ascii="宋体" w:hAnsi="宋体" w:cs="宋体" w:eastAsia="宋体" w:hint="default"/>
                <w:sz w:val="18"/>
                <w:szCs w:val="18"/>
              </w:rPr>
            </w:pPr>
            <w:r>
              <w:rPr>
                <w:rFonts w:ascii="宋体" w:hAnsi="宋体" w:cs="宋体" w:eastAsia="宋体" w:hint="default"/>
                <w:sz w:val="18"/>
                <w:szCs w:val="18"/>
              </w:rPr>
              <w:t>－富兰克林国海潜力组合股票型证券投资基金同为国海富兰克林基金管 理有限公司基金产品。</w:t>
            </w:r>
          </w:p>
          <w:p>
            <w:pPr>
              <w:pStyle w:val="TableParagraph"/>
              <w:spacing w:line="224" w:lineRule="exact"/>
              <w:ind w:left="112" w:right="0"/>
              <w:jc w:val="left"/>
              <w:rPr>
                <w:rFonts w:ascii="宋体" w:hAnsi="宋体" w:cs="宋体" w:eastAsia="宋体" w:hint="default"/>
                <w:sz w:val="18"/>
                <w:szCs w:val="18"/>
              </w:rPr>
            </w:pPr>
            <w:r>
              <w:rPr>
                <w:rFonts w:ascii="Wingdings" w:hAnsi="Wingdings" w:cs="Wingdings" w:eastAsia="Wingdings" w:hint="default"/>
                <w:sz w:val="18"/>
                <w:szCs w:val="18"/>
              </w:rPr>
              <w:t></w:t>
            </w:r>
            <w:r>
              <w:rPr>
                <w:rFonts w:ascii="Wingdings" w:hAnsi="Wingdings" w:cs="Wingdings" w:eastAsia="Wingdings" w:hint="default"/>
                <w:spacing w:val="-131"/>
                <w:sz w:val="18"/>
                <w:szCs w:val="18"/>
              </w:rPr>
              <w:t></w:t>
            </w:r>
            <w:r>
              <w:rPr>
                <w:rFonts w:ascii="Times New Roman" w:hAnsi="Times New Roman" w:cs="Times New Roman" w:eastAsia="Times New Roman" w:hint="default"/>
                <w:spacing w:val="-131"/>
                <w:sz w:val="18"/>
                <w:szCs w:val="18"/>
              </w:rPr>
            </w:r>
            <w:r>
              <w:rPr>
                <w:rFonts w:ascii="宋体" w:hAnsi="宋体" w:cs="宋体" w:eastAsia="宋体" w:hint="default"/>
                <w:sz w:val="18"/>
                <w:szCs w:val="18"/>
              </w:rPr>
              <w:t>公司未知其他股东之间是否有关联关系，是否为一致行动人。</w:t>
            </w:r>
          </w:p>
        </w:tc>
      </w:tr>
    </w:tbl>
    <w:p>
      <w:pPr>
        <w:spacing w:after="0" w:line="224" w:lineRule="exact"/>
        <w:jc w:val="left"/>
        <w:rPr>
          <w:rFonts w:ascii="宋体" w:hAnsi="宋体" w:cs="宋体" w:eastAsia="宋体" w:hint="default"/>
          <w:sz w:val="18"/>
          <w:szCs w:val="18"/>
        </w:rPr>
        <w:sectPr>
          <w:type w:val="continuous"/>
          <w:pgSz w:w="11910" w:h="16840"/>
          <w:pgMar w:top="1600" w:bottom="280" w:left="720" w:right="660"/>
        </w:sectPr>
      </w:pPr>
    </w:p>
    <w:p>
      <w:pPr>
        <w:spacing w:line="240" w:lineRule="auto" w:before="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720" w:footer="721" w:top="1100" w:bottom="920" w:left="1180" w:right="1120"/>
        </w:sectPr>
      </w:pPr>
    </w:p>
    <w:p>
      <w:pPr>
        <w:pStyle w:val="BodyText"/>
        <w:spacing w:line="240" w:lineRule="auto" w:before="26"/>
        <w:ind w:left="180" w:right="-20"/>
        <w:jc w:val="left"/>
      </w:pPr>
      <w:r>
        <w:rPr/>
        <w:t>前十名有限售条件股东持股数量及限售条件</w:t>
      </w:r>
    </w:p>
    <w:p>
      <w:pPr>
        <w:spacing w:line="240" w:lineRule="auto" w:before="0"/>
        <w:rPr>
          <w:rFonts w:ascii="宋体" w:hAnsi="宋体" w:cs="宋体" w:eastAsia="宋体" w:hint="default"/>
          <w:sz w:val="26"/>
          <w:szCs w:val="26"/>
        </w:rPr>
      </w:pPr>
      <w:r>
        <w:rPr/>
        <w:br w:type="column"/>
      </w:r>
      <w:r>
        <w:rPr>
          <w:rFonts w:ascii="宋体"/>
          <w:sz w:val="26"/>
        </w:rPr>
      </w:r>
    </w:p>
    <w:p>
      <w:pPr>
        <w:spacing w:before="0"/>
        <w:ind w:left="180"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1600" w:bottom="280" w:left="1180" w:right="1120"/>
          <w:cols w:num="2" w:equalWidth="0">
            <w:col w:w="4741" w:space="3765"/>
            <w:col w:w="1104"/>
          </w:cols>
        </w:sectPr>
      </w:pP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661"/>
        <w:gridCol w:w="3296"/>
        <w:gridCol w:w="1558"/>
        <w:gridCol w:w="2144"/>
        <w:gridCol w:w="1698"/>
      </w:tblGrid>
      <w:tr>
        <w:trPr>
          <w:trHeight w:val="496" w:hRule="exact"/>
        </w:trPr>
        <w:tc>
          <w:tcPr>
            <w:tcW w:w="661" w:type="dxa"/>
            <w:vMerge w:val="restart"/>
            <w:tcBorders>
              <w:top w:val="single" w:sz="6" w:space="0" w:color="000000"/>
              <w:left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112" w:right="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3296" w:type="dxa"/>
            <w:vMerge w:val="restart"/>
            <w:tcBorders>
              <w:top w:val="single" w:sz="6" w:space="0" w:color="000000"/>
              <w:left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691" w:right="0"/>
              <w:jc w:val="left"/>
              <w:rPr>
                <w:rFonts w:ascii="宋体" w:hAnsi="宋体" w:cs="宋体" w:eastAsia="宋体" w:hint="default"/>
                <w:sz w:val="21"/>
                <w:szCs w:val="21"/>
              </w:rPr>
            </w:pPr>
            <w:r>
              <w:rPr>
                <w:rFonts w:ascii="宋体" w:hAnsi="宋体" w:cs="宋体" w:eastAsia="宋体" w:hint="default"/>
                <w:b/>
                <w:bCs/>
                <w:sz w:val="21"/>
                <w:szCs w:val="21"/>
              </w:rPr>
              <w:t>有限售条件股东名称</w:t>
            </w:r>
            <w:r>
              <w:rPr>
                <w:rFonts w:ascii="宋体" w:hAnsi="宋体" w:cs="宋体" w:eastAsia="宋体" w:hint="default"/>
                <w:sz w:val="21"/>
                <w:szCs w:val="21"/>
              </w:rPr>
            </w:r>
          </w:p>
        </w:tc>
        <w:tc>
          <w:tcPr>
            <w:tcW w:w="1558" w:type="dxa"/>
            <w:vMerge w:val="restart"/>
            <w:tcBorders>
              <w:top w:val="single" w:sz="6" w:space="0" w:color="000000"/>
              <w:left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72" w:lineRule="exact"/>
              <w:ind w:left="139" w:right="138"/>
              <w:jc w:val="left"/>
              <w:rPr>
                <w:rFonts w:ascii="宋体" w:hAnsi="宋体" w:cs="宋体" w:eastAsia="宋体" w:hint="default"/>
                <w:sz w:val="21"/>
                <w:szCs w:val="21"/>
              </w:rPr>
            </w:pPr>
            <w:r>
              <w:rPr>
                <w:rFonts w:ascii="宋体" w:hAnsi="宋体" w:cs="宋体" w:eastAsia="宋体" w:hint="default"/>
                <w:b/>
                <w:bCs/>
                <w:sz w:val="21"/>
                <w:szCs w:val="21"/>
              </w:rPr>
              <w:t>持有的有限售</w:t>
            </w:r>
            <w:r>
              <w:rPr>
                <w:rFonts w:ascii="宋体" w:hAnsi="宋体" w:cs="宋体" w:eastAsia="宋体" w:hint="default"/>
                <w:b/>
                <w:bCs/>
                <w:w w:val="99"/>
                <w:sz w:val="21"/>
                <w:szCs w:val="21"/>
              </w:rPr>
              <w:t> </w:t>
            </w:r>
            <w:r>
              <w:rPr>
                <w:rFonts w:ascii="宋体" w:hAnsi="宋体" w:cs="宋体" w:eastAsia="宋体" w:hint="default"/>
                <w:b/>
                <w:bCs/>
                <w:sz w:val="21"/>
                <w:szCs w:val="21"/>
              </w:rPr>
              <w:t>条件股份数量</w:t>
            </w:r>
            <w:r>
              <w:rPr>
                <w:rFonts w:ascii="宋体" w:hAnsi="宋体" w:cs="宋体" w:eastAsia="宋体" w:hint="default"/>
                <w:sz w:val="21"/>
                <w:szCs w:val="21"/>
              </w:rPr>
            </w:r>
          </w:p>
        </w:tc>
        <w:tc>
          <w:tcPr>
            <w:tcW w:w="384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left="437" w:right="0"/>
              <w:jc w:val="left"/>
              <w:rPr>
                <w:rFonts w:ascii="宋体" w:hAnsi="宋体" w:cs="宋体" w:eastAsia="宋体" w:hint="default"/>
                <w:sz w:val="21"/>
                <w:szCs w:val="21"/>
              </w:rPr>
            </w:pPr>
            <w:r>
              <w:rPr>
                <w:rFonts w:ascii="宋体" w:hAnsi="宋体" w:cs="宋体" w:eastAsia="宋体" w:hint="default"/>
                <w:b/>
                <w:bCs/>
                <w:sz w:val="21"/>
                <w:szCs w:val="21"/>
              </w:rPr>
              <w:t>有限售条件股份可上市交易情况</w:t>
            </w:r>
            <w:r>
              <w:rPr>
                <w:rFonts w:ascii="宋体" w:hAnsi="宋体" w:cs="宋体" w:eastAsia="宋体" w:hint="default"/>
                <w:sz w:val="21"/>
                <w:szCs w:val="21"/>
              </w:rPr>
            </w:r>
          </w:p>
        </w:tc>
      </w:tr>
      <w:tr>
        <w:trPr>
          <w:trHeight w:val="559" w:hRule="exact"/>
        </w:trPr>
        <w:tc>
          <w:tcPr>
            <w:tcW w:w="661" w:type="dxa"/>
            <w:vMerge/>
            <w:tcBorders>
              <w:left w:val="single" w:sz="6" w:space="0" w:color="000000"/>
              <w:bottom w:val="single" w:sz="6" w:space="0" w:color="000000"/>
              <w:right w:val="single" w:sz="6" w:space="0" w:color="000000"/>
            </w:tcBorders>
          </w:tcPr>
          <w:p>
            <w:pPr/>
          </w:p>
        </w:tc>
        <w:tc>
          <w:tcPr>
            <w:tcW w:w="3296" w:type="dxa"/>
            <w:vMerge/>
            <w:tcBorders>
              <w:left w:val="single" w:sz="6" w:space="0" w:color="000000"/>
              <w:bottom w:val="single" w:sz="6" w:space="0" w:color="000000"/>
              <w:right w:val="single" w:sz="6" w:space="0" w:color="000000"/>
            </w:tcBorders>
          </w:tcPr>
          <w:p>
            <w:pPr/>
          </w:p>
        </w:tc>
        <w:tc>
          <w:tcPr>
            <w:tcW w:w="1558" w:type="dxa"/>
            <w:vMerge/>
            <w:tcBorders>
              <w:left w:val="single" w:sz="6" w:space="0" w:color="000000"/>
              <w:bottom w:val="single" w:sz="6" w:space="0" w:color="000000"/>
              <w:right w:val="single" w:sz="6" w:space="0" w:color="000000"/>
            </w:tcBorders>
          </w:tcPr>
          <w:p>
            <w:pP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b/>
                <w:bCs/>
                <w:sz w:val="21"/>
                <w:szCs w:val="21"/>
              </w:rPr>
              <w:t>可上市交易时间</w:t>
            </w:r>
            <w:r>
              <w:rPr>
                <w:rFonts w:ascii="宋体" w:hAnsi="宋体" w:cs="宋体" w:eastAsia="宋体" w:hint="default"/>
                <w:sz w:val="21"/>
                <w:szCs w:val="21"/>
              </w:rPr>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b/>
                <w:bCs/>
                <w:sz w:val="21"/>
                <w:szCs w:val="21"/>
              </w:rPr>
              <w:t>新增可上市交易</w:t>
            </w:r>
            <w:r>
              <w:rPr>
                <w:rFonts w:ascii="宋体" w:hAnsi="宋体" w:cs="宋体" w:eastAsia="宋体" w:hint="default"/>
                <w:sz w:val="21"/>
                <w:szCs w:val="21"/>
              </w:rPr>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b/>
                <w:bCs/>
                <w:sz w:val="21"/>
                <w:szCs w:val="21"/>
              </w:rPr>
              <w:t>股份数量</w:t>
            </w:r>
            <w:r>
              <w:rPr>
                <w:rFonts w:ascii="宋体" w:hAnsi="宋体" w:cs="宋体" w:eastAsia="宋体" w:hint="default"/>
                <w:sz w:val="21"/>
                <w:szCs w:val="21"/>
              </w:rPr>
            </w:r>
          </w:p>
        </w:tc>
      </w:tr>
      <w:tr>
        <w:trPr>
          <w:trHeight w:val="288" w:hRule="exact"/>
        </w:trPr>
        <w:tc>
          <w:tcPr>
            <w:tcW w:w="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71" w:right="0"/>
              <w:jc w:val="left"/>
              <w:rPr>
                <w:rFonts w:ascii="宋体" w:hAnsi="宋体" w:cs="宋体" w:eastAsia="宋体" w:hint="default"/>
                <w:sz w:val="21"/>
                <w:szCs w:val="21"/>
              </w:rPr>
            </w:pPr>
            <w:r>
              <w:rPr>
                <w:rFonts w:ascii="宋体"/>
                <w:sz w:val="21"/>
              </w:rPr>
              <w:t>1</w:t>
            </w:r>
          </w:p>
        </w:tc>
        <w:tc>
          <w:tcPr>
            <w:tcW w:w="32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东北大学科技产业集团有限公司</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166,431,971</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166,431,971</w:t>
            </w:r>
          </w:p>
        </w:tc>
      </w:tr>
      <w:tr>
        <w:trPr>
          <w:trHeight w:val="287" w:hRule="exact"/>
        </w:trPr>
        <w:tc>
          <w:tcPr>
            <w:tcW w:w="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71" w:right="0"/>
              <w:jc w:val="left"/>
              <w:rPr>
                <w:rFonts w:ascii="宋体" w:hAnsi="宋体" w:cs="宋体" w:eastAsia="宋体" w:hint="default"/>
                <w:sz w:val="21"/>
                <w:szCs w:val="21"/>
              </w:rPr>
            </w:pPr>
            <w:r>
              <w:rPr>
                <w:rFonts w:ascii="宋体"/>
                <w:sz w:val="21"/>
              </w:rPr>
              <w:t>2</w:t>
            </w:r>
          </w:p>
        </w:tc>
        <w:tc>
          <w:tcPr>
            <w:tcW w:w="32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沈阳慧旭科技股份有限公司</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162,159,661</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162,159,661</w:t>
            </w:r>
          </w:p>
        </w:tc>
      </w:tr>
      <w:tr>
        <w:trPr>
          <w:trHeight w:val="288" w:hRule="exact"/>
        </w:trPr>
        <w:tc>
          <w:tcPr>
            <w:tcW w:w="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71" w:right="0"/>
              <w:jc w:val="left"/>
              <w:rPr>
                <w:rFonts w:ascii="宋体" w:hAnsi="宋体" w:cs="宋体" w:eastAsia="宋体" w:hint="default"/>
                <w:sz w:val="21"/>
                <w:szCs w:val="21"/>
              </w:rPr>
            </w:pPr>
            <w:r>
              <w:rPr>
                <w:rFonts w:ascii="宋体"/>
                <w:sz w:val="21"/>
              </w:rPr>
              <w:t>3</w:t>
            </w:r>
          </w:p>
        </w:tc>
        <w:tc>
          <w:tcPr>
            <w:tcW w:w="32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阿尔派电子（中国）有限公司</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131,741,190</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131,741,190</w:t>
            </w:r>
          </w:p>
        </w:tc>
      </w:tr>
      <w:tr>
        <w:trPr>
          <w:trHeight w:val="287" w:hRule="exact"/>
        </w:trPr>
        <w:tc>
          <w:tcPr>
            <w:tcW w:w="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71" w:right="0"/>
              <w:jc w:val="left"/>
              <w:rPr>
                <w:rFonts w:ascii="宋体" w:hAnsi="宋体" w:cs="宋体" w:eastAsia="宋体" w:hint="default"/>
                <w:sz w:val="21"/>
                <w:szCs w:val="21"/>
              </w:rPr>
            </w:pPr>
            <w:r>
              <w:rPr>
                <w:rFonts w:ascii="宋体"/>
                <w:sz w:val="21"/>
              </w:rPr>
              <w:t>4</w:t>
            </w:r>
          </w:p>
        </w:tc>
        <w:tc>
          <w:tcPr>
            <w:tcW w:w="32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宝钢集团有限公司</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93,721,599</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93,721,599</w:t>
            </w:r>
          </w:p>
        </w:tc>
      </w:tr>
      <w:tr>
        <w:trPr>
          <w:trHeight w:val="288" w:hRule="exact"/>
        </w:trPr>
        <w:tc>
          <w:tcPr>
            <w:tcW w:w="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71" w:right="0"/>
              <w:jc w:val="left"/>
              <w:rPr>
                <w:rFonts w:ascii="宋体" w:hAnsi="宋体" w:cs="宋体" w:eastAsia="宋体" w:hint="default"/>
                <w:sz w:val="21"/>
                <w:szCs w:val="21"/>
              </w:rPr>
            </w:pPr>
            <w:r>
              <w:rPr>
                <w:rFonts w:ascii="宋体"/>
                <w:sz w:val="21"/>
              </w:rPr>
              <w:t>5</w:t>
            </w:r>
          </w:p>
        </w:tc>
        <w:tc>
          <w:tcPr>
            <w:tcW w:w="32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东芝解决方案株式会社</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44,790,797</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44,790,797</w:t>
            </w:r>
          </w:p>
        </w:tc>
      </w:tr>
      <w:tr>
        <w:trPr>
          <w:trHeight w:val="287" w:hRule="exact"/>
        </w:trPr>
        <w:tc>
          <w:tcPr>
            <w:tcW w:w="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71" w:right="0"/>
              <w:jc w:val="left"/>
              <w:rPr>
                <w:rFonts w:ascii="宋体" w:hAnsi="宋体" w:cs="宋体" w:eastAsia="宋体" w:hint="default"/>
                <w:sz w:val="21"/>
                <w:szCs w:val="21"/>
              </w:rPr>
            </w:pPr>
            <w:r>
              <w:rPr>
                <w:rFonts w:ascii="宋体"/>
                <w:sz w:val="21"/>
              </w:rPr>
              <w:t>6</w:t>
            </w:r>
          </w:p>
        </w:tc>
        <w:tc>
          <w:tcPr>
            <w:tcW w:w="32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INTEL CAPITAL</w:t>
            </w:r>
            <w:r>
              <w:rPr>
                <w:rFonts w:ascii="宋体"/>
                <w:spacing w:val="-12"/>
                <w:sz w:val="21"/>
              </w:rPr>
              <w:t> </w:t>
            </w:r>
            <w:r>
              <w:rPr>
                <w:rFonts w:ascii="宋体"/>
                <w:sz w:val="21"/>
              </w:rPr>
              <w:t>CORPORATION</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40,139,372</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5"/>
              <w:jc w:val="right"/>
              <w:rPr>
                <w:rFonts w:ascii="宋体" w:hAnsi="宋体" w:cs="宋体" w:eastAsia="宋体" w:hint="default"/>
                <w:sz w:val="21"/>
                <w:szCs w:val="21"/>
              </w:rPr>
            </w:pPr>
            <w:r>
              <w:rPr>
                <w:rFonts w:ascii="宋体"/>
                <w:spacing w:val="-1"/>
                <w:sz w:val="21"/>
              </w:rPr>
              <w:t>40,139,372</w:t>
            </w:r>
          </w:p>
        </w:tc>
      </w:tr>
      <w:tr>
        <w:trPr>
          <w:trHeight w:val="287" w:hRule="exact"/>
        </w:trPr>
        <w:tc>
          <w:tcPr>
            <w:tcW w:w="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71" w:right="0"/>
              <w:jc w:val="left"/>
              <w:rPr>
                <w:rFonts w:ascii="宋体" w:hAnsi="宋体" w:cs="宋体" w:eastAsia="宋体" w:hint="default"/>
                <w:sz w:val="21"/>
                <w:szCs w:val="21"/>
              </w:rPr>
            </w:pPr>
            <w:r>
              <w:rPr>
                <w:rFonts w:ascii="宋体"/>
                <w:sz w:val="21"/>
              </w:rPr>
              <w:t>7</w:t>
            </w:r>
          </w:p>
        </w:tc>
        <w:tc>
          <w:tcPr>
            <w:tcW w:w="32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PHILIPS</w:t>
            </w:r>
            <w:r>
              <w:rPr>
                <w:rFonts w:ascii="宋体"/>
                <w:spacing w:val="-27"/>
                <w:sz w:val="21"/>
              </w:rPr>
              <w:t> </w:t>
            </w:r>
            <w:r>
              <w:rPr>
                <w:rFonts w:ascii="宋体"/>
                <w:sz w:val="21"/>
              </w:rPr>
              <w:t>ELECTRONICS</w:t>
            </w:r>
            <w:r>
              <w:rPr>
                <w:rFonts w:ascii="宋体"/>
                <w:spacing w:val="-27"/>
                <w:sz w:val="21"/>
              </w:rPr>
              <w:t> </w:t>
            </w:r>
            <w:r>
              <w:rPr>
                <w:rFonts w:ascii="宋体"/>
                <w:sz w:val="21"/>
              </w:rPr>
              <w:t>CHINA</w:t>
            </w:r>
            <w:r>
              <w:rPr>
                <w:rFonts w:ascii="宋体"/>
                <w:spacing w:val="-27"/>
                <w:sz w:val="21"/>
              </w:rPr>
              <w:t> </w:t>
            </w:r>
            <w:r>
              <w:rPr>
                <w:rFonts w:ascii="宋体"/>
                <w:sz w:val="21"/>
              </w:rPr>
              <w:t>B.V.</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5"/>
              <w:jc w:val="right"/>
              <w:rPr>
                <w:rFonts w:ascii="宋体" w:hAnsi="宋体" w:cs="宋体" w:eastAsia="宋体" w:hint="default"/>
                <w:sz w:val="21"/>
                <w:szCs w:val="21"/>
              </w:rPr>
            </w:pPr>
            <w:r>
              <w:rPr>
                <w:rFonts w:ascii="宋体"/>
                <w:spacing w:val="-1"/>
                <w:sz w:val="21"/>
              </w:rPr>
              <w:t>19,196,055</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5"/>
              <w:jc w:val="right"/>
              <w:rPr>
                <w:rFonts w:ascii="宋体" w:hAnsi="宋体" w:cs="宋体" w:eastAsia="宋体" w:hint="default"/>
                <w:sz w:val="21"/>
                <w:szCs w:val="21"/>
              </w:rPr>
            </w:pPr>
            <w:r>
              <w:rPr>
                <w:rFonts w:ascii="宋体"/>
                <w:spacing w:val="-1"/>
                <w:sz w:val="21"/>
              </w:rPr>
              <w:t>19,196,055</w:t>
            </w:r>
          </w:p>
        </w:tc>
      </w:tr>
      <w:tr>
        <w:trPr>
          <w:trHeight w:val="288" w:hRule="exact"/>
        </w:trPr>
        <w:tc>
          <w:tcPr>
            <w:tcW w:w="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71" w:right="0"/>
              <w:jc w:val="left"/>
              <w:rPr>
                <w:rFonts w:ascii="宋体" w:hAnsi="宋体" w:cs="宋体" w:eastAsia="宋体" w:hint="default"/>
                <w:sz w:val="21"/>
                <w:szCs w:val="21"/>
              </w:rPr>
            </w:pPr>
            <w:r>
              <w:rPr>
                <w:rFonts w:ascii="宋体"/>
                <w:sz w:val="21"/>
              </w:rPr>
              <w:t>8</w:t>
            </w:r>
          </w:p>
        </w:tc>
        <w:tc>
          <w:tcPr>
            <w:tcW w:w="32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阿尔派株式会社</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15,428,572</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15,428,572</w:t>
            </w:r>
          </w:p>
        </w:tc>
      </w:tr>
      <w:tr>
        <w:trPr>
          <w:trHeight w:val="287" w:hRule="exact"/>
        </w:trPr>
        <w:tc>
          <w:tcPr>
            <w:tcW w:w="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71" w:right="0"/>
              <w:jc w:val="left"/>
              <w:rPr>
                <w:rFonts w:ascii="宋体" w:hAnsi="宋体" w:cs="宋体" w:eastAsia="宋体" w:hint="default"/>
                <w:sz w:val="21"/>
                <w:szCs w:val="21"/>
              </w:rPr>
            </w:pPr>
            <w:r>
              <w:rPr>
                <w:rFonts w:ascii="宋体"/>
                <w:sz w:val="21"/>
              </w:rPr>
              <w:t>9</w:t>
            </w:r>
          </w:p>
        </w:tc>
        <w:tc>
          <w:tcPr>
            <w:tcW w:w="32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SAP</w:t>
            </w:r>
            <w:r>
              <w:rPr>
                <w:rFonts w:ascii="宋体"/>
                <w:spacing w:val="-2"/>
                <w:sz w:val="21"/>
              </w:rPr>
              <w:t> </w:t>
            </w:r>
            <w:r>
              <w:rPr>
                <w:rFonts w:ascii="宋体"/>
                <w:sz w:val="21"/>
              </w:rPr>
              <w:t>AG</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12,525,975</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12,525,975</w:t>
            </w:r>
          </w:p>
        </w:tc>
      </w:tr>
      <w:tr>
        <w:trPr>
          <w:trHeight w:val="288" w:hRule="exact"/>
        </w:trPr>
        <w:tc>
          <w:tcPr>
            <w:tcW w:w="66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18" w:right="0"/>
              <w:jc w:val="left"/>
              <w:rPr>
                <w:rFonts w:ascii="宋体" w:hAnsi="宋体" w:cs="宋体" w:eastAsia="宋体" w:hint="default"/>
                <w:sz w:val="21"/>
                <w:szCs w:val="21"/>
              </w:rPr>
            </w:pPr>
            <w:r>
              <w:rPr>
                <w:rFonts w:ascii="宋体"/>
                <w:sz w:val="21"/>
              </w:rPr>
              <w:t>10</w:t>
            </w:r>
          </w:p>
        </w:tc>
        <w:tc>
          <w:tcPr>
            <w:tcW w:w="329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株式会社东芝</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6,398,685</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6,398,685</w:t>
            </w:r>
          </w:p>
        </w:tc>
      </w:tr>
    </w:tbl>
    <w:p>
      <w:pPr>
        <w:spacing w:line="240" w:lineRule="auto" w:before="11"/>
        <w:rPr>
          <w:rFonts w:ascii="宋体" w:hAnsi="宋体" w:cs="宋体" w:eastAsia="宋体" w:hint="default"/>
          <w:sz w:val="18"/>
          <w:szCs w:val="18"/>
        </w:rPr>
      </w:pPr>
    </w:p>
    <w:p>
      <w:pPr>
        <w:pStyle w:val="BodyText"/>
        <w:spacing w:line="312" w:lineRule="exact" w:before="26"/>
        <w:ind w:left="180" w:right="0"/>
        <w:jc w:val="both"/>
      </w:pPr>
      <w:r>
        <w:rPr/>
        <w:t>2、控股股东及实际控制人情况</w:t>
      </w:r>
    </w:p>
    <w:p>
      <w:pPr>
        <w:pStyle w:val="BodyText"/>
        <w:spacing w:line="310" w:lineRule="exact" w:before="30"/>
        <w:ind w:left="660" w:right="84" w:hanging="480"/>
        <w:jc w:val="left"/>
      </w:pPr>
      <w:r>
        <w:rPr/>
        <w:t>（1）控股股东及实际控制人具体情况介绍 </w:t>
      </w:r>
      <w:r>
        <w:rPr>
          <w:spacing w:val="-4"/>
        </w:rPr>
        <w:t>截至目前，本公司各股东持股相对分散，不存在控股股东和实际控制人。公司第一大</w:t>
      </w:r>
    </w:p>
    <w:p>
      <w:pPr>
        <w:pStyle w:val="BodyText"/>
        <w:spacing w:line="284" w:lineRule="exact"/>
        <w:ind w:left="180" w:right="0"/>
        <w:jc w:val="both"/>
      </w:pPr>
      <w:r>
        <w:rPr/>
        <w:t>股东为东北大学科技产业集团有限公司，持股比例为</w:t>
      </w:r>
      <w:r>
        <w:rPr>
          <w:spacing w:val="-60"/>
        </w:rPr>
        <w:t> </w:t>
      </w:r>
      <w:r>
        <w:rPr/>
        <w:t>17.6248%。</w:t>
      </w:r>
    </w:p>
    <w:p>
      <w:pPr>
        <w:spacing w:line="240" w:lineRule="auto" w:before="8"/>
        <w:rPr>
          <w:rFonts w:ascii="宋体" w:hAnsi="宋体" w:cs="宋体" w:eastAsia="宋体" w:hint="default"/>
          <w:sz w:val="23"/>
          <w:szCs w:val="23"/>
        </w:rPr>
      </w:pPr>
    </w:p>
    <w:p>
      <w:pPr>
        <w:pStyle w:val="BodyText"/>
        <w:spacing w:line="240" w:lineRule="auto"/>
        <w:ind w:left="180" w:right="0"/>
        <w:jc w:val="both"/>
      </w:pPr>
      <w:r>
        <w:rPr/>
        <w:t>（2）公司股东情况及控制关系的方框图</w:t>
      </w:r>
    </w:p>
    <w:p>
      <w:pPr>
        <w:spacing w:line="240" w:lineRule="auto" w:before="10"/>
        <w:rPr>
          <w:rFonts w:ascii="宋体" w:hAnsi="宋体" w:cs="宋体" w:eastAsia="宋体" w:hint="default"/>
          <w:sz w:val="2"/>
          <w:szCs w:val="2"/>
        </w:rPr>
      </w:pPr>
    </w:p>
    <w:p>
      <w:pPr>
        <w:spacing w:line="5247" w:lineRule="exact"/>
        <w:ind w:left="180" w:right="0" w:firstLine="0"/>
        <w:rPr>
          <w:rFonts w:ascii="宋体" w:hAnsi="宋体" w:cs="宋体" w:eastAsia="宋体" w:hint="default"/>
          <w:sz w:val="20"/>
          <w:szCs w:val="20"/>
        </w:rPr>
      </w:pPr>
      <w:r>
        <w:rPr>
          <w:rFonts w:ascii="宋体" w:hAnsi="宋体" w:cs="宋体" w:eastAsia="宋体" w:hint="default"/>
          <w:position w:val="-104"/>
          <w:sz w:val="20"/>
          <w:szCs w:val="20"/>
        </w:rPr>
        <w:drawing>
          <wp:inline distT="0" distB="0" distL="0" distR="0">
            <wp:extent cx="5843682" cy="3332416"/>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1" cstate="print"/>
                    <a:stretch>
                      <a:fillRect/>
                    </a:stretch>
                  </pic:blipFill>
                  <pic:spPr>
                    <a:xfrm>
                      <a:off x="0" y="0"/>
                      <a:ext cx="5843682" cy="3332416"/>
                    </a:xfrm>
                    <a:prstGeom prst="rect">
                      <a:avLst/>
                    </a:prstGeom>
                  </pic:spPr>
                </pic:pic>
              </a:graphicData>
            </a:graphic>
          </wp:inline>
        </w:drawing>
      </w:r>
      <w:r>
        <w:rPr>
          <w:rFonts w:ascii="宋体" w:hAnsi="宋体" w:cs="宋体" w:eastAsia="宋体" w:hint="default"/>
          <w:position w:val="-104"/>
          <w:sz w:val="20"/>
          <w:szCs w:val="20"/>
        </w:rPr>
      </w:r>
    </w:p>
    <w:p>
      <w:pPr>
        <w:pStyle w:val="BodyText"/>
        <w:spacing w:line="295" w:lineRule="exact"/>
        <w:ind w:left="180" w:right="0"/>
        <w:jc w:val="both"/>
      </w:pPr>
      <w:r>
        <w:rPr/>
        <w:t>3、主要股东情况介绍</w:t>
      </w:r>
    </w:p>
    <w:p>
      <w:pPr>
        <w:spacing w:line="312" w:lineRule="exact" w:before="29"/>
        <w:ind w:left="660" w:right="84" w:firstLine="2"/>
        <w:jc w:val="left"/>
        <w:rPr>
          <w:rFonts w:ascii="宋体" w:hAnsi="宋体" w:cs="宋体" w:eastAsia="宋体" w:hint="default"/>
          <w:sz w:val="24"/>
          <w:szCs w:val="24"/>
        </w:rPr>
      </w:pPr>
      <w:r>
        <w:rPr>
          <w:rFonts w:ascii="宋体" w:hAnsi="宋体" w:cs="宋体" w:eastAsia="宋体" w:hint="default"/>
          <w:b/>
          <w:bCs/>
          <w:sz w:val="24"/>
          <w:szCs w:val="24"/>
        </w:rPr>
        <w:t>（1）东北大学科技产业集团有限公司</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东北大学科技产业集团有限公司是按照国家教育部《关于积极发展高校科技产业的指</w:t>
      </w:r>
    </w:p>
    <w:p>
      <w:pPr>
        <w:pStyle w:val="BodyText"/>
        <w:spacing w:line="281" w:lineRule="exact"/>
        <w:ind w:left="180" w:right="0"/>
        <w:jc w:val="both"/>
      </w:pPr>
      <w:r>
        <w:rPr>
          <w:spacing w:val="-3"/>
        </w:rPr>
        <w:t>导意见》的要求，经教育部“教技发函[2005]11号”文（2005年7月1日签发）批准，由东</w:t>
      </w:r>
    </w:p>
    <w:p>
      <w:pPr>
        <w:pStyle w:val="BodyText"/>
        <w:spacing w:line="237" w:lineRule="auto" w:before="1"/>
        <w:ind w:left="180" w:right="179"/>
        <w:jc w:val="both"/>
      </w:pPr>
      <w:r>
        <w:rPr>
          <w:spacing w:val="-4"/>
        </w:rPr>
        <w:t>北大学产业发展公司（东北大学全民所有制企业）改制设立的国有独资有限责任公司，东</w:t>
      </w:r>
      <w:r>
        <w:rPr>
          <w:spacing w:val="-84"/>
        </w:rPr>
        <w:t> </w:t>
      </w:r>
      <w:r>
        <w:rPr>
          <w:spacing w:val="-84"/>
        </w:rPr>
      </w:r>
      <w:r>
        <w:rPr>
          <w:spacing w:val="-4"/>
        </w:rPr>
        <w:t>北大学为其唯一的出资人。东北大学科技产业集团有限公司统一代表东北大学持有投资企</w:t>
      </w:r>
      <w:r>
        <w:rPr>
          <w:spacing w:val="-82"/>
        </w:rPr>
        <w:t> </w:t>
      </w:r>
      <w:r>
        <w:rPr>
          <w:spacing w:val="-82"/>
        </w:rPr>
      </w:r>
      <w:r>
        <w:rPr/>
        <w:t>业的股权和经营性资产。</w:t>
      </w:r>
    </w:p>
    <w:p>
      <w:pPr>
        <w:spacing w:after="0" w:line="237" w:lineRule="auto"/>
        <w:jc w:val="both"/>
        <w:sectPr>
          <w:type w:val="continuous"/>
          <w:pgSz w:w="11910" w:h="16840"/>
          <w:pgMar w:top="1600" w:bottom="280" w:left="1180" w:right="1120"/>
        </w:sectPr>
      </w:pPr>
    </w:p>
    <w:p>
      <w:pPr>
        <w:spacing w:line="240" w:lineRule="auto" w:before="1"/>
        <w:rPr>
          <w:rFonts w:ascii="宋体" w:hAnsi="宋体" w:cs="宋体" w:eastAsia="宋体" w:hint="default"/>
          <w:sz w:val="20"/>
          <w:szCs w:val="20"/>
        </w:rPr>
      </w:pPr>
    </w:p>
    <w:p>
      <w:pPr>
        <w:pStyle w:val="BodyText"/>
        <w:spacing w:line="310" w:lineRule="exact" w:before="58"/>
        <w:ind w:left="620" w:right="5484"/>
        <w:jc w:val="left"/>
      </w:pPr>
      <w:r>
        <w:rPr/>
        <w:t>成立日期：2005年8月5日 注册资本: 人民币500,000,000元</w:t>
      </w:r>
    </w:p>
    <w:p>
      <w:pPr>
        <w:pStyle w:val="BodyText"/>
        <w:spacing w:line="310" w:lineRule="exact" w:before="2"/>
        <w:ind w:left="620" w:right="84"/>
        <w:jc w:val="left"/>
      </w:pPr>
      <w:r>
        <w:rPr/>
        <w:t>注册地址：沈阳市和平区文化路3号巷11号 经营范围：投资管理、企业资产经营，计算机软硬件、机电一体化、高新技术产品、</w:t>
      </w:r>
    </w:p>
    <w:p>
      <w:pPr>
        <w:pStyle w:val="BodyText"/>
        <w:spacing w:line="310" w:lineRule="exact" w:before="2"/>
        <w:ind w:right="84"/>
        <w:jc w:val="left"/>
      </w:pPr>
      <w:r>
        <w:rPr>
          <w:spacing w:val="-4"/>
        </w:rPr>
        <w:t>热能工程技术、新材料冶金技术产品的研究、开发、制造、技术工程承包，技术咨询、服</w:t>
      </w:r>
      <w:r>
        <w:rPr>
          <w:spacing w:val="-85"/>
        </w:rPr>
        <w:t> </w:t>
      </w:r>
      <w:r>
        <w:rPr>
          <w:spacing w:val="-85"/>
        </w:rPr>
      </w:r>
      <w:r>
        <w:rPr/>
        <w:t>务、转让等。</w:t>
      </w:r>
    </w:p>
    <w:p>
      <w:pPr>
        <w:pStyle w:val="Heading7"/>
        <w:spacing w:line="282" w:lineRule="exact"/>
        <w:ind w:left="623" w:right="84"/>
        <w:jc w:val="left"/>
        <w:rPr>
          <w:rFonts w:ascii="宋体" w:hAnsi="宋体" w:cs="宋体" w:eastAsia="宋体" w:hint="default"/>
          <w:b w:val="0"/>
          <w:bCs w:val="0"/>
        </w:rPr>
      </w:pPr>
      <w:r>
        <w:rPr>
          <w:rFonts w:ascii="宋体" w:hAnsi="宋体" w:cs="宋体" w:eastAsia="宋体" w:hint="default"/>
        </w:rPr>
        <w:t>（2）沈阳慧旭科技股份有限公司</w:t>
      </w:r>
      <w:r>
        <w:rPr>
          <w:rFonts w:ascii="宋体" w:hAnsi="宋体" w:cs="宋体" w:eastAsia="宋体" w:hint="default"/>
          <w:b w:val="0"/>
          <w:bCs w:val="0"/>
        </w:rPr>
      </w:r>
    </w:p>
    <w:p>
      <w:pPr>
        <w:pStyle w:val="BodyText"/>
        <w:spacing w:line="237" w:lineRule="auto" w:before="1"/>
        <w:ind w:right="219" w:firstLine="480"/>
        <w:jc w:val="both"/>
      </w:pPr>
      <w:r>
        <w:rPr>
          <w:spacing w:val="-4"/>
        </w:rPr>
        <w:t>沈阳慧旭科技股份有限公司是依据中国法律设立并存续的股份有限公司，成立于2007</w:t>
      </w:r>
      <w:r>
        <w:rPr/>
        <w:t> 年10月29日，股东为145名自然人。沈阳慧旭科技股份有限公司的各股东持股相对分散， 其第一大股东的持股比例为3.18%，沈阳慧旭科技股份有限公司不存在控股股东和实际控 制人。</w:t>
      </w:r>
    </w:p>
    <w:p>
      <w:pPr>
        <w:pStyle w:val="BodyText"/>
        <w:spacing w:line="237" w:lineRule="auto"/>
        <w:ind w:left="620" w:right="5004"/>
        <w:jc w:val="left"/>
      </w:pPr>
      <w:r>
        <w:rPr/>
        <w:t>注册资本：人民币319,160,000元 法定代表人：赵宏 成立日期：2007年10月29日 注册地址：沈阳市浑南新区新秀街2号</w:t>
      </w:r>
    </w:p>
    <w:p>
      <w:pPr>
        <w:pStyle w:val="BodyText"/>
        <w:spacing w:line="310" w:lineRule="exact" w:before="30"/>
        <w:ind w:right="220" w:firstLine="480"/>
        <w:jc w:val="both"/>
      </w:pPr>
      <w:r>
        <w:rPr>
          <w:spacing w:val="-4"/>
        </w:rPr>
        <w:t>经营范围：计算机软硬件研发、技术咨询、技术服务；健康科技项目开发；健康档案</w:t>
      </w:r>
      <w:r>
        <w:rPr/>
        <w:t> 管理；健康数据信息管理咨询。</w:t>
      </w:r>
    </w:p>
    <w:p>
      <w:pPr>
        <w:pStyle w:val="Heading7"/>
        <w:spacing w:line="282" w:lineRule="exact"/>
        <w:ind w:left="623" w:right="84"/>
        <w:jc w:val="left"/>
        <w:rPr>
          <w:rFonts w:ascii="宋体" w:hAnsi="宋体" w:cs="宋体" w:eastAsia="宋体" w:hint="default"/>
          <w:b w:val="0"/>
          <w:bCs w:val="0"/>
        </w:rPr>
      </w:pPr>
      <w:r>
        <w:rPr>
          <w:rFonts w:ascii="宋体" w:hAnsi="宋体" w:cs="宋体" w:eastAsia="宋体" w:hint="default"/>
        </w:rPr>
        <w:t>（3）宝钢集团有限公司</w:t>
      </w:r>
      <w:r>
        <w:rPr>
          <w:rFonts w:ascii="宋体" w:hAnsi="宋体" w:cs="宋体" w:eastAsia="宋体" w:hint="default"/>
          <w:b w:val="0"/>
          <w:bCs w:val="0"/>
        </w:rPr>
      </w:r>
    </w:p>
    <w:p>
      <w:pPr>
        <w:pStyle w:val="BodyText"/>
        <w:spacing w:line="310" w:lineRule="exact" w:before="31"/>
        <w:ind w:right="219" w:firstLine="482"/>
        <w:jc w:val="both"/>
      </w:pPr>
      <w:r>
        <w:rPr>
          <w:spacing w:val="-4"/>
        </w:rPr>
        <w:t>宝钢集团有限公司是国家单独出资，国务院国资委代表国务院履行出资人职责的国有</w:t>
      </w:r>
      <w:r>
        <w:rPr/>
        <w:t> 独资公司，是国家授权投资的机构和国家控股公司。</w:t>
      </w:r>
    </w:p>
    <w:p>
      <w:pPr>
        <w:pStyle w:val="BodyText"/>
        <w:spacing w:line="310" w:lineRule="exact" w:before="2"/>
        <w:ind w:left="620" w:right="3804" w:firstLine="2"/>
        <w:jc w:val="left"/>
      </w:pPr>
      <w:r>
        <w:rPr/>
        <w:t>成立日期：1992年1月1日 注册资本：人民币5,108,262.1万元 注册地址：上海市浦东新区浦电路370号宝钢大厦</w:t>
      </w:r>
    </w:p>
    <w:p>
      <w:pPr>
        <w:pStyle w:val="BodyText"/>
        <w:spacing w:line="310" w:lineRule="exact" w:before="2"/>
        <w:ind w:right="219" w:firstLine="482"/>
        <w:jc w:val="both"/>
      </w:pPr>
      <w:r>
        <w:rPr>
          <w:spacing w:val="-4"/>
        </w:rPr>
        <w:t>经营范围：经营国务院授权范围内的国有资产，并开展有关投资业务；钢铁、冶金矿</w:t>
      </w:r>
      <w:r>
        <w:rPr/>
        <w:t> </w:t>
      </w:r>
      <w:r>
        <w:rPr>
          <w:spacing w:val="-4"/>
        </w:rPr>
        <w:t>产、化工（除危险品）、电力、码头、仓储、运输与钢铁相关的业务以及技术开发、技术</w:t>
      </w:r>
      <w:r>
        <w:rPr>
          <w:spacing w:val="-116"/>
        </w:rPr>
        <w:t> </w:t>
      </w:r>
      <w:r>
        <w:rPr>
          <w:spacing w:val="-116"/>
        </w:rPr>
      </w:r>
      <w:r>
        <w:rPr>
          <w:spacing w:val="-4"/>
        </w:rPr>
        <w:t>转让、技术服务和技术管理咨询业务，外经贸部批准的进出口业务，国内外贸易（除专项</w:t>
      </w:r>
    </w:p>
    <w:p>
      <w:pPr>
        <w:pStyle w:val="BodyText"/>
        <w:spacing w:line="282" w:lineRule="exact"/>
        <w:ind w:right="84"/>
        <w:jc w:val="left"/>
      </w:pPr>
      <w:r>
        <w:rPr/>
        <w:t>规定）及其服务。</w:t>
      </w:r>
    </w:p>
    <w:p>
      <w:pPr>
        <w:spacing w:line="312" w:lineRule="exact" w:before="29"/>
        <w:ind w:left="620" w:right="84" w:firstLine="2"/>
        <w:jc w:val="left"/>
        <w:rPr>
          <w:rFonts w:ascii="宋体" w:hAnsi="宋体" w:cs="宋体" w:eastAsia="宋体" w:hint="default"/>
          <w:sz w:val="24"/>
          <w:szCs w:val="24"/>
        </w:rPr>
      </w:pPr>
      <w:r>
        <w:rPr>
          <w:rFonts w:ascii="宋体" w:hAnsi="宋体" w:cs="宋体" w:eastAsia="宋体" w:hint="default"/>
          <w:b/>
          <w:bCs/>
          <w:sz w:val="24"/>
          <w:szCs w:val="24"/>
        </w:rPr>
        <w:t>（4）阿尔派株式会社</w:t>
      </w:r>
      <w:r>
        <w:rPr>
          <w:rFonts w:ascii="宋体" w:hAnsi="宋体" w:cs="宋体" w:eastAsia="宋体" w:hint="default"/>
          <w:b/>
          <w:bCs/>
          <w:w w:val="99"/>
          <w:sz w:val="24"/>
          <w:szCs w:val="24"/>
        </w:rPr>
        <w:t> </w:t>
      </w:r>
      <w:r>
        <w:rPr>
          <w:rFonts w:ascii="宋体" w:hAnsi="宋体" w:cs="宋体" w:eastAsia="宋体" w:hint="default"/>
          <w:spacing w:val="-4"/>
          <w:sz w:val="24"/>
          <w:szCs w:val="24"/>
        </w:rPr>
        <w:t>阿尔派株式会社依据日本法律设立并存续，是一家以生产汽车音响及汽车通信系统产</w:t>
      </w:r>
    </w:p>
    <w:p>
      <w:pPr>
        <w:pStyle w:val="BodyText"/>
        <w:spacing w:line="281" w:lineRule="exact"/>
        <w:ind w:right="84"/>
        <w:jc w:val="left"/>
      </w:pPr>
      <w:r>
        <w:rPr/>
        <w:t>品为主的专业汽车电子企业。阿尔派株式会社在日本东京证券交易所上市。</w:t>
      </w:r>
    </w:p>
    <w:p>
      <w:pPr>
        <w:pStyle w:val="BodyText"/>
        <w:spacing w:line="237" w:lineRule="auto" w:before="1"/>
        <w:ind w:left="620" w:right="3701"/>
        <w:jc w:val="left"/>
      </w:pPr>
      <w:r>
        <w:rPr/>
        <w:t>成立日期：1967年5月10日 资本金额：25,920,590,000日元 注册地址：日本国东京都品川区西五反田1-1-8 主营业务：汽车音响及汽车通信系统产品的生产。</w:t>
      </w:r>
    </w:p>
    <w:p>
      <w:pPr>
        <w:spacing w:line="310" w:lineRule="exact" w:before="30"/>
        <w:ind w:left="623" w:right="84" w:firstLine="0"/>
        <w:jc w:val="left"/>
        <w:rPr>
          <w:rFonts w:ascii="宋体" w:hAnsi="宋体" w:cs="宋体" w:eastAsia="宋体" w:hint="default"/>
          <w:sz w:val="24"/>
          <w:szCs w:val="24"/>
        </w:rPr>
      </w:pPr>
      <w:r>
        <w:rPr>
          <w:rFonts w:ascii="宋体" w:hAnsi="宋体" w:cs="宋体" w:eastAsia="宋体" w:hint="default"/>
          <w:b/>
          <w:bCs/>
          <w:sz w:val="24"/>
          <w:szCs w:val="24"/>
        </w:rPr>
        <w:t>（5）阿尔派电子（中国）有限公司</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阿尔派电子（中国）有限公司是日本阿尔派株式会社于1994年在中国北京投资创建的</w:t>
      </w:r>
    </w:p>
    <w:p>
      <w:pPr>
        <w:pStyle w:val="BodyText"/>
        <w:spacing w:line="310" w:lineRule="exact" w:before="2"/>
        <w:ind w:left="623" w:right="6081" w:hanging="483"/>
        <w:jc w:val="left"/>
      </w:pPr>
      <w:r>
        <w:rPr/>
        <w:t>外商独资企业。 成立日期：1994年12月28日 注册资本：90,000,000美元</w:t>
      </w:r>
    </w:p>
    <w:p>
      <w:pPr>
        <w:pStyle w:val="BodyText"/>
        <w:spacing w:line="310" w:lineRule="exact" w:before="2"/>
        <w:ind w:left="623" w:right="84"/>
        <w:jc w:val="left"/>
      </w:pPr>
      <w:r>
        <w:rPr/>
        <w:t>注册地址：北京市朝阳区建国路116号招商局大厦R2楼4层 </w:t>
      </w:r>
      <w:r>
        <w:rPr>
          <w:spacing w:val="-4"/>
        </w:rPr>
        <w:t>主营业务：从事阿尔派株式会社在中国国内的，包括汽车音响及有关零部件、汽车用</w:t>
      </w:r>
    </w:p>
    <w:p>
      <w:pPr>
        <w:pStyle w:val="BodyText"/>
        <w:spacing w:line="282" w:lineRule="exact"/>
        <w:ind w:right="84"/>
        <w:jc w:val="left"/>
      </w:pPr>
      <w:r>
        <w:rPr>
          <w:spacing w:val="-4"/>
        </w:rPr>
        <w:t>通信机器及汽车导向系统产品、重要零件部在内的汽车电子领域的投资；为所投资企业生</w:t>
      </w:r>
    </w:p>
    <w:p>
      <w:pPr>
        <w:pStyle w:val="BodyText"/>
        <w:spacing w:line="311" w:lineRule="exact"/>
        <w:ind w:right="84"/>
        <w:jc w:val="left"/>
      </w:pPr>
      <w:r>
        <w:rPr/>
        <w:t>产的产品提供销售及服务。</w:t>
      </w:r>
    </w:p>
    <w:p>
      <w:pPr>
        <w:spacing w:line="312" w:lineRule="exact" w:before="29"/>
        <w:ind w:left="620" w:right="84" w:firstLine="2"/>
        <w:jc w:val="left"/>
        <w:rPr>
          <w:rFonts w:ascii="宋体" w:hAnsi="宋体" w:cs="宋体" w:eastAsia="宋体" w:hint="default"/>
          <w:sz w:val="24"/>
          <w:szCs w:val="24"/>
        </w:rPr>
      </w:pPr>
      <w:r>
        <w:rPr>
          <w:rFonts w:ascii="宋体" w:hAnsi="宋体" w:cs="宋体" w:eastAsia="宋体" w:hint="default"/>
          <w:b/>
          <w:bCs/>
          <w:sz w:val="24"/>
          <w:szCs w:val="24"/>
        </w:rPr>
        <w:t>（6）株式会社东芝</w:t>
      </w:r>
      <w:r>
        <w:rPr>
          <w:rFonts w:ascii="宋体" w:hAnsi="宋体" w:cs="宋体" w:eastAsia="宋体" w:hint="default"/>
          <w:b/>
          <w:bCs/>
          <w:spacing w:val="1"/>
          <w:w w:val="99"/>
          <w:sz w:val="24"/>
          <w:szCs w:val="24"/>
        </w:rPr>
        <w:t> </w:t>
      </w:r>
      <w:r>
        <w:rPr>
          <w:rFonts w:ascii="宋体" w:hAnsi="宋体" w:cs="宋体" w:eastAsia="宋体" w:hint="default"/>
          <w:sz w:val="24"/>
          <w:szCs w:val="24"/>
        </w:rPr>
        <w:t>株式会社东芝是依据日本法律设立并存续的公司。东芝在日本东京证券交易所上市。</w:t>
      </w:r>
    </w:p>
    <w:p>
      <w:pPr>
        <w:spacing w:after="0" w:line="312" w:lineRule="exact"/>
        <w:jc w:val="left"/>
        <w:rPr>
          <w:rFonts w:ascii="宋体" w:hAnsi="宋体" w:cs="宋体" w:eastAsia="宋体" w:hint="default"/>
          <w:sz w:val="24"/>
          <w:szCs w:val="24"/>
        </w:rPr>
        <w:sectPr>
          <w:pgSz w:w="11910" w:h="16840"/>
          <w:pgMar w:header="720" w:footer="721" w:top="1100" w:bottom="920" w:left="1220" w:right="1080"/>
        </w:sectPr>
      </w:pPr>
    </w:p>
    <w:p>
      <w:pPr>
        <w:spacing w:line="240" w:lineRule="auto" w:before="1"/>
        <w:rPr>
          <w:rFonts w:ascii="宋体" w:hAnsi="宋体" w:cs="宋体" w:eastAsia="宋体" w:hint="default"/>
          <w:sz w:val="20"/>
          <w:szCs w:val="20"/>
        </w:rPr>
      </w:pPr>
    </w:p>
    <w:p>
      <w:pPr>
        <w:pStyle w:val="BodyText"/>
        <w:spacing w:line="310" w:lineRule="exact" w:before="58"/>
        <w:ind w:left="620" w:right="5424"/>
        <w:jc w:val="left"/>
      </w:pPr>
      <w:r>
        <w:rPr/>
        <w:t>成立日期：1875</w:t>
      </w:r>
      <w:r>
        <w:rPr>
          <w:spacing w:val="-60"/>
        </w:rPr>
        <w:t> </w:t>
      </w:r>
      <w:r>
        <w:rPr/>
        <w:t>年</w:t>
      </w:r>
      <w:r>
        <w:rPr/>
        <w:t> 注册资本：439,901,268,477</w:t>
      </w:r>
      <w:r>
        <w:rPr>
          <w:spacing w:val="-60"/>
        </w:rPr>
        <w:t> </w:t>
      </w:r>
      <w:r>
        <w:rPr/>
        <w:t>日元</w:t>
      </w:r>
    </w:p>
    <w:p>
      <w:pPr>
        <w:pStyle w:val="BodyText"/>
        <w:spacing w:line="310" w:lineRule="exact" w:before="2"/>
        <w:ind w:left="620" w:right="804"/>
        <w:jc w:val="left"/>
      </w:pPr>
      <w:r>
        <w:rPr>
          <w:spacing w:val="10"/>
        </w:rPr>
        <w:t>注册地址：日本国东京都港区芝浦一丁目1番1号</w:t>
      </w:r>
      <w:r>
        <w:rPr>
          <w:spacing w:val="-100"/>
        </w:rPr>
        <w:t> </w:t>
      </w:r>
      <w:r>
        <w:rPr/>
        <w:t>主营业务：数码产品业务、电子部件业务、基础设施业务、家电产品业务等。</w:t>
      </w:r>
    </w:p>
    <w:p>
      <w:pPr>
        <w:spacing w:line="310" w:lineRule="exact" w:before="2"/>
        <w:ind w:left="623" w:right="81" w:firstLine="121"/>
        <w:jc w:val="left"/>
        <w:rPr>
          <w:rFonts w:ascii="宋体" w:hAnsi="宋体" w:cs="宋体" w:eastAsia="宋体" w:hint="default"/>
          <w:sz w:val="24"/>
          <w:szCs w:val="24"/>
        </w:rPr>
      </w:pPr>
      <w:r>
        <w:rPr>
          <w:rFonts w:ascii="宋体" w:hAnsi="宋体" w:cs="宋体" w:eastAsia="宋体" w:hint="default"/>
          <w:b/>
          <w:bCs/>
          <w:sz w:val="24"/>
          <w:szCs w:val="24"/>
        </w:rPr>
        <w:t>（7）东芝解决方案株式会社</w:t>
      </w:r>
      <w:r>
        <w:rPr>
          <w:rFonts w:ascii="宋体" w:hAnsi="宋体" w:cs="宋体" w:eastAsia="宋体" w:hint="default"/>
          <w:b/>
          <w:bCs/>
          <w:spacing w:val="1"/>
          <w:w w:val="99"/>
          <w:sz w:val="24"/>
          <w:szCs w:val="24"/>
        </w:rPr>
        <w:t> </w:t>
      </w:r>
      <w:r>
        <w:rPr>
          <w:rFonts w:ascii="宋体" w:hAnsi="宋体" w:cs="宋体" w:eastAsia="宋体" w:hint="default"/>
          <w:sz w:val="24"/>
          <w:szCs w:val="24"/>
        </w:rPr>
        <w:t>东芝解决方案株式会社是依据日本法律设立并存续的公司，其股东是株式会社东芝。 成立日期：2003年10月</w:t>
      </w:r>
    </w:p>
    <w:p>
      <w:pPr>
        <w:pStyle w:val="BodyText"/>
        <w:spacing w:line="310" w:lineRule="exact" w:before="2"/>
        <w:ind w:left="623" w:right="3921" w:hanging="3"/>
        <w:jc w:val="left"/>
      </w:pPr>
      <w:r>
        <w:rPr/>
        <w:t>注册资本：23,500,000,000</w:t>
      </w:r>
      <w:r>
        <w:rPr>
          <w:spacing w:val="-60"/>
        </w:rPr>
        <w:t> </w:t>
      </w:r>
      <w:r>
        <w:rPr/>
        <w:t>日元</w:t>
      </w:r>
      <w:r>
        <w:rPr/>
        <w:t> 注册地址：日本国东京都港区芝浦一丁目1番1号</w:t>
      </w:r>
    </w:p>
    <w:p>
      <w:pPr>
        <w:pStyle w:val="BodyText"/>
        <w:spacing w:line="282" w:lineRule="exact"/>
        <w:ind w:left="623" w:right="84"/>
        <w:jc w:val="left"/>
      </w:pPr>
      <w:r>
        <w:rPr>
          <w:spacing w:val="-4"/>
        </w:rPr>
        <w:t>主营业务：软件开发与解决方案的提供。软件应用到政府、道路、交通、播放等的基</w:t>
      </w:r>
    </w:p>
    <w:p>
      <w:pPr>
        <w:pStyle w:val="BodyText"/>
        <w:spacing w:line="311" w:lineRule="exact"/>
        <w:ind w:right="0"/>
        <w:jc w:val="both"/>
      </w:pPr>
      <w:r>
        <w:rPr/>
        <w:t>础设施建设行业，同时应用到制造、产业、流通、服务、金融、电信、媒体等行业。</w:t>
      </w:r>
    </w:p>
    <w:p>
      <w:pPr>
        <w:pStyle w:val="Heading7"/>
        <w:spacing w:line="320" w:lineRule="exact"/>
        <w:ind w:left="623" w:right="84"/>
        <w:jc w:val="left"/>
        <w:rPr>
          <w:rFonts w:ascii="宋体" w:hAnsi="宋体" w:cs="宋体" w:eastAsia="宋体" w:hint="default"/>
          <w:b w:val="0"/>
          <w:bCs w:val="0"/>
        </w:rPr>
      </w:pPr>
      <w:r>
        <w:rPr>
          <w:rFonts w:ascii="宋体" w:hAnsi="宋体" w:cs="宋体" w:eastAsia="宋体" w:hint="default"/>
        </w:rPr>
        <w:t>（</w:t>
      </w:r>
      <w:r>
        <w:rPr>
          <w:rFonts w:ascii="Times New Roman" w:hAnsi="Times New Roman" w:cs="Times New Roman" w:eastAsia="Times New Roman" w:hint="default"/>
        </w:rPr>
        <w:t>8</w:t>
      </w:r>
      <w:r>
        <w:rPr>
          <w:rFonts w:ascii="宋体" w:hAnsi="宋体" w:cs="宋体" w:eastAsia="宋体" w:hint="default"/>
        </w:rPr>
        <w:t>）</w:t>
      </w:r>
      <w:r>
        <w:rPr>
          <w:rFonts w:ascii="Times New Roman" w:hAnsi="Times New Roman" w:cs="Times New Roman" w:eastAsia="Times New Roman" w:hint="default"/>
        </w:rPr>
        <w:t>PHILIPS ELECTRONICS CHINA</w:t>
      </w:r>
      <w:r>
        <w:rPr>
          <w:rFonts w:ascii="Times New Roman" w:hAnsi="Times New Roman" w:cs="Times New Roman" w:eastAsia="Times New Roman" w:hint="default"/>
          <w:spacing w:val="-19"/>
        </w:rPr>
        <w:t> </w:t>
      </w:r>
      <w:r>
        <w:rPr>
          <w:rFonts w:ascii="Times New Roman" w:hAnsi="Times New Roman" w:cs="Times New Roman" w:eastAsia="Times New Roman" w:hint="default"/>
        </w:rPr>
        <w:t>B.V.</w:t>
      </w:r>
      <w:r>
        <w:rPr>
          <w:rFonts w:ascii="宋体" w:hAnsi="宋体" w:cs="宋体" w:eastAsia="宋体" w:hint="default"/>
        </w:rPr>
        <w:t>（飞利浦电子中国有限公司）</w:t>
      </w:r>
      <w:r>
        <w:rPr>
          <w:rFonts w:ascii="宋体" w:hAnsi="宋体" w:cs="宋体" w:eastAsia="宋体" w:hint="default"/>
          <w:b w:val="0"/>
          <w:bCs w:val="0"/>
        </w:rPr>
      </w:r>
    </w:p>
    <w:p>
      <w:pPr>
        <w:pStyle w:val="BodyText"/>
        <w:spacing w:line="310" w:lineRule="exact" w:before="22"/>
        <w:ind w:right="218" w:firstLine="482"/>
        <w:jc w:val="both"/>
      </w:pPr>
      <w:r>
        <w:rPr>
          <w:rFonts w:ascii="Times New Roman" w:hAnsi="Times New Roman" w:cs="Times New Roman" w:eastAsia="Times New Roman" w:hint="default"/>
        </w:rPr>
        <w:t>PHILIPS ELECTRONICS CHINA</w:t>
      </w:r>
      <w:r>
        <w:rPr>
          <w:rFonts w:ascii="Times New Roman" w:hAnsi="Times New Roman" w:cs="Times New Roman" w:eastAsia="Times New Roman" w:hint="default"/>
          <w:spacing w:val="42"/>
        </w:rPr>
        <w:t> </w:t>
      </w:r>
      <w:r>
        <w:rPr>
          <w:rFonts w:ascii="Times New Roman" w:hAnsi="Times New Roman" w:cs="Times New Roman" w:eastAsia="Times New Roman" w:hint="default"/>
        </w:rPr>
        <w:t>B.V.</w:t>
      </w:r>
      <w:r>
        <w:rPr/>
        <w:t>是依据荷兰法律设立并存续的有限责任公司， </w:t>
      </w:r>
      <w:r>
        <w:rPr>
          <w:spacing w:val="-4"/>
        </w:rPr>
        <w:t>隶属于皇家飞利浦电子股份有限公司，目前负责飞利浦在中国所有的投资和发展，总部在</w:t>
      </w:r>
      <w:r>
        <w:rPr>
          <w:spacing w:val="-82"/>
        </w:rPr>
        <w:t> </w:t>
      </w:r>
      <w:r>
        <w:rPr>
          <w:spacing w:val="-82"/>
        </w:rPr>
      </w:r>
      <w:r>
        <w:rPr/>
        <w:t>荷兰埃茵霍温。</w:t>
      </w:r>
    </w:p>
    <w:p>
      <w:pPr>
        <w:pStyle w:val="BodyText"/>
        <w:spacing w:line="310" w:lineRule="exact" w:before="2"/>
        <w:ind w:left="623" w:right="4643"/>
        <w:jc w:val="left"/>
        <w:rPr>
          <w:rFonts w:ascii="Times New Roman" w:hAnsi="Times New Roman" w:cs="Times New Roman" w:eastAsia="Times New Roman" w:hint="default"/>
        </w:rPr>
      </w:pPr>
      <w:r>
        <w:rPr>
          <w:spacing w:val="15"/>
        </w:rPr>
        <w:t>成立日期：1946年9月</w:t>
      </w:r>
      <w:r>
        <w:rPr>
          <w:spacing w:val="-60"/>
        </w:rPr>
        <w:t> </w:t>
      </w:r>
      <w:r>
        <w:rPr>
          <w:spacing w:val="20"/>
        </w:rPr>
        <w:t>12日</w:t>
      </w:r>
      <w:r>
        <w:rPr>
          <w:spacing w:val="-60"/>
        </w:rPr>
        <w:t> </w:t>
      </w:r>
      <w:r>
        <w:rPr/>
        <w:t>法定股本：15,750,000</w:t>
      </w:r>
      <w:r>
        <w:rPr>
          <w:spacing w:val="-60"/>
        </w:rPr>
        <w:t> </w:t>
      </w:r>
      <w:r>
        <w:rPr/>
        <w:t>欧元</w:t>
      </w:r>
      <w:r>
        <w:rPr/>
        <w:t> 法定地址：</w:t>
      </w:r>
      <w:r>
        <w:rPr>
          <w:rFonts w:ascii="Times New Roman" w:hAnsi="Times New Roman" w:cs="Times New Roman" w:eastAsia="Times New Roman" w:hint="default"/>
        </w:rPr>
        <w:t>Eindhoven,Groenewoudseweg</w:t>
      </w:r>
      <w:r>
        <w:rPr>
          <w:rFonts w:ascii="Times New Roman" w:hAnsi="Times New Roman" w:cs="Times New Roman" w:eastAsia="Times New Roman" w:hint="default"/>
          <w:spacing w:val="-1"/>
        </w:rPr>
        <w:t> </w:t>
      </w:r>
      <w:r>
        <w:rPr>
          <w:rFonts w:ascii="Times New Roman" w:hAnsi="Times New Roman" w:cs="Times New Roman" w:eastAsia="Times New Roman" w:hint="default"/>
        </w:rPr>
        <w:t>1</w:t>
      </w:r>
    </w:p>
    <w:p>
      <w:pPr>
        <w:pStyle w:val="BodyText"/>
        <w:spacing w:line="282" w:lineRule="exact"/>
        <w:ind w:left="623" w:right="84"/>
        <w:jc w:val="left"/>
      </w:pPr>
      <w:r>
        <w:rPr/>
        <w:t>主营业务：医疗保健、优质生活、照明。</w:t>
      </w:r>
    </w:p>
    <w:p>
      <w:pPr>
        <w:pStyle w:val="Heading7"/>
        <w:spacing w:line="320" w:lineRule="exact"/>
        <w:ind w:left="623" w:right="84"/>
        <w:jc w:val="left"/>
        <w:rPr>
          <w:rFonts w:ascii="宋体" w:hAnsi="宋体" w:cs="宋体" w:eastAsia="宋体" w:hint="default"/>
          <w:b w:val="0"/>
          <w:bCs w:val="0"/>
        </w:rPr>
      </w:pPr>
      <w:r>
        <w:rPr>
          <w:rFonts w:ascii="宋体" w:hAnsi="宋体" w:cs="宋体" w:eastAsia="宋体" w:hint="default"/>
        </w:rPr>
        <w:t>（</w:t>
      </w:r>
      <w:r>
        <w:rPr>
          <w:rFonts w:ascii="Times New Roman" w:hAnsi="Times New Roman" w:cs="Times New Roman" w:eastAsia="Times New Roman" w:hint="default"/>
        </w:rPr>
        <w:t>9</w:t>
      </w:r>
      <w:r>
        <w:rPr>
          <w:rFonts w:ascii="宋体" w:hAnsi="宋体" w:cs="宋体" w:eastAsia="宋体" w:hint="default"/>
        </w:rPr>
        <w:t>）</w:t>
      </w:r>
      <w:r>
        <w:rPr>
          <w:rFonts w:ascii="Times New Roman" w:hAnsi="Times New Roman" w:cs="Times New Roman" w:eastAsia="Times New Roman" w:hint="default"/>
        </w:rPr>
        <w:t>SAP</w:t>
      </w:r>
      <w:r>
        <w:rPr>
          <w:rFonts w:ascii="Times New Roman" w:hAnsi="Times New Roman" w:cs="Times New Roman" w:eastAsia="Times New Roman" w:hint="default"/>
          <w:spacing w:val="-13"/>
        </w:rPr>
        <w:t> </w:t>
      </w:r>
      <w:r>
        <w:rPr>
          <w:rFonts w:ascii="Times New Roman" w:hAnsi="Times New Roman" w:cs="Times New Roman" w:eastAsia="Times New Roman" w:hint="default"/>
        </w:rPr>
        <w:t>AG</w:t>
      </w:r>
      <w:r>
        <w:rPr>
          <w:rFonts w:ascii="宋体" w:hAnsi="宋体" w:cs="宋体" w:eastAsia="宋体" w:hint="default"/>
        </w:rPr>
        <w:t>（思爱普有限公司）</w:t>
      </w:r>
      <w:r>
        <w:rPr>
          <w:rFonts w:ascii="宋体" w:hAnsi="宋体" w:cs="宋体" w:eastAsia="宋体" w:hint="default"/>
          <w:b w:val="0"/>
          <w:bCs w:val="0"/>
        </w:rPr>
      </w:r>
    </w:p>
    <w:p>
      <w:pPr>
        <w:pStyle w:val="BodyText"/>
        <w:spacing w:line="310" w:lineRule="exact" w:before="22"/>
        <w:ind w:right="202" w:firstLine="482"/>
        <w:jc w:val="left"/>
      </w:pPr>
      <w:r>
        <w:rPr>
          <w:rFonts w:ascii="Times New Roman" w:hAnsi="Times New Roman" w:cs="Times New Roman" w:eastAsia="Times New Roman" w:hint="default"/>
        </w:rPr>
        <w:t>SAP</w:t>
      </w:r>
      <w:r>
        <w:rPr>
          <w:rFonts w:ascii="Times New Roman" w:hAnsi="Times New Roman" w:cs="Times New Roman" w:eastAsia="Times New Roman" w:hint="default"/>
          <w:spacing w:val="-34"/>
        </w:rPr>
        <w:t> </w:t>
      </w:r>
      <w:r>
        <w:rPr>
          <w:rFonts w:ascii="Times New Roman" w:hAnsi="Times New Roman" w:cs="Times New Roman" w:eastAsia="Times New Roman" w:hint="default"/>
        </w:rPr>
        <w:t>AG</w:t>
      </w:r>
      <w:r>
        <w:rPr>
          <w:rFonts w:ascii="Times New Roman" w:hAnsi="Times New Roman" w:cs="Times New Roman" w:eastAsia="Times New Roman" w:hint="default"/>
          <w:spacing w:val="-33"/>
        </w:rPr>
        <w:t> </w:t>
      </w:r>
      <w:r>
        <w:rPr/>
        <w:t>依据德国法律组建。作为全球领先的业务软件提供商，世界第一大的独立软 件开发商。</w:t>
      </w:r>
      <w:r>
        <w:rPr>
          <w:rFonts w:ascii="Times New Roman" w:hAnsi="Times New Roman" w:cs="Times New Roman" w:eastAsia="Times New Roman" w:hint="default"/>
        </w:rPr>
        <w:t>SAP</w:t>
      </w:r>
      <w:r>
        <w:rPr>
          <w:rFonts w:ascii="Times New Roman" w:hAnsi="Times New Roman" w:cs="Times New Roman" w:eastAsia="Times New Roman" w:hint="default"/>
          <w:spacing w:val="-15"/>
        </w:rPr>
        <w:t> </w:t>
      </w:r>
      <w:r>
        <w:rPr/>
        <w:t>在</w:t>
      </w:r>
      <w:r>
        <w:rPr>
          <w:spacing w:val="-53"/>
        </w:rPr>
        <w:t> </w:t>
      </w:r>
      <w:r>
        <w:rPr>
          <w:rFonts w:ascii="Times New Roman" w:hAnsi="Times New Roman" w:cs="Times New Roman" w:eastAsia="Times New Roman" w:hint="default"/>
        </w:rPr>
        <w:t>120</w:t>
      </w:r>
      <w:r>
        <w:rPr>
          <w:rFonts w:ascii="Times New Roman" w:hAnsi="Times New Roman" w:cs="Times New Roman" w:eastAsia="Times New Roman" w:hint="default"/>
          <w:spacing w:val="-13"/>
        </w:rPr>
        <w:t> </w:t>
      </w:r>
      <w:r>
        <w:rPr/>
        <w:t>多个国家内拥有</w:t>
      </w:r>
      <w:r>
        <w:rPr>
          <w:spacing w:val="-53"/>
        </w:rPr>
        <w:t> </w:t>
      </w:r>
      <w:r>
        <w:rPr>
          <w:rFonts w:ascii="Times New Roman" w:hAnsi="Times New Roman" w:cs="Times New Roman" w:eastAsia="Times New Roman" w:hint="default"/>
        </w:rPr>
        <w:t>95000</w:t>
      </w:r>
      <w:r>
        <w:rPr>
          <w:rFonts w:ascii="Times New Roman" w:hAnsi="Times New Roman" w:cs="Times New Roman" w:eastAsia="Times New Roman" w:hint="default"/>
          <w:spacing w:val="-14"/>
        </w:rPr>
        <w:t> </w:t>
      </w:r>
      <w:r>
        <w:rPr/>
        <w:t>多个客户，在</w:t>
      </w:r>
      <w:r>
        <w:rPr>
          <w:spacing w:val="-53"/>
        </w:rPr>
        <w:t> </w:t>
      </w:r>
      <w:r>
        <w:rPr>
          <w:rFonts w:ascii="Times New Roman" w:hAnsi="Times New Roman" w:cs="Times New Roman" w:eastAsia="Times New Roman" w:hint="default"/>
        </w:rPr>
        <w:t>50</w:t>
      </w:r>
      <w:r>
        <w:rPr>
          <w:rFonts w:ascii="Times New Roman" w:hAnsi="Times New Roman" w:cs="Times New Roman" w:eastAsia="Times New Roman" w:hint="default"/>
          <w:spacing w:val="-14"/>
        </w:rPr>
        <w:t> </w:t>
      </w:r>
      <w:r>
        <w:rPr/>
        <w:t>多个国家和地区拥有雇员</w:t>
      </w:r>
    </w:p>
    <w:p>
      <w:pPr>
        <w:pStyle w:val="BodyText"/>
        <w:spacing w:line="225" w:lineRule="auto"/>
        <w:ind w:right="219"/>
        <w:jc w:val="both"/>
      </w:pPr>
      <w:r>
        <w:rPr/>
        <w:t>47578</w:t>
      </w:r>
      <w:r>
        <w:rPr>
          <w:spacing w:val="-80"/>
        </w:rPr>
        <w:t> </w:t>
      </w:r>
      <w:r>
        <w:rPr/>
        <w:t>人，分布在欧洲、中东和非洲（</w:t>
      </w:r>
      <w:r>
        <w:rPr>
          <w:rFonts w:ascii="Times New Roman" w:hAnsi="Times New Roman" w:cs="Times New Roman" w:eastAsia="Times New Roman" w:hint="default"/>
        </w:rPr>
        <w:t>EMEA</w:t>
      </w:r>
      <w:r>
        <w:rPr/>
        <w:t>）、美国、日本、澳大利亚和部分亚洲太平 </w:t>
      </w:r>
      <w:r>
        <w:rPr>
          <w:spacing w:val="-5"/>
        </w:rPr>
        <w:t>洋地区（</w:t>
      </w:r>
      <w:r>
        <w:rPr>
          <w:rFonts w:ascii="Times New Roman" w:hAnsi="Times New Roman" w:cs="Times New Roman" w:eastAsia="Times New Roman" w:hint="default"/>
          <w:spacing w:val="-5"/>
        </w:rPr>
        <w:t>APJ</w:t>
      </w:r>
      <w:r>
        <w:rPr>
          <w:spacing w:val="-5"/>
        </w:rPr>
        <w:t>）。</w:t>
      </w:r>
      <w:r>
        <w:rPr>
          <w:rFonts w:ascii="Times New Roman" w:hAnsi="Times New Roman" w:cs="Times New Roman" w:eastAsia="Times New Roman" w:hint="default"/>
          <w:spacing w:val="-5"/>
        </w:rPr>
        <w:t>SAP </w:t>
      </w:r>
      <w:r>
        <w:rPr/>
        <w:t>同时在德国法兰克福证券交易所和美国纽约证券交易所上市等数家 证券交易所上市。</w:t>
      </w:r>
    </w:p>
    <w:p>
      <w:pPr>
        <w:pStyle w:val="BodyText"/>
        <w:spacing w:line="312" w:lineRule="exact" w:before="29"/>
        <w:ind w:left="623" w:right="5853"/>
        <w:jc w:val="left"/>
      </w:pPr>
      <w:r>
        <w:rPr/>
        <w:t>成立日期：</w:t>
      </w:r>
      <w:r>
        <w:rPr>
          <w:rFonts w:ascii="Times New Roman" w:hAnsi="Times New Roman" w:cs="Times New Roman" w:eastAsia="Times New Roman" w:hint="default"/>
        </w:rPr>
        <w:t>1972</w:t>
      </w:r>
      <w:r>
        <w:rPr>
          <w:rFonts w:ascii="Times New Roman" w:hAnsi="Times New Roman" w:cs="Times New Roman" w:eastAsia="Times New Roman" w:hint="default"/>
          <w:spacing w:val="-12"/>
        </w:rPr>
        <w:t> </w:t>
      </w:r>
      <w:r>
        <w:rPr/>
        <w:t>年 注册资本：</w:t>
      </w:r>
      <w:r>
        <w:rPr>
          <w:rFonts w:ascii="Times New Roman" w:hAnsi="Times New Roman" w:cs="Times New Roman" w:eastAsia="Times New Roman" w:hint="default"/>
        </w:rPr>
        <w:t>1,225,762,900</w:t>
      </w:r>
      <w:r>
        <w:rPr>
          <w:rFonts w:ascii="Times New Roman" w:hAnsi="Times New Roman" w:cs="Times New Roman" w:eastAsia="Times New Roman" w:hint="default"/>
          <w:spacing w:val="-12"/>
        </w:rPr>
        <w:t> </w:t>
      </w:r>
      <w:r>
        <w:rPr/>
        <w:t>欧元</w:t>
      </w:r>
    </w:p>
    <w:p>
      <w:pPr>
        <w:pStyle w:val="BodyText"/>
        <w:spacing w:line="290" w:lineRule="exact"/>
        <w:ind w:left="623" w:right="84"/>
        <w:jc w:val="left"/>
        <w:rPr>
          <w:rFonts w:ascii="Times New Roman" w:hAnsi="Times New Roman" w:cs="Times New Roman" w:eastAsia="Times New Roman" w:hint="default"/>
        </w:rPr>
      </w:pPr>
      <w:r>
        <w:rPr/>
        <w:t>注册地址：</w:t>
      </w:r>
      <w:r>
        <w:rPr>
          <w:rFonts w:ascii="Times New Roman" w:hAnsi="Times New Roman" w:cs="Times New Roman" w:eastAsia="Times New Roman" w:hint="default"/>
        </w:rPr>
        <w:t>Dietmar-Hopp-Allee 16, 69190</w:t>
      </w:r>
      <w:r>
        <w:rPr>
          <w:rFonts w:ascii="Times New Roman" w:hAnsi="Times New Roman" w:cs="Times New Roman" w:eastAsia="Times New Roman" w:hint="default"/>
          <w:spacing w:val="-6"/>
        </w:rPr>
        <w:t> </w:t>
      </w:r>
      <w:r>
        <w:rPr>
          <w:rFonts w:ascii="Times New Roman" w:hAnsi="Times New Roman" w:cs="Times New Roman" w:eastAsia="Times New Roman" w:hint="default"/>
        </w:rPr>
        <w:t>WALLDORF</w:t>
      </w:r>
    </w:p>
    <w:p>
      <w:pPr>
        <w:pStyle w:val="BodyText"/>
        <w:spacing w:line="302" w:lineRule="exact"/>
        <w:ind w:left="623" w:right="84"/>
        <w:jc w:val="left"/>
      </w:pPr>
      <w:r>
        <w:rPr/>
        <w:t>主营业务：商业软件解决方案的开发与实施，相关的支持与咨询服务。</w:t>
      </w:r>
    </w:p>
    <w:p>
      <w:pPr>
        <w:pStyle w:val="Heading7"/>
        <w:spacing w:line="311" w:lineRule="exact"/>
        <w:ind w:left="623" w:right="84"/>
        <w:jc w:val="left"/>
        <w:rPr>
          <w:rFonts w:ascii="宋体" w:hAnsi="宋体" w:cs="宋体" w:eastAsia="宋体" w:hint="default"/>
          <w:b w:val="0"/>
          <w:bCs w:val="0"/>
        </w:rPr>
      </w:pPr>
      <w:r>
        <w:rPr>
          <w:rFonts w:ascii="宋体" w:hAnsi="宋体" w:cs="宋体" w:eastAsia="宋体" w:hint="default"/>
        </w:rPr>
        <w:t>（10）INTEL CAPITAL CORPORATION（英特尔投资股份有限公司）</w:t>
      </w:r>
      <w:r>
        <w:rPr>
          <w:rFonts w:ascii="宋体" w:hAnsi="宋体" w:cs="宋体" w:eastAsia="宋体" w:hint="default"/>
          <w:b w:val="0"/>
          <w:bCs w:val="0"/>
        </w:rPr>
      </w:r>
    </w:p>
    <w:p>
      <w:pPr>
        <w:pStyle w:val="BodyText"/>
        <w:spacing w:line="225" w:lineRule="auto" w:before="15"/>
        <w:ind w:right="219" w:firstLine="480"/>
        <w:jc w:val="both"/>
      </w:pPr>
      <w:r>
        <w:rPr>
          <w:rFonts w:ascii="Times New Roman" w:hAnsi="Times New Roman" w:cs="Times New Roman" w:eastAsia="Times New Roman" w:hint="default"/>
        </w:rPr>
        <w:t>INTEL CAPITAL CORPORATION </w:t>
      </w:r>
      <w:r>
        <w:rPr>
          <w:spacing w:val="19"/>
        </w:rPr>
        <w:t>是在美国纳斯达克证券交易所上市的</w:t>
      </w:r>
      <w:r>
        <w:rPr>
          <w:spacing w:val="2"/>
        </w:rPr>
        <w:t> </w:t>
      </w:r>
      <w:r>
        <w:rPr>
          <w:rFonts w:ascii="Times New Roman" w:hAnsi="Times New Roman" w:cs="Times New Roman" w:eastAsia="Times New Roman" w:hint="default"/>
        </w:rPr>
        <w:t>INTEL</w:t>
      </w:r>
      <w:r>
        <w:rPr>
          <w:rFonts w:ascii="Times New Roman" w:hAnsi="Times New Roman" w:cs="Times New Roman" w:eastAsia="Times New Roman" w:hint="default"/>
          <w:w w:val="99"/>
        </w:rPr>
        <w:t> </w:t>
      </w:r>
      <w:r>
        <w:rPr>
          <w:rFonts w:ascii="Times New Roman" w:hAnsi="Times New Roman" w:cs="Times New Roman" w:eastAsia="Times New Roman" w:hint="default"/>
        </w:rPr>
        <w:t>CORPORATION</w:t>
      </w:r>
      <w:r>
        <w:rPr>
          <w:rFonts w:ascii="Times New Roman" w:hAnsi="Times New Roman" w:cs="Times New Roman" w:eastAsia="Times New Roman" w:hint="default"/>
          <w:spacing w:val="-25"/>
        </w:rPr>
        <w:t> </w:t>
      </w:r>
      <w:r>
        <w:rPr/>
        <w:t>的全资子公司，作为</w:t>
      </w:r>
      <w:r>
        <w:rPr>
          <w:spacing w:val="-76"/>
        </w:rPr>
        <w:t> </w:t>
      </w:r>
      <w:r>
        <w:rPr>
          <w:rFonts w:ascii="Times New Roman" w:hAnsi="Times New Roman" w:cs="Times New Roman" w:eastAsia="Times New Roman" w:hint="default"/>
        </w:rPr>
        <w:t>INTEL</w:t>
      </w:r>
      <w:r>
        <w:rPr>
          <w:rFonts w:ascii="Times New Roman" w:hAnsi="Times New Roman" w:cs="Times New Roman" w:eastAsia="Times New Roman" w:hint="default"/>
          <w:spacing w:val="-26"/>
        </w:rPr>
        <w:t> </w:t>
      </w:r>
      <w:r>
        <w:rPr/>
        <w:t>的全球投资机构，在全球范围内向创新型的</w:t>
      </w:r>
      <w:r>
        <w:rPr>
          <w:w w:val="99"/>
        </w:rPr>
        <w:t> </w:t>
      </w:r>
      <w:r>
        <w:rPr/>
        <w:t>科技公司和初创企业进行资本投资。</w:t>
      </w:r>
    </w:p>
    <w:p>
      <w:pPr>
        <w:pStyle w:val="BodyText"/>
        <w:spacing w:line="312" w:lineRule="exact" w:before="29"/>
        <w:ind w:left="623" w:right="6057"/>
        <w:jc w:val="left"/>
      </w:pPr>
      <w:r>
        <w:rPr/>
        <w:t>成立日期：</w:t>
      </w:r>
      <w:r>
        <w:rPr>
          <w:rFonts w:ascii="Times New Roman" w:hAnsi="Times New Roman" w:cs="Times New Roman" w:eastAsia="Times New Roman" w:hint="default"/>
        </w:rPr>
        <w:t>1998</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日 注册资本：</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美元</w:t>
      </w:r>
    </w:p>
    <w:p>
      <w:pPr>
        <w:pStyle w:val="BodyText"/>
        <w:spacing w:line="290" w:lineRule="exact"/>
        <w:ind w:left="623" w:right="84"/>
        <w:jc w:val="left"/>
        <w:rPr>
          <w:rFonts w:ascii="Times New Roman" w:hAnsi="Times New Roman" w:cs="Times New Roman" w:eastAsia="Times New Roman" w:hint="default"/>
        </w:rPr>
      </w:pPr>
      <w:r>
        <w:rPr/>
        <w:t>营业地址：</w:t>
      </w:r>
      <w:r>
        <w:rPr>
          <w:rFonts w:ascii="Times New Roman" w:hAnsi="Times New Roman" w:cs="Times New Roman" w:eastAsia="Times New Roman" w:hint="default"/>
        </w:rPr>
        <w:t>2200 Mission College Boulevard, Santa Clara, California 95052,</w:t>
      </w:r>
      <w:r>
        <w:rPr>
          <w:rFonts w:ascii="Times New Roman" w:hAnsi="Times New Roman" w:cs="Times New Roman" w:eastAsia="Times New Roman" w:hint="default"/>
          <w:spacing w:val="-3"/>
        </w:rPr>
        <w:t> </w:t>
      </w:r>
      <w:r>
        <w:rPr>
          <w:rFonts w:ascii="Times New Roman" w:hAnsi="Times New Roman" w:cs="Times New Roman" w:eastAsia="Times New Roman" w:hint="default"/>
        </w:rPr>
        <w:t>USA</w:t>
      </w:r>
    </w:p>
    <w:p>
      <w:pPr>
        <w:pStyle w:val="BodyText"/>
        <w:spacing w:line="304" w:lineRule="exact"/>
        <w:ind w:left="623" w:right="84"/>
        <w:jc w:val="left"/>
      </w:pPr>
      <w:r>
        <w:rPr/>
        <w:t>主营业务：资本投资</w:t>
      </w:r>
    </w:p>
    <w:p>
      <w:pPr>
        <w:spacing w:after="0" w:line="304" w:lineRule="exact"/>
        <w:jc w:val="left"/>
        <w:sectPr>
          <w:pgSz w:w="11910" w:h="16840"/>
          <w:pgMar w:header="720" w:footer="721" w:top="1100" w:bottom="920" w:left="1220" w:right="108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720" w:footer="721" w:top="1100" w:bottom="920" w:left="800" w:right="740"/>
        </w:sectPr>
      </w:pPr>
    </w:p>
    <w:p>
      <w:pPr>
        <w:pStyle w:val="Heading5"/>
        <w:spacing w:line="240" w:lineRule="auto"/>
        <w:ind w:left="560" w:right="-20"/>
        <w:jc w:val="left"/>
        <w:rPr>
          <w:b w:val="0"/>
          <w:bCs w:val="0"/>
        </w:rPr>
      </w:pPr>
      <w:bookmarkStart w:name="_bookmark4" w:id="6"/>
      <w:bookmarkEnd w:id="6"/>
      <w:r>
        <w:rPr>
          <w:b w:val="0"/>
          <w:bCs w:val="0"/>
        </w:rPr>
      </w:r>
      <w:r>
        <w:rPr/>
        <w:t>五、董事、监事和高级管理人员</w:t>
      </w:r>
      <w:r>
        <w:rPr>
          <w:b w:val="0"/>
          <w:bCs w:val="0"/>
        </w:rPr>
      </w:r>
    </w:p>
    <w:p>
      <w:pPr>
        <w:pStyle w:val="BodyText"/>
        <w:spacing w:line="240" w:lineRule="auto" w:before="4"/>
        <w:ind w:left="560" w:right="-20"/>
        <w:jc w:val="left"/>
      </w:pPr>
      <w:r>
        <w:rPr/>
        <w:t>（一）董事、监事和高级管理人员持股变动及报酬情况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before="175"/>
        <w:ind w:left="560"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1600" w:bottom="280" w:left="800" w:right="740"/>
          <w:cols w:num="2" w:equalWidth="0">
            <w:col w:w="6321" w:space="2081"/>
            <w:col w:w="1968"/>
          </w:cols>
        </w:sectPr>
      </w:pPr>
    </w:p>
    <w:p>
      <w:pPr>
        <w:spacing w:line="240" w:lineRule="auto" w:before="7"/>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721"/>
        <w:gridCol w:w="1600"/>
        <w:gridCol w:w="476"/>
        <w:gridCol w:w="524"/>
        <w:gridCol w:w="1462"/>
        <w:gridCol w:w="1369"/>
        <w:gridCol w:w="845"/>
        <w:gridCol w:w="846"/>
        <w:gridCol w:w="593"/>
        <w:gridCol w:w="949"/>
        <w:gridCol w:w="726"/>
      </w:tblGrid>
      <w:tr>
        <w:trPr>
          <w:trHeight w:val="1195"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70"/>
              <w:jc w:val="right"/>
              <w:rPr>
                <w:rFonts w:ascii="宋体" w:hAnsi="宋体" w:cs="宋体" w:eastAsia="宋体" w:hint="default"/>
                <w:sz w:val="18"/>
                <w:szCs w:val="18"/>
              </w:rPr>
            </w:pPr>
            <w:r>
              <w:rPr>
                <w:rFonts w:ascii="宋体" w:hAnsi="宋体" w:cs="宋体" w:eastAsia="宋体" w:hint="default"/>
                <w:b/>
                <w:bCs/>
                <w:sz w:val="18"/>
                <w:szCs w:val="18"/>
              </w:rPr>
              <w:t>姓名</w:t>
            </w:r>
            <w:r>
              <w:rPr>
                <w:rFonts w:ascii="宋体" w:hAnsi="宋体" w:cs="宋体" w:eastAsia="宋体" w:hint="default"/>
                <w:sz w:val="18"/>
                <w:szCs w:val="18"/>
              </w:rPr>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z w:val="18"/>
                <w:szCs w:val="18"/>
              </w:rPr>
              <w:t>职务</w:t>
            </w:r>
            <w:r>
              <w:rPr>
                <w:rFonts w:ascii="宋体" w:hAnsi="宋体" w:cs="宋体" w:eastAsia="宋体" w:hint="default"/>
                <w:sz w:val="18"/>
                <w:szCs w:val="18"/>
              </w:rPr>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32" w:lineRule="exact"/>
              <w:ind w:left="140" w:right="139"/>
              <w:jc w:val="left"/>
              <w:rPr>
                <w:rFonts w:ascii="宋体" w:hAnsi="宋体" w:cs="宋体" w:eastAsia="宋体" w:hint="default"/>
                <w:sz w:val="18"/>
                <w:szCs w:val="18"/>
              </w:rPr>
            </w:pPr>
            <w:r>
              <w:rPr>
                <w:rFonts w:ascii="宋体" w:hAnsi="宋体" w:cs="宋体" w:eastAsia="宋体" w:hint="default"/>
                <w:b/>
                <w:bCs/>
                <w:sz w:val="18"/>
                <w:szCs w:val="18"/>
              </w:rPr>
              <w:t>性</w:t>
            </w:r>
            <w:r>
              <w:rPr>
                <w:rFonts w:ascii="宋体" w:hAnsi="宋体" w:cs="宋体" w:eastAsia="宋体" w:hint="default"/>
                <w:b/>
                <w:bCs/>
                <w:w w:val="99"/>
                <w:sz w:val="18"/>
                <w:szCs w:val="18"/>
              </w:rPr>
              <w:t> </w:t>
            </w:r>
            <w:r>
              <w:rPr>
                <w:rFonts w:ascii="宋体" w:hAnsi="宋体" w:cs="宋体" w:eastAsia="宋体" w:hint="default"/>
                <w:b/>
                <w:bCs/>
                <w:sz w:val="18"/>
                <w:szCs w:val="18"/>
              </w:rPr>
              <w:t>别</w:t>
            </w:r>
            <w:r>
              <w:rPr>
                <w:rFonts w:ascii="宋体" w:hAnsi="宋体" w:cs="宋体" w:eastAsia="宋体" w:hint="default"/>
                <w:sz w:val="18"/>
                <w:szCs w:val="18"/>
              </w:rPr>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32" w:lineRule="exact"/>
              <w:ind w:left="164" w:right="163"/>
              <w:jc w:val="left"/>
              <w:rPr>
                <w:rFonts w:ascii="宋体" w:hAnsi="宋体" w:cs="宋体" w:eastAsia="宋体" w:hint="default"/>
                <w:sz w:val="18"/>
                <w:szCs w:val="18"/>
              </w:rPr>
            </w:pPr>
            <w:r>
              <w:rPr>
                <w:rFonts w:ascii="宋体" w:hAnsi="宋体" w:cs="宋体" w:eastAsia="宋体" w:hint="default"/>
                <w:b/>
                <w:bCs/>
                <w:sz w:val="18"/>
                <w:szCs w:val="18"/>
              </w:rPr>
              <w:t>年</w:t>
            </w:r>
            <w:r>
              <w:rPr>
                <w:rFonts w:ascii="宋体" w:hAnsi="宋体" w:cs="宋体" w:eastAsia="宋体" w:hint="default"/>
                <w:b/>
                <w:bCs/>
                <w:w w:val="99"/>
                <w:sz w:val="18"/>
                <w:szCs w:val="18"/>
              </w:rPr>
              <w:t> </w:t>
            </w:r>
            <w:r>
              <w:rPr>
                <w:rFonts w:ascii="宋体" w:hAnsi="宋体" w:cs="宋体" w:eastAsia="宋体" w:hint="default"/>
                <w:b/>
                <w:bCs/>
                <w:sz w:val="18"/>
                <w:szCs w:val="18"/>
              </w:rPr>
              <w:t>龄</w:t>
            </w:r>
            <w:r>
              <w:rPr>
                <w:rFonts w:ascii="宋体" w:hAnsi="宋体" w:cs="宋体" w:eastAsia="宋体" w:hint="default"/>
                <w:sz w:val="18"/>
                <w:szCs w:val="18"/>
              </w:rPr>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80"/>
              <w:jc w:val="right"/>
              <w:rPr>
                <w:rFonts w:ascii="宋体" w:hAnsi="宋体" w:cs="宋体" w:eastAsia="宋体" w:hint="default"/>
                <w:sz w:val="18"/>
                <w:szCs w:val="18"/>
              </w:rPr>
            </w:pPr>
            <w:r>
              <w:rPr>
                <w:rFonts w:ascii="宋体" w:hAnsi="宋体" w:cs="宋体" w:eastAsia="宋体" w:hint="default"/>
                <w:b/>
                <w:bCs/>
                <w:w w:val="95"/>
                <w:sz w:val="18"/>
                <w:szCs w:val="18"/>
              </w:rPr>
              <w:t>任期起始日期</w:t>
            </w:r>
            <w:r>
              <w:rPr>
                <w:rFonts w:ascii="宋体" w:hAnsi="宋体" w:cs="宋体" w:eastAsia="宋体" w:hint="default"/>
                <w:sz w:val="18"/>
                <w:szCs w:val="18"/>
              </w:rPr>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任期终止日期</w:t>
            </w:r>
            <w:r>
              <w:rPr>
                <w:rFonts w:ascii="宋体" w:hAnsi="宋体" w:cs="宋体" w:eastAsia="宋体" w:hint="default"/>
                <w:sz w:val="18"/>
                <w:szCs w:val="18"/>
              </w:rPr>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32" w:lineRule="exact"/>
              <w:ind w:left="142" w:right="143" w:firstLine="91"/>
              <w:jc w:val="left"/>
              <w:rPr>
                <w:rFonts w:ascii="宋体" w:hAnsi="宋体" w:cs="宋体" w:eastAsia="宋体" w:hint="default"/>
                <w:sz w:val="18"/>
                <w:szCs w:val="18"/>
              </w:rPr>
            </w:pPr>
            <w:r>
              <w:rPr>
                <w:rFonts w:ascii="宋体" w:hAnsi="宋体" w:cs="宋体" w:eastAsia="宋体" w:hint="default"/>
                <w:b/>
                <w:bCs/>
                <w:sz w:val="18"/>
                <w:szCs w:val="18"/>
              </w:rPr>
              <w:t>年初</w:t>
            </w:r>
            <w:r>
              <w:rPr>
                <w:rFonts w:ascii="宋体" w:hAnsi="宋体" w:cs="宋体" w:eastAsia="宋体" w:hint="default"/>
                <w:b/>
                <w:bCs/>
                <w:spacing w:val="1"/>
                <w:w w:val="99"/>
                <w:sz w:val="18"/>
                <w:szCs w:val="18"/>
              </w:rPr>
              <w:t> </w:t>
            </w:r>
            <w:r>
              <w:rPr>
                <w:rFonts w:ascii="宋体" w:hAnsi="宋体" w:cs="宋体" w:eastAsia="宋体" w:hint="default"/>
                <w:b/>
                <w:bCs/>
                <w:sz w:val="18"/>
                <w:szCs w:val="18"/>
              </w:rPr>
              <w:t>持股数</w:t>
            </w:r>
            <w:r>
              <w:rPr>
                <w:rFonts w:ascii="宋体" w:hAnsi="宋体" w:cs="宋体" w:eastAsia="宋体" w:hint="default"/>
                <w:sz w:val="18"/>
                <w:szCs w:val="18"/>
              </w:rPr>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32" w:lineRule="exact"/>
              <w:ind w:left="142" w:right="143" w:firstLine="91"/>
              <w:jc w:val="left"/>
              <w:rPr>
                <w:rFonts w:ascii="宋体" w:hAnsi="宋体" w:cs="宋体" w:eastAsia="宋体" w:hint="default"/>
                <w:sz w:val="18"/>
                <w:szCs w:val="18"/>
              </w:rPr>
            </w:pPr>
            <w:r>
              <w:rPr>
                <w:rFonts w:ascii="宋体" w:hAnsi="宋体" w:cs="宋体" w:eastAsia="宋体" w:hint="default"/>
                <w:b/>
                <w:bCs/>
                <w:sz w:val="18"/>
                <w:szCs w:val="18"/>
              </w:rPr>
              <w:t>年末</w:t>
            </w:r>
            <w:r>
              <w:rPr>
                <w:rFonts w:ascii="宋体" w:hAnsi="宋体" w:cs="宋体" w:eastAsia="宋体" w:hint="default"/>
                <w:b/>
                <w:bCs/>
                <w:spacing w:val="1"/>
                <w:w w:val="99"/>
                <w:sz w:val="18"/>
                <w:szCs w:val="18"/>
              </w:rPr>
              <w:t> </w:t>
            </w:r>
            <w:r>
              <w:rPr>
                <w:rFonts w:ascii="宋体" w:hAnsi="宋体" w:cs="宋体" w:eastAsia="宋体" w:hint="default"/>
                <w:b/>
                <w:bCs/>
                <w:sz w:val="18"/>
                <w:szCs w:val="18"/>
              </w:rPr>
              <w:t>持股数</w:t>
            </w:r>
            <w:r>
              <w:rPr>
                <w:rFonts w:ascii="宋体" w:hAnsi="宋体" w:cs="宋体" w:eastAsia="宋体" w:hint="default"/>
                <w:sz w:val="18"/>
                <w:szCs w:val="18"/>
              </w:rPr>
            </w:r>
          </w:p>
        </w:tc>
        <w:tc>
          <w:tcPr>
            <w:tcW w:w="5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32" w:lineRule="exact"/>
              <w:ind w:left="108" w:right="107"/>
              <w:jc w:val="left"/>
              <w:rPr>
                <w:rFonts w:ascii="宋体" w:hAnsi="宋体" w:cs="宋体" w:eastAsia="宋体" w:hint="default"/>
                <w:sz w:val="18"/>
                <w:szCs w:val="18"/>
              </w:rPr>
            </w:pPr>
            <w:r>
              <w:rPr>
                <w:rFonts w:ascii="宋体" w:hAnsi="宋体" w:cs="宋体" w:eastAsia="宋体" w:hint="default"/>
                <w:b/>
                <w:bCs/>
                <w:sz w:val="18"/>
                <w:szCs w:val="18"/>
              </w:rPr>
              <w:t>变动</w:t>
            </w:r>
            <w:r>
              <w:rPr>
                <w:rFonts w:ascii="宋体" w:hAnsi="宋体" w:cs="宋体" w:eastAsia="宋体" w:hint="default"/>
                <w:b/>
                <w:bCs/>
                <w:spacing w:val="1"/>
                <w:w w:val="99"/>
                <w:sz w:val="18"/>
                <w:szCs w:val="18"/>
              </w:rPr>
              <w:t> </w:t>
            </w:r>
            <w:r>
              <w:rPr>
                <w:rFonts w:ascii="宋体" w:hAnsi="宋体" w:cs="宋体" w:eastAsia="宋体" w:hint="default"/>
                <w:b/>
                <w:bCs/>
                <w:sz w:val="18"/>
                <w:szCs w:val="18"/>
              </w:rPr>
              <w:t>原因</w:t>
            </w:r>
            <w:r>
              <w:rPr>
                <w:rFonts w:ascii="宋体" w:hAnsi="宋体" w:cs="宋体" w:eastAsia="宋体" w:hint="default"/>
                <w:sz w:val="18"/>
                <w:szCs w:val="18"/>
              </w:rPr>
            </w: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6" w:right="0"/>
              <w:jc w:val="both"/>
              <w:rPr>
                <w:rFonts w:ascii="宋体" w:hAnsi="宋体" w:cs="宋体" w:eastAsia="宋体" w:hint="default"/>
                <w:sz w:val="18"/>
                <w:szCs w:val="18"/>
              </w:rPr>
            </w:pPr>
            <w:r>
              <w:rPr>
                <w:rFonts w:ascii="宋体" w:hAnsi="宋体" w:cs="宋体" w:eastAsia="宋体" w:hint="default"/>
                <w:b/>
                <w:bCs/>
                <w:sz w:val="18"/>
                <w:szCs w:val="18"/>
              </w:rPr>
              <w:t>报告期内</w:t>
            </w:r>
            <w:r>
              <w:rPr>
                <w:rFonts w:ascii="宋体" w:hAnsi="宋体" w:cs="宋体" w:eastAsia="宋体" w:hint="default"/>
                <w:sz w:val="18"/>
                <w:szCs w:val="18"/>
              </w:rPr>
            </w:r>
          </w:p>
          <w:p>
            <w:pPr>
              <w:pStyle w:val="TableParagraph"/>
              <w:spacing w:line="237" w:lineRule="auto"/>
              <w:ind w:left="100" w:right="7" w:firstLine="5"/>
              <w:jc w:val="both"/>
              <w:rPr>
                <w:rFonts w:ascii="宋体" w:hAnsi="宋体" w:cs="宋体" w:eastAsia="宋体" w:hint="default"/>
                <w:sz w:val="18"/>
                <w:szCs w:val="18"/>
              </w:rPr>
            </w:pPr>
            <w:r>
              <w:rPr>
                <w:rFonts w:ascii="宋体" w:hAnsi="宋体" w:cs="宋体" w:eastAsia="宋体" w:hint="default"/>
                <w:b/>
                <w:bCs/>
                <w:sz w:val="18"/>
                <w:szCs w:val="18"/>
              </w:rPr>
              <w:t>从公司领</w:t>
            </w:r>
            <w:r>
              <w:rPr>
                <w:rFonts w:ascii="宋体" w:hAnsi="宋体" w:cs="宋体" w:eastAsia="宋体" w:hint="default"/>
                <w:b/>
                <w:bCs/>
                <w:w w:val="99"/>
                <w:sz w:val="18"/>
                <w:szCs w:val="18"/>
              </w:rPr>
              <w:t> </w:t>
            </w:r>
            <w:r>
              <w:rPr>
                <w:rFonts w:ascii="宋体" w:hAnsi="宋体" w:cs="宋体" w:eastAsia="宋体" w:hint="default"/>
                <w:b/>
                <w:bCs/>
                <w:sz w:val="18"/>
                <w:szCs w:val="18"/>
              </w:rPr>
              <w:t>取的报酬</w:t>
            </w:r>
            <w:r>
              <w:rPr>
                <w:rFonts w:ascii="宋体" w:hAnsi="宋体" w:cs="宋体" w:eastAsia="宋体" w:hint="default"/>
                <w:b/>
                <w:bCs/>
                <w:w w:val="99"/>
                <w:sz w:val="18"/>
                <w:szCs w:val="18"/>
              </w:rPr>
              <w:t> </w:t>
            </w:r>
            <w:r>
              <w:rPr>
                <w:rFonts w:ascii="宋体" w:hAnsi="宋体" w:cs="宋体" w:eastAsia="宋体" w:hint="default"/>
                <w:b/>
                <w:bCs/>
                <w:sz w:val="18"/>
                <w:szCs w:val="18"/>
              </w:rPr>
              <w:t>总额（万</w:t>
            </w:r>
            <w:r>
              <w:rPr>
                <w:rFonts w:ascii="宋体" w:hAnsi="宋体" w:cs="宋体" w:eastAsia="宋体" w:hint="default"/>
                <w:b/>
                <w:bCs/>
                <w:w w:val="99"/>
                <w:sz w:val="18"/>
                <w:szCs w:val="18"/>
              </w:rPr>
              <w:t> </w:t>
            </w:r>
            <w:r>
              <w:rPr>
                <w:rFonts w:ascii="宋体" w:hAnsi="宋体" w:cs="宋体" w:eastAsia="宋体" w:hint="default"/>
                <w:b/>
                <w:bCs/>
                <w:spacing w:val="-16"/>
                <w:w w:val="99"/>
                <w:sz w:val="18"/>
                <w:szCs w:val="18"/>
              </w:rPr>
              <w:t>元、税前）</w:t>
            </w:r>
            <w:r>
              <w:rPr>
                <w:rFonts w:ascii="宋体" w:hAnsi="宋体" w:cs="宋体" w:eastAsia="宋体" w:hint="default"/>
                <w:spacing w:val="-16"/>
                <w:sz w:val="18"/>
                <w:szCs w:val="18"/>
              </w:rPr>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149" w:lineRule="exact"/>
              <w:ind w:right="0"/>
              <w:jc w:val="center"/>
              <w:rPr>
                <w:rFonts w:ascii="宋体" w:hAnsi="宋体" w:cs="宋体" w:eastAsia="宋体" w:hint="default"/>
                <w:sz w:val="13"/>
                <w:szCs w:val="13"/>
              </w:rPr>
            </w:pPr>
            <w:r>
              <w:rPr>
                <w:rFonts w:ascii="宋体" w:hAnsi="宋体" w:cs="宋体" w:eastAsia="宋体" w:hint="default"/>
                <w:b/>
                <w:bCs/>
                <w:sz w:val="13"/>
                <w:szCs w:val="13"/>
              </w:rPr>
              <w:t>是否在</w:t>
            </w:r>
            <w:r>
              <w:rPr>
                <w:rFonts w:ascii="宋体" w:hAnsi="宋体" w:cs="宋体" w:eastAsia="宋体" w:hint="default"/>
                <w:sz w:val="13"/>
                <w:szCs w:val="13"/>
              </w:rPr>
            </w:r>
          </w:p>
          <w:p>
            <w:pPr>
              <w:pStyle w:val="TableParagraph"/>
              <w:spacing w:line="237" w:lineRule="auto"/>
              <w:ind w:left="100" w:right="85" w:hanging="14"/>
              <w:jc w:val="center"/>
              <w:rPr>
                <w:rFonts w:ascii="宋体" w:hAnsi="宋体" w:cs="宋体" w:eastAsia="宋体" w:hint="default"/>
                <w:sz w:val="13"/>
                <w:szCs w:val="13"/>
              </w:rPr>
            </w:pPr>
            <w:r>
              <w:rPr>
                <w:rFonts w:ascii="宋体" w:hAnsi="宋体" w:cs="宋体" w:eastAsia="宋体" w:hint="default"/>
                <w:b/>
                <w:bCs/>
                <w:sz w:val="13"/>
                <w:szCs w:val="13"/>
              </w:rPr>
              <w:t>股东单</w:t>
            </w:r>
            <w:r>
              <w:rPr>
                <w:rFonts w:ascii="宋体" w:hAnsi="宋体" w:cs="宋体" w:eastAsia="宋体" w:hint="default"/>
                <w:b/>
                <w:bCs/>
                <w:spacing w:val="1"/>
                <w:w w:val="99"/>
                <w:sz w:val="13"/>
                <w:szCs w:val="13"/>
              </w:rPr>
              <w:t> </w:t>
            </w:r>
            <w:r>
              <w:rPr>
                <w:rFonts w:ascii="宋体" w:hAnsi="宋体" w:cs="宋体" w:eastAsia="宋体" w:hint="default"/>
                <w:b/>
                <w:bCs/>
                <w:sz w:val="13"/>
                <w:szCs w:val="13"/>
              </w:rPr>
              <w:t>位或其</w:t>
            </w:r>
            <w:r>
              <w:rPr>
                <w:rFonts w:ascii="宋体" w:hAnsi="宋体" w:cs="宋体" w:eastAsia="宋体" w:hint="default"/>
                <w:b/>
                <w:bCs/>
                <w:spacing w:val="1"/>
                <w:w w:val="99"/>
                <w:sz w:val="13"/>
                <w:szCs w:val="13"/>
              </w:rPr>
              <w:t> </w:t>
            </w:r>
            <w:r>
              <w:rPr>
                <w:rFonts w:ascii="宋体" w:hAnsi="宋体" w:cs="宋体" w:eastAsia="宋体" w:hint="default"/>
                <w:b/>
                <w:bCs/>
                <w:sz w:val="13"/>
                <w:szCs w:val="13"/>
              </w:rPr>
              <w:t>他关联</w:t>
            </w:r>
            <w:r>
              <w:rPr>
                <w:rFonts w:ascii="宋体" w:hAnsi="宋体" w:cs="宋体" w:eastAsia="宋体" w:hint="default"/>
                <w:b/>
                <w:bCs/>
                <w:spacing w:val="1"/>
                <w:w w:val="99"/>
                <w:sz w:val="13"/>
                <w:szCs w:val="13"/>
              </w:rPr>
              <w:t> </w:t>
            </w:r>
            <w:r>
              <w:rPr>
                <w:rFonts w:ascii="宋体" w:hAnsi="宋体" w:cs="宋体" w:eastAsia="宋体" w:hint="default"/>
                <w:b/>
                <w:bCs/>
                <w:sz w:val="13"/>
                <w:szCs w:val="13"/>
              </w:rPr>
              <w:t>单位领</w:t>
            </w:r>
            <w:r>
              <w:rPr>
                <w:rFonts w:ascii="宋体" w:hAnsi="宋体" w:cs="宋体" w:eastAsia="宋体" w:hint="default"/>
                <w:b/>
                <w:bCs/>
                <w:spacing w:val="1"/>
                <w:w w:val="99"/>
                <w:sz w:val="13"/>
                <w:szCs w:val="13"/>
              </w:rPr>
              <w:t> </w:t>
            </w:r>
            <w:r>
              <w:rPr>
                <w:rFonts w:ascii="宋体" w:hAnsi="宋体" w:cs="宋体" w:eastAsia="宋体" w:hint="default"/>
                <w:b/>
                <w:bCs/>
                <w:sz w:val="13"/>
                <w:szCs w:val="13"/>
              </w:rPr>
              <w:t>取报酬、</w:t>
            </w:r>
            <w:r>
              <w:rPr>
                <w:rFonts w:ascii="宋体" w:hAnsi="宋体" w:cs="宋体" w:eastAsia="宋体" w:hint="default"/>
                <w:b/>
                <w:bCs/>
                <w:spacing w:val="1"/>
                <w:w w:val="99"/>
                <w:sz w:val="13"/>
                <w:szCs w:val="13"/>
              </w:rPr>
              <w:t> </w:t>
            </w:r>
            <w:r>
              <w:rPr>
                <w:rFonts w:ascii="宋体" w:hAnsi="宋体" w:cs="宋体" w:eastAsia="宋体" w:hint="default"/>
                <w:b/>
                <w:bCs/>
                <w:sz w:val="13"/>
                <w:szCs w:val="13"/>
              </w:rPr>
              <w:t>津贴</w:t>
            </w:r>
            <w:r>
              <w:rPr>
                <w:rFonts w:ascii="宋体" w:hAnsi="宋体" w:cs="宋体" w:eastAsia="宋体" w:hint="default"/>
                <w:sz w:val="13"/>
                <w:szCs w:val="13"/>
              </w:rPr>
            </w:r>
          </w:p>
        </w:tc>
      </w:tr>
      <w:tr>
        <w:trPr>
          <w:trHeight w:val="404"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00" w:right="0"/>
              <w:jc w:val="left"/>
              <w:rPr>
                <w:rFonts w:ascii="宋体" w:hAnsi="宋体" w:cs="宋体" w:eastAsia="宋体" w:hint="default"/>
                <w:sz w:val="15"/>
                <w:szCs w:val="15"/>
              </w:rPr>
            </w:pPr>
            <w:r>
              <w:rPr>
                <w:rFonts w:ascii="宋体" w:hAnsi="宋体" w:cs="宋体" w:eastAsia="宋体" w:hint="default"/>
                <w:sz w:val="15"/>
                <w:szCs w:val="15"/>
              </w:rPr>
              <w:t>刘积仁</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董事长兼</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首席执行官</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55"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78" w:right="0"/>
              <w:jc w:val="left"/>
              <w:rPr>
                <w:rFonts w:ascii="宋体" w:hAnsi="宋体" w:cs="宋体" w:eastAsia="宋体" w:hint="default"/>
                <w:sz w:val="15"/>
                <w:szCs w:val="15"/>
              </w:rPr>
            </w:pPr>
            <w:r>
              <w:rPr>
                <w:rFonts w:ascii="宋体"/>
                <w:sz w:val="15"/>
              </w:rPr>
              <w:t>55</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80"/>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30</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1"/>
                <w:sz w:val="15"/>
                <w:szCs w:val="15"/>
              </w:rPr>
              <w:t>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宋体" w:hAnsi="宋体" w:cs="宋体" w:eastAsia="宋体" w:hint="default"/>
                <w:sz w:val="15"/>
                <w:szCs w:val="15"/>
              </w:rPr>
              <w:t>5</w:t>
            </w:r>
            <w:r>
              <w:rPr>
                <w:rFonts w:ascii="宋体" w:hAnsi="宋体" w:cs="宋体" w:eastAsia="宋体" w:hint="default"/>
                <w:spacing w:val="-40"/>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宋体" w:hAnsi="宋体" w:cs="宋体" w:eastAsia="宋体" w:hint="default"/>
                <w:sz w:val="15"/>
                <w:szCs w:val="15"/>
              </w:rPr>
              <w:t>29</w:t>
            </w:r>
            <w:r>
              <w:rPr>
                <w:rFonts w:ascii="宋体" w:hAnsi="宋体" w:cs="宋体" w:eastAsia="宋体" w:hint="default"/>
                <w:spacing w:val="-40"/>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宋体" w:hAnsi="宋体" w:cs="宋体" w:eastAsia="宋体" w:hint="default"/>
                <w:sz w:val="15"/>
                <w:szCs w:val="15"/>
              </w:rPr>
            </w:pPr>
            <w:r>
              <w:rPr>
                <w:rFonts w:ascii="宋体"/>
                <w:spacing w:val="-1"/>
                <w:sz w:val="15"/>
              </w:rPr>
              <w:t>351,293</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00"/>
              <w:jc w:val="right"/>
              <w:rPr>
                <w:rFonts w:ascii="宋体" w:hAnsi="宋体" w:cs="宋体" w:eastAsia="宋体" w:hint="default"/>
                <w:sz w:val="15"/>
                <w:szCs w:val="15"/>
              </w:rPr>
            </w:pPr>
            <w:r>
              <w:rPr>
                <w:rFonts w:ascii="宋体"/>
                <w:spacing w:val="-1"/>
                <w:sz w:val="15"/>
              </w:rPr>
              <w:t>351,293</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160.00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280"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209"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王勇峰</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副董事长兼总裁</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56"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79" w:right="0"/>
              <w:jc w:val="left"/>
              <w:rPr>
                <w:rFonts w:ascii="宋体" w:hAnsi="宋体" w:cs="宋体" w:eastAsia="宋体" w:hint="default"/>
                <w:sz w:val="15"/>
                <w:szCs w:val="15"/>
              </w:rPr>
            </w:pPr>
            <w:r>
              <w:rPr>
                <w:rFonts w:ascii="宋体"/>
                <w:sz w:val="15"/>
              </w:rPr>
              <w:t>40</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81"/>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30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29</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112,373</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112,373</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6"/>
              <w:jc w:val="right"/>
              <w:rPr>
                <w:rFonts w:ascii="宋体" w:hAnsi="宋体" w:cs="宋体" w:eastAsia="宋体" w:hint="default"/>
                <w:sz w:val="15"/>
                <w:szCs w:val="15"/>
              </w:rPr>
            </w:pPr>
            <w:r>
              <w:rPr>
                <w:rFonts w:ascii="宋体"/>
                <w:sz w:val="15"/>
              </w:rPr>
              <w:t>106.30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82"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210"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赵宏</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董事兼高级副总裁</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56"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78" w:right="0"/>
              <w:jc w:val="left"/>
              <w:rPr>
                <w:rFonts w:ascii="宋体" w:hAnsi="宋体" w:cs="宋体" w:eastAsia="宋体" w:hint="default"/>
                <w:sz w:val="15"/>
                <w:szCs w:val="15"/>
              </w:rPr>
            </w:pPr>
            <w:r>
              <w:rPr>
                <w:rFonts w:ascii="宋体"/>
                <w:sz w:val="15"/>
              </w:rPr>
              <w:t>56</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81"/>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30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29</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z w:val="15"/>
              </w:rPr>
              <w:t>190,634</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z w:val="15"/>
              </w:rPr>
              <w:t>190,634</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z w:val="15"/>
              </w:rPr>
              <w:t>49.35</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81"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404"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00" w:right="0"/>
              <w:jc w:val="left"/>
              <w:rPr>
                <w:rFonts w:ascii="宋体" w:hAnsi="宋体" w:cs="宋体" w:eastAsia="宋体" w:hint="default"/>
                <w:sz w:val="15"/>
                <w:szCs w:val="15"/>
              </w:rPr>
            </w:pPr>
            <w:r>
              <w:rPr>
                <w:rFonts w:ascii="宋体" w:hAnsi="宋体" w:cs="宋体" w:eastAsia="宋体" w:hint="default"/>
                <w:sz w:val="15"/>
                <w:szCs w:val="15"/>
              </w:rPr>
              <w:t>王莉</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董事兼高级副总裁兼</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首席财务官</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55" w:right="0"/>
              <w:jc w:val="left"/>
              <w:rPr>
                <w:rFonts w:ascii="宋体" w:hAnsi="宋体" w:cs="宋体" w:eastAsia="宋体" w:hint="default"/>
                <w:sz w:val="15"/>
                <w:szCs w:val="15"/>
              </w:rPr>
            </w:pPr>
            <w:r>
              <w:rPr>
                <w:rFonts w:ascii="宋体" w:hAnsi="宋体" w:cs="宋体" w:eastAsia="宋体" w:hint="default"/>
                <w:sz w:val="15"/>
                <w:szCs w:val="15"/>
              </w:rPr>
              <w:t>女</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78" w:right="0"/>
              <w:jc w:val="left"/>
              <w:rPr>
                <w:rFonts w:ascii="宋体" w:hAnsi="宋体" w:cs="宋体" w:eastAsia="宋体" w:hint="default"/>
                <w:sz w:val="15"/>
                <w:szCs w:val="15"/>
              </w:rPr>
            </w:pPr>
            <w:r>
              <w:rPr>
                <w:rFonts w:ascii="宋体"/>
                <w:sz w:val="15"/>
              </w:rPr>
              <w:t>45</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80"/>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30</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1"/>
                <w:sz w:val="15"/>
                <w:szCs w:val="15"/>
              </w:rPr>
              <w:t>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宋体" w:hAnsi="宋体" w:cs="宋体" w:eastAsia="宋体" w:hint="default"/>
                <w:sz w:val="15"/>
                <w:szCs w:val="15"/>
              </w:rPr>
              <w:t>5</w:t>
            </w:r>
            <w:r>
              <w:rPr>
                <w:rFonts w:ascii="宋体" w:hAnsi="宋体" w:cs="宋体" w:eastAsia="宋体" w:hint="default"/>
                <w:spacing w:val="-40"/>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宋体" w:hAnsi="宋体" w:cs="宋体" w:eastAsia="宋体" w:hint="default"/>
                <w:sz w:val="15"/>
                <w:szCs w:val="15"/>
              </w:rPr>
              <w:t>29</w:t>
            </w:r>
            <w:r>
              <w:rPr>
                <w:rFonts w:ascii="宋体" w:hAnsi="宋体" w:cs="宋体" w:eastAsia="宋体" w:hint="default"/>
                <w:spacing w:val="-40"/>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00"/>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59.40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281"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403"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恩地和</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明</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00"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56"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79" w:right="0"/>
              <w:jc w:val="left"/>
              <w:rPr>
                <w:rFonts w:ascii="宋体" w:hAnsi="宋体" w:cs="宋体" w:eastAsia="宋体" w:hint="default"/>
                <w:sz w:val="15"/>
                <w:szCs w:val="15"/>
              </w:rPr>
            </w:pPr>
            <w:r>
              <w:rPr>
                <w:rFonts w:ascii="宋体"/>
                <w:sz w:val="15"/>
              </w:rPr>
              <w:t>56</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81"/>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30</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1"/>
                <w:sz w:val="15"/>
                <w:szCs w:val="15"/>
              </w:rPr>
              <w:t>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宋体" w:hAnsi="宋体" w:cs="宋体" w:eastAsia="宋体" w:hint="default"/>
                <w:sz w:val="15"/>
                <w:szCs w:val="15"/>
              </w:rPr>
              <w:t>5</w:t>
            </w:r>
            <w:r>
              <w:rPr>
                <w:rFonts w:ascii="宋体" w:hAnsi="宋体" w:cs="宋体" w:eastAsia="宋体" w:hint="default"/>
                <w:spacing w:val="-40"/>
                <w:sz w:val="15"/>
                <w:szCs w:val="15"/>
              </w:rPr>
              <w:t> </w:t>
            </w:r>
            <w:r>
              <w:rPr>
                <w:rFonts w:ascii="宋体" w:hAnsi="宋体" w:cs="宋体" w:eastAsia="宋体" w:hint="default"/>
                <w:sz w:val="15"/>
                <w:szCs w:val="15"/>
              </w:rPr>
              <w:t>月</w:t>
            </w:r>
            <w:r>
              <w:rPr>
                <w:rFonts w:ascii="宋体" w:hAnsi="宋体" w:cs="宋体" w:eastAsia="宋体" w:hint="default"/>
                <w:spacing w:val="-41"/>
                <w:sz w:val="15"/>
                <w:szCs w:val="15"/>
              </w:rPr>
              <w:t> </w:t>
            </w:r>
            <w:r>
              <w:rPr>
                <w:rFonts w:ascii="宋体" w:hAnsi="宋体" w:cs="宋体" w:eastAsia="宋体" w:hint="default"/>
                <w:sz w:val="15"/>
                <w:szCs w:val="15"/>
              </w:rPr>
              <w:t>29</w:t>
            </w:r>
            <w:r>
              <w:rPr>
                <w:rFonts w:ascii="宋体" w:hAnsi="宋体" w:cs="宋体" w:eastAsia="宋体" w:hint="default"/>
                <w:spacing w:val="-40"/>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00"/>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02"/>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宋体" w:hAnsi="宋体" w:cs="宋体" w:eastAsia="宋体" w:hint="default"/>
                <w:sz w:val="15"/>
                <w:szCs w:val="15"/>
              </w:rPr>
            </w:pPr>
            <w:r>
              <w:rPr>
                <w:rFonts w:ascii="宋体"/>
                <w:sz w:val="15"/>
              </w:rPr>
              <w:t>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278" w:right="0"/>
              <w:jc w:val="left"/>
              <w:rPr>
                <w:rFonts w:ascii="宋体" w:hAnsi="宋体" w:cs="宋体" w:eastAsia="宋体" w:hint="default"/>
                <w:sz w:val="15"/>
                <w:szCs w:val="15"/>
              </w:rPr>
            </w:pPr>
            <w:r>
              <w:rPr>
                <w:rFonts w:ascii="宋体" w:hAnsi="宋体" w:cs="宋体" w:eastAsia="宋体" w:hint="default"/>
                <w:sz w:val="15"/>
                <w:szCs w:val="15"/>
              </w:rPr>
              <w:t>是</w:t>
            </w:r>
          </w:p>
        </w:tc>
      </w:tr>
      <w:tr>
        <w:trPr>
          <w:trHeight w:val="404"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石黑征</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三</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00"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56"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79" w:right="0"/>
              <w:jc w:val="left"/>
              <w:rPr>
                <w:rFonts w:ascii="宋体" w:hAnsi="宋体" w:cs="宋体" w:eastAsia="宋体" w:hint="default"/>
                <w:sz w:val="15"/>
                <w:szCs w:val="15"/>
              </w:rPr>
            </w:pPr>
            <w:r>
              <w:rPr>
                <w:rFonts w:ascii="宋体"/>
                <w:sz w:val="15"/>
              </w:rPr>
              <w:t>67</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81"/>
              <w:jc w:val="right"/>
              <w:rPr>
                <w:rFonts w:ascii="宋体" w:hAnsi="宋体" w:cs="宋体" w:eastAsia="宋体" w:hint="default"/>
                <w:sz w:val="15"/>
                <w:szCs w:val="15"/>
              </w:rPr>
            </w:pPr>
            <w:r>
              <w:rPr>
                <w:rFonts w:ascii="宋体" w:hAnsi="宋体" w:cs="宋体" w:eastAsia="宋体" w:hint="default"/>
                <w:sz w:val="15"/>
                <w:szCs w:val="15"/>
              </w:rPr>
              <w:t>2009</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4</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28</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1"/>
                <w:sz w:val="15"/>
                <w:szCs w:val="15"/>
              </w:rPr>
              <w:t>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宋体" w:hAnsi="宋体" w:cs="宋体" w:eastAsia="宋体" w:hint="default"/>
                <w:sz w:val="15"/>
                <w:szCs w:val="15"/>
              </w:rPr>
              <w:t>5</w:t>
            </w:r>
            <w:r>
              <w:rPr>
                <w:rFonts w:ascii="宋体" w:hAnsi="宋体" w:cs="宋体" w:eastAsia="宋体" w:hint="default"/>
                <w:spacing w:val="-40"/>
                <w:sz w:val="15"/>
                <w:szCs w:val="15"/>
              </w:rPr>
              <w:t> </w:t>
            </w:r>
            <w:r>
              <w:rPr>
                <w:rFonts w:ascii="宋体" w:hAnsi="宋体" w:cs="宋体" w:eastAsia="宋体" w:hint="default"/>
                <w:sz w:val="15"/>
                <w:szCs w:val="15"/>
              </w:rPr>
              <w:t>月</w:t>
            </w:r>
            <w:r>
              <w:rPr>
                <w:rFonts w:ascii="宋体" w:hAnsi="宋体" w:cs="宋体" w:eastAsia="宋体" w:hint="default"/>
                <w:spacing w:val="-41"/>
                <w:sz w:val="15"/>
                <w:szCs w:val="15"/>
              </w:rPr>
              <w:t> </w:t>
            </w:r>
            <w:r>
              <w:rPr>
                <w:rFonts w:ascii="宋体" w:hAnsi="宋体" w:cs="宋体" w:eastAsia="宋体" w:hint="default"/>
                <w:sz w:val="15"/>
                <w:szCs w:val="15"/>
              </w:rPr>
              <w:t>29</w:t>
            </w:r>
            <w:r>
              <w:rPr>
                <w:rFonts w:ascii="宋体" w:hAnsi="宋体" w:cs="宋体" w:eastAsia="宋体" w:hint="default"/>
                <w:spacing w:val="-40"/>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00"/>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02"/>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宋体" w:hAnsi="宋体" w:cs="宋体" w:eastAsia="宋体" w:hint="default"/>
                <w:sz w:val="15"/>
                <w:szCs w:val="15"/>
              </w:rPr>
            </w:pPr>
            <w:r>
              <w:rPr>
                <w:rFonts w:ascii="宋体"/>
                <w:sz w:val="15"/>
              </w:rPr>
              <w:t>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278" w:right="0"/>
              <w:jc w:val="left"/>
              <w:rPr>
                <w:rFonts w:ascii="宋体" w:hAnsi="宋体" w:cs="宋体" w:eastAsia="宋体" w:hint="default"/>
                <w:sz w:val="15"/>
                <w:szCs w:val="15"/>
              </w:rPr>
            </w:pPr>
            <w:r>
              <w:rPr>
                <w:rFonts w:ascii="宋体" w:hAnsi="宋体" w:cs="宋体" w:eastAsia="宋体" w:hint="default"/>
                <w:sz w:val="15"/>
                <w:szCs w:val="15"/>
              </w:rPr>
              <w:t>是</w:t>
            </w:r>
          </w:p>
        </w:tc>
      </w:tr>
      <w:tr>
        <w:trPr>
          <w:trHeight w:val="210"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吕建</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1" w:right="0"/>
              <w:jc w:val="left"/>
              <w:rPr>
                <w:rFonts w:ascii="宋体" w:hAnsi="宋体" w:cs="宋体" w:eastAsia="宋体" w:hint="default"/>
                <w:sz w:val="15"/>
                <w:szCs w:val="15"/>
              </w:rPr>
            </w:pPr>
            <w:r>
              <w:rPr>
                <w:rFonts w:ascii="宋体" w:hAnsi="宋体" w:cs="宋体" w:eastAsia="宋体" w:hint="default"/>
                <w:sz w:val="15"/>
                <w:szCs w:val="15"/>
              </w:rPr>
              <w:t>独立董事</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56"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79" w:right="0"/>
              <w:jc w:val="left"/>
              <w:rPr>
                <w:rFonts w:ascii="宋体" w:hAnsi="宋体" w:cs="宋体" w:eastAsia="宋体" w:hint="default"/>
                <w:sz w:val="15"/>
                <w:szCs w:val="15"/>
              </w:rPr>
            </w:pPr>
            <w:r>
              <w:rPr>
                <w:rFonts w:ascii="宋体"/>
                <w:sz w:val="15"/>
              </w:rPr>
              <w:t>50</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80"/>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30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29</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z w:val="15"/>
              </w:rPr>
              <w:t>5.00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80"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209"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方红星</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1" w:right="0"/>
              <w:jc w:val="left"/>
              <w:rPr>
                <w:rFonts w:ascii="宋体" w:hAnsi="宋体" w:cs="宋体" w:eastAsia="宋体" w:hint="default"/>
                <w:sz w:val="15"/>
                <w:szCs w:val="15"/>
              </w:rPr>
            </w:pPr>
            <w:r>
              <w:rPr>
                <w:rFonts w:ascii="宋体" w:hAnsi="宋体" w:cs="宋体" w:eastAsia="宋体" w:hint="default"/>
                <w:sz w:val="15"/>
                <w:szCs w:val="15"/>
              </w:rPr>
              <w:t>独立董事</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56"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79" w:right="0"/>
              <w:jc w:val="left"/>
              <w:rPr>
                <w:rFonts w:ascii="宋体" w:hAnsi="宋体" w:cs="宋体" w:eastAsia="宋体" w:hint="default"/>
                <w:sz w:val="15"/>
                <w:szCs w:val="15"/>
              </w:rPr>
            </w:pPr>
            <w:r>
              <w:rPr>
                <w:rFonts w:ascii="宋体"/>
                <w:sz w:val="15"/>
              </w:rPr>
              <w:t>38</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81"/>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30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宋体" w:hAnsi="宋体" w:cs="宋体" w:eastAsia="宋体" w:hint="default"/>
                <w:sz w:val="15"/>
                <w:szCs w:val="15"/>
              </w:rPr>
              <w:t>29</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5.00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80"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210"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薛澜</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1" w:right="0"/>
              <w:jc w:val="left"/>
              <w:rPr>
                <w:rFonts w:ascii="宋体" w:hAnsi="宋体" w:cs="宋体" w:eastAsia="宋体" w:hint="default"/>
                <w:sz w:val="15"/>
                <w:szCs w:val="15"/>
              </w:rPr>
            </w:pPr>
            <w:r>
              <w:rPr>
                <w:rFonts w:ascii="宋体" w:hAnsi="宋体" w:cs="宋体" w:eastAsia="宋体" w:hint="default"/>
                <w:sz w:val="15"/>
                <w:szCs w:val="15"/>
              </w:rPr>
              <w:t>独立董事</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56"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79" w:right="0"/>
              <w:jc w:val="left"/>
              <w:rPr>
                <w:rFonts w:ascii="宋体" w:hAnsi="宋体" w:cs="宋体" w:eastAsia="宋体" w:hint="default"/>
                <w:sz w:val="15"/>
                <w:szCs w:val="15"/>
              </w:rPr>
            </w:pPr>
            <w:r>
              <w:rPr>
                <w:rFonts w:ascii="宋体"/>
                <w:sz w:val="15"/>
              </w:rPr>
              <w:t>51</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80"/>
              <w:jc w:val="right"/>
              <w:rPr>
                <w:rFonts w:ascii="宋体" w:hAnsi="宋体" w:cs="宋体" w:eastAsia="宋体" w:hint="default"/>
                <w:sz w:val="15"/>
                <w:szCs w:val="15"/>
              </w:rPr>
            </w:pPr>
            <w:r>
              <w:rPr>
                <w:rFonts w:ascii="宋体" w:hAnsi="宋体" w:cs="宋体" w:eastAsia="宋体" w:hint="default"/>
                <w:sz w:val="15"/>
                <w:szCs w:val="15"/>
              </w:rPr>
              <w:t>2009</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8</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27</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29</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z w:val="15"/>
              </w:rPr>
              <w:t>5.00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80"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209"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涂赣峰</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1" w:right="0"/>
              <w:jc w:val="left"/>
              <w:rPr>
                <w:rFonts w:ascii="宋体" w:hAnsi="宋体" w:cs="宋体" w:eastAsia="宋体" w:hint="default"/>
                <w:sz w:val="15"/>
                <w:szCs w:val="15"/>
              </w:rPr>
            </w:pPr>
            <w:r>
              <w:rPr>
                <w:rFonts w:ascii="宋体" w:hAnsi="宋体" w:cs="宋体" w:eastAsia="宋体" w:hint="default"/>
                <w:sz w:val="15"/>
                <w:szCs w:val="15"/>
              </w:rPr>
              <w:t>监事长</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56"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79" w:right="0"/>
              <w:jc w:val="left"/>
              <w:rPr>
                <w:rFonts w:ascii="宋体" w:hAnsi="宋体" w:cs="宋体" w:eastAsia="宋体" w:hint="default"/>
                <w:sz w:val="15"/>
                <w:szCs w:val="15"/>
              </w:rPr>
            </w:pPr>
            <w:r>
              <w:rPr>
                <w:rFonts w:ascii="宋体"/>
                <w:sz w:val="15"/>
              </w:rPr>
              <w:t>46</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80"/>
              <w:jc w:val="right"/>
              <w:rPr>
                <w:rFonts w:ascii="宋体" w:hAnsi="宋体" w:cs="宋体" w:eastAsia="宋体" w:hint="default"/>
                <w:sz w:val="15"/>
                <w:szCs w:val="15"/>
              </w:rPr>
            </w:pPr>
            <w:r>
              <w:rPr>
                <w:rFonts w:ascii="宋体" w:hAnsi="宋体" w:cs="宋体" w:eastAsia="宋体" w:hint="default"/>
                <w:sz w:val="15"/>
                <w:szCs w:val="15"/>
              </w:rPr>
              <w:t>2009</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8</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27</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29</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80" w:right="0"/>
              <w:jc w:val="left"/>
              <w:rPr>
                <w:rFonts w:ascii="宋体" w:hAnsi="宋体" w:cs="宋体" w:eastAsia="宋体" w:hint="default"/>
                <w:sz w:val="15"/>
                <w:szCs w:val="15"/>
              </w:rPr>
            </w:pPr>
            <w:r>
              <w:rPr>
                <w:rFonts w:ascii="宋体" w:hAnsi="宋体" w:cs="宋体" w:eastAsia="宋体" w:hint="default"/>
                <w:sz w:val="15"/>
                <w:szCs w:val="15"/>
              </w:rPr>
              <w:t>是</w:t>
            </w:r>
          </w:p>
        </w:tc>
      </w:tr>
      <w:tr>
        <w:trPr>
          <w:trHeight w:val="210"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春名基</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1"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56"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79" w:right="0"/>
              <w:jc w:val="left"/>
              <w:rPr>
                <w:rFonts w:ascii="宋体" w:hAnsi="宋体" w:cs="宋体" w:eastAsia="宋体" w:hint="default"/>
                <w:sz w:val="15"/>
                <w:szCs w:val="15"/>
              </w:rPr>
            </w:pPr>
            <w:r>
              <w:rPr>
                <w:rFonts w:ascii="宋体"/>
                <w:sz w:val="15"/>
              </w:rPr>
              <w:t>61</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82"/>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30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29</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80" w:right="0"/>
              <w:jc w:val="left"/>
              <w:rPr>
                <w:rFonts w:ascii="宋体" w:hAnsi="宋体" w:cs="宋体" w:eastAsia="宋体" w:hint="default"/>
                <w:sz w:val="15"/>
                <w:szCs w:val="15"/>
              </w:rPr>
            </w:pPr>
            <w:r>
              <w:rPr>
                <w:rFonts w:ascii="宋体" w:hAnsi="宋体" w:cs="宋体" w:eastAsia="宋体" w:hint="default"/>
                <w:sz w:val="15"/>
                <w:szCs w:val="15"/>
              </w:rPr>
              <w:t>是</w:t>
            </w:r>
          </w:p>
        </w:tc>
      </w:tr>
      <w:tr>
        <w:trPr>
          <w:trHeight w:val="210"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黄孔威</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1"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56"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79" w:right="0"/>
              <w:jc w:val="left"/>
              <w:rPr>
                <w:rFonts w:ascii="宋体" w:hAnsi="宋体" w:cs="宋体" w:eastAsia="宋体" w:hint="default"/>
                <w:sz w:val="15"/>
                <w:szCs w:val="15"/>
              </w:rPr>
            </w:pPr>
            <w:r>
              <w:rPr>
                <w:rFonts w:ascii="宋体"/>
                <w:sz w:val="15"/>
              </w:rPr>
              <w:t>44</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82"/>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30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29</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80" w:right="0"/>
              <w:jc w:val="left"/>
              <w:rPr>
                <w:rFonts w:ascii="宋体" w:hAnsi="宋体" w:cs="宋体" w:eastAsia="宋体" w:hint="default"/>
                <w:sz w:val="15"/>
                <w:szCs w:val="15"/>
              </w:rPr>
            </w:pPr>
            <w:r>
              <w:rPr>
                <w:rFonts w:ascii="宋体" w:hAnsi="宋体" w:cs="宋体" w:eastAsia="宋体" w:hint="default"/>
                <w:sz w:val="15"/>
                <w:szCs w:val="15"/>
              </w:rPr>
              <w:t>是</w:t>
            </w:r>
          </w:p>
        </w:tc>
      </w:tr>
      <w:tr>
        <w:trPr>
          <w:trHeight w:val="209"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徐庆荣</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56" w:right="0"/>
              <w:jc w:val="left"/>
              <w:rPr>
                <w:rFonts w:ascii="宋体" w:hAnsi="宋体" w:cs="宋体" w:eastAsia="宋体" w:hint="default"/>
                <w:sz w:val="15"/>
                <w:szCs w:val="15"/>
              </w:rPr>
            </w:pPr>
            <w:r>
              <w:rPr>
                <w:rFonts w:ascii="宋体" w:hAnsi="宋体" w:cs="宋体" w:eastAsia="宋体" w:hint="default"/>
                <w:sz w:val="15"/>
                <w:szCs w:val="15"/>
              </w:rPr>
              <w:t>女</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78" w:right="0"/>
              <w:jc w:val="left"/>
              <w:rPr>
                <w:rFonts w:ascii="宋体" w:hAnsi="宋体" w:cs="宋体" w:eastAsia="宋体" w:hint="default"/>
                <w:sz w:val="15"/>
                <w:szCs w:val="15"/>
              </w:rPr>
            </w:pPr>
            <w:r>
              <w:rPr>
                <w:rFonts w:ascii="宋体"/>
                <w:sz w:val="15"/>
              </w:rPr>
              <w:t>40</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82"/>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30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宋体" w:hAnsi="宋体" w:cs="宋体" w:eastAsia="宋体" w:hint="default"/>
                <w:sz w:val="15"/>
                <w:szCs w:val="15"/>
              </w:rPr>
              <w:t>29</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1"/>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2"/>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z w:val="15"/>
              </w:rPr>
              <w:t>24.20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79"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210"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张红</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1"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57" w:right="0"/>
              <w:jc w:val="left"/>
              <w:rPr>
                <w:rFonts w:ascii="宋体" w:hAnsi="宋体" w:cs="宋体" w:eastAsia="宋体" w:hint="default"/>
                <w:sz w:val="15"/>
                <w:szCs w:val="15"/>
              </w:rPr>
            </w:pPr>
            <w:r>
              <w:rPr>
                <w:rFonts w:ascii="宋体" w:hAnsi="宋体" w:cs="宋体" w:eastAsia="宋体" w:hint="default"/>
                <w:sz w:val="15"/>
                <w:szCs w:val="15"/>
              </w:rPr>
              <w:t>女</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80" w:right="0"/>
              <w:jc w:val="left"/>
              <w:rPr>
                <w:rFonts w:ascii="宋体" w:hAnsi="宋体" w:cs="宋体" w:eastAsia="宋体" w:hint="default"/>
                <w:sz w:val="15"/>
                <w:szCs w:val="15"/>
              </w:rPr>
            </w:pPr>
            <w:r>
              <w:rPr>
                <w:rFonts w:ascii="宋体"/>
                <w:sz w:val="15"/>
              </w:rPr>
              <w:t>39</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80"/>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30</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1"/>
                <w:sz w:val="15"/>
                <w:szCs w:val="15"/>
              </w:rPr>
              <w:t>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宋体" w:hAnsi="宋体" w:cs="宋体" w:eastAsia="宋体" w:hint="default"/>
                <w:sz w:val="15"/>
                <w:szCs w:val="15"/>
              </w:rPr>
              <w:t>5</w:t>
            </w:r>
            <w:r>
              <w:rPr>
                <w:rFonts w:ascii="宋体" w:hAnsi="宋体" w:cs="宋体" w:eastAsia="宋体" w:hint="default"/>
                <w:spacing w:val="-40"/>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宋体" w:hAnsi="宋体" w:cs="宋体" w:eastAsia="宋体" w:hint="default"/>
                <w:sz w:val="15"/>
                <w:szCs w:val="15"/>
              </w:rPr>
              <w:t>29</w:t>
            </w:r>
            <w:r>
              <w:rPr>
                <w:rFonts w:ascii="宋体" w:hAnsi="宋体" w:cs="宋体" w:eastAsia="宋体" w:hint="default"/>
                <w:spacing w:val="-40"/>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27.70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81"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404"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00" w:right="0"/>
              <w:jc w:val="left"/>
              <w:rPr>
                <w:rFonts w:ascii="宋体" w:hAnsi="宋体" w:cs="宋体" w:eastAsia="宋体" w:hint="default"/>
                <w:sz w:val="15"/>
                <w:szCs w:val="15"/>
              </w:rPr>
            </w:pPr>
            <w:r>
              <w:rPr>
                <w:rFonts w:ascii="宋体" w:hAnsi="宋体" w:cs="宋体" w:eastAsia="宋体" w:hint="default"/>
                <w:sz w:val="15"/>
                <w:szCs w:val="15"/>
              </w:rPr>
              <w:t>陈锡民</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高级副总裁兼</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首席运营官</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55"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78" w:right="0"/>
              <w:jc w:val="left"/>
              <w:rPr>
                <w:rFonts w:ascii="宋体" w:hAnsi="宋体" w:cs="宋体" w:eastAsia="宋体" w:hint="default"/>
                <w:sz w:val="15"/>
                <w:szCs w:val="15"/>
              </w:rPr>
            </w:pPr>
            <w:r>
              <w:rPr>
                <w:rFonts w:ascii="宋体"/>
                <w:sz w:val="15"/>
              </w:rPr>
              <w:t>41</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80"/>
              <w:jc w:val="right"/>
              <w:rPr>
                <w:rFonts w:ascii="宋体" w:hAnsi="宋体" w:cs="宋体" w:eastAsia="宋体" w:hint="default"/>
                <w:sz w:val="15"/>
                <w:szCs w:val="15"/>
              </w:rPr>
            </w:pPr>
            <w:r>
              <w:rPr>
                <w:rFonts w:ascii="宋体" w:hAnsi="宋体" w:cs="宋体" w:eastAsia="宋体" w:hint="default"/>
                <w:sz w:val="15"/>
                <w:szCs w:val="15"/>
              </w:rPr>
              <w:t>2009</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8</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10</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1"/>
                <w:sz w:val="15"/>
                <w:szCs w:val="15"/>
              </w:rPr>
              <w:t>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宋体" w:hAnsi="宋体" w:cs="宋体" w:eastAsia="宋体" w:hint="default"/>
                <w:sz w:val="15"/>
                <w:szCs w:val="15"/>
              </w:rPr>
              <w:t>5</w:t>
            </w:r>
            <w:r>
              <w:rPr>
                <w:rFonts w:ascii="宋体" w:hAnsi="宋体" w:cs="宋体" w:eastAsia="宋体" w:hint="default"/>
                <w:spacing w:val="-40"/>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宋体" w:hAnsi="宋体" w:cs="宋体" w:eastAsia="宋体" w:hint="default"/>
                <w:sz w:val="15"/>
                <w:szCs w:val="15"/>
              </w:rPr>
              <w:t>29</w:t>
            </w:r>
            <w:r>
              <w:rPr>
                <w:rFonts w:ascii="宋体" w:hAnsi="宋体" w:cs="宋体" w:eastAsia="宋体" w:hint="default"/>
                <w:spacing w:val="-40"/>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00"/>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68.00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281"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209"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卢朝霞</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高级副总裁</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56" w:right="0"/>
              <w:jc w:val="left"/>
              <w:rPr>
                <w:rFonts w:ascii="宋体" w:hAnsi="宋体" w:cs="宋体" w:eastAsia="宋体" w:hint="default"/>
                <w:sz w:val="15"/>
                <w:szCs w:val="15"/>
              </w:rPr>
            </w:pPr>
            <w:r>
              <w:rPr>
                <w:rFonts w:ascii="宋体" w:hAnsi="宋体" w:cs="宋体" w:eastAsia="宋体" w:hint="default"/>
                <w:sz w:val="15"/>
                <w:szCs w:val="15"/>
              </w:rPr>
              <w:t>女</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79" w:right="0"/>
              <w:jc w:val="left"/>
              <w:rPr>
                <w:rFonts w:ascii="宋体" w:hAnsi="宋体" w:cs="宋体" w:eastAsia="宋体" w:hint="default"/>
                <w:sz w:val="15"/>
                <w:szCs w:val="15"/>
              </w:rPr>
            </w:pPr>
            <w:r>
              <w:rPr>
                <w:rFonts w:ascii="宋体"/>
                <w:sz w:val="15"/>
              </w:rPr>
              <w:t>53</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81"/>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30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29</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17,134</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z w:val="15"/>
              </w:rPr>
              <w:t>17,134</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6"/>
              <w:jc w:val="right"/>
              <w:rPr>
                <w:rFonts w:ascii="宋体" w:hAnsi="宋体" w:cs="宋体" w:eastAsia="宋体" w:hint="default"/>
                <w:sz w:val="15"/>
                <w:szCs w:val="15"/>
              </w:rPr>
            </w:pPr>
            <w:r>
              <w:rPr>
                <w:rFonts w:ascii="宋体"/>
                <w:sz w:val="15"/>
              </w:rPr>
              <w:t>66.00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82"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404"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00" w:right="0"/>
              <w:jc w:val="left"/>
              <w:rPr>
                <w:rFonts w:ascii="宋体" w:hAnsi="宋体" w:cs="宋体" w:eastAsia="宋体" w:hint="default"/>
                <w:sz w:val="15"/>
                <w:szCs w:val="15"/>
              </w:rPr>
            </w:pPr>
            <w:r>
              <w:rPr>
                <w:rFonts w:ascii="宋体" w:hAnsi="宋体" w:cs="宋体" w:eastAsia="宋体" w:hint="default"/>
                <w:sz w:val="15"/>
                <w:szCs w:val="15"/>
              </w:rPr>
              <w:t>张霞</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高级副总裁兼首席技</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术官、首席知识官</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55" w:right="0"/>
              <w:jc w:val="left"/>
              <w:rPr>
                <w:rFonts w:ascii="宋体" w:hAnsi="宋体" w:cs="宋体" w:eastAsia="宋体" w:hint="default"/>
                <w:sz w:val="15"/>
                <w:szCs w:val="15"/>
              </w:rPr>
            </w:pPr>
            <w:r>
              <w:rPr>
                <w:rFonts w:ascii="宋体" w:hAnsi="宋体" w:cs="宋体" w:eastAsia="宋体" w:hint="default"/>
                <w:sz w:val="15"/>
                <w:szCs w:val="15"/>
              </w:rPr>
              <w:t>女</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78" w:right="0"/>
              <w:jc w:val="left"/>
              <w:rPr>
                <w:rFonts w:ascii="宋体" w:hAnsi="宋体" w:cs="宋体" w:eastAsia="宋体" w:hint="default"/>
                <w:sz w:val="15"/>
                <w:szCs w:val="15"/>
              </w:rPr>
            </w:pPr>
            <w:r>
              <w:rPr>
                <w:rFonts w:ascii="宋体"/>
                <w:sz w:val="15"/>
              </w:rPr>
              <w:t>45</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80"/>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30</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1"/>
                <w:sz w:val="15"/>
                <w:szCs w:val="15"/>
              </w:rPr>
              <w:t>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宋体" w:hAnsi="宋体" w:cs="宋体" w:eastAsia="宋体" w:hint="default"/>
                <w:sz w:val="15"/>
                <w:szCs w:val="15"/>
              </w:rPr>
              <w:t>5</w:t>
            </w:r>
            <w:r>
              <w:rPr>
                <w:rFonts w:ascii="宋体" w:hAnsi="宋体" w:cs="宋体" w:eastAsia="宋体" w:hint="default"/>
                <w:spacing w:val="-40"/>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宋体" w:hAnsi="宋体" w:cs="宋体" w:eastAsia="宋体" w:hint="default"/>
                <w:sz w:val="15"/>
                <w:szCs w:val="15"/>
              </w:rPr>
              <w:t>29</w:t>
            </w:r>
            <w:r>
              <w:rPr>
                <w:rFonts w:ascii="宋体" w:hAnsi="宋体" w:cs="宋体" w:eastAsia="宋体" w:hint="default"/>
                <w:spacing w:val="-40"/>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00"/>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57.20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281"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209"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王经锡</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1" w:right="0"/>
              <w:jc w:val="left"/>
              <w:rPr>
                <w:rFonts w:ascii="宋体" w:hAnsi="宋体" w:cs="宋体" w:eastAsia="宋体" w:hint="default"/>
                <w:sz w:val="15"/>
                <w:szCs w:val="15"/>
              </w:rPr>
            </w:pPr>
            <w:r>
              <w:rPr>
                <w:rFonts w:ascii="宋体" w:hAnsi="宋体" w:cs="宋体" w:eastAsia="宋体" w:hint="default"/>
                <w:sz w:val="15"/>
                <w:szCs w:val="15"/>
              </w:rPr>
              <w:t>高级副总裁</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56"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79" w:right="0"/>
              <w:jc w:val="left"/>
              <w:rPr>
                <w:rFonts w:ascii="宋体" w:hAnsi="宋体" w:cs="宋体" w:eastAsia="宋体" w:hint="default"/>
                <w:sz w:val="15"/>
                <w:szCs w:val="15"/>
              </w:rPr>
            </w:pPr>
            <w:r>
              <w:rPr>
                <w:rFonts w:ascii="宋体"/>
                <w:sz w:val="15"/>
              </w:rPr>
              <w:t>41</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80"/>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30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29</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6"/>
              <w:jc w:val="right"/>
              <w:rPr>
                <w:rFonts w:ascii="宋体" w:hAnsi="宋体" w:cs="宋体" w:eastAsia="宋体" w:hint="default"/>
                <w:sz w:val="15"/>
                <w:szCs w:val="15"/>
              </w:rPr>
            </w:pPr>
            <w:r>
              <w:rPr>
                <w:rFonts w:ascii="宋体"/>
                <w:sz w:val="15"/>
              </w:rPr>
              <w:t>50.00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82"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404"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00" w:right="0"/>
              <w:jc w:val="left"/>
              <w:rPr>
                <w:rFonts w:ascii="宋体" w:hAnsi="宋体" w:cs="宋体" w:eastAsia="宋体" w:hint="default"/>
                <w:sz w:val="15"/>
                <w:szCs w:val="15"/>
              </w:rPr>
            </w:pPr>
            <w:r>
              <w:rPr>
                <w:rFonts w:ascii="宋体" w:hAnsi="宋体" w:cs="宋体" w:eastAsia="宋体" w:hint="default"/>
                <w:sz w:val="15"/>
                <w:szCs w:val="15"/>
              </w:rPr>
              <w:t>张晓鸥</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高级副总裁兼</w:t>
            </w:r>
          </w:p>
          <w:p>
            <w:pPr>
              <w:pStyle w:val="TableParagraph"/>
              <w:spacing w:line="196" w:lineRule="exact"/>
              <w:ind w:left="100" w:right="0"/>
              <w:jc w:val="left"/>
              <w:rPr>
                <w:rFonts w:ascii="宋体" w:hAnsi="宋体" w:cs="宋体" w:eastAsia="宋体" w:hint="default"/>
                <w:sz w:val="15"/>
                <w:szCs w:val="15"/>
              </w:rPr>
            </w:pPr>
            <w:r>
              <w:rPr>
                <w:rFonts w:ascii="宋体" w:hAnsi="宋体" w:cs="宋体" w:eastAsia="宋体" w:hint="default"/>
                <w:sz w:val="15"/>
                <w:szCs w:val="15"/>
              </w:rPr>
              <w:t>财务运行官</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55"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78" w:right="0"/>
              <w:jc w:val="left"/>
              <w:rPr>
                <w:rFonts w:ascii="宋体" w:hAnsi="宋体" w:cs="宋体" w:eastAsia="宋体" w:hint="default"/>
                <w:sz w:val="15"/>
                <w:szCs w:val="15"/>
              </w:rPr>
            </w:pPr>
            <w:r>
              <w:rPr>
                <w:rFonts w:ascii="宋体"/>
                <w:sz w:val="15"/>
              </w:rPr>
              <w:t>38</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80"/>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30</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1"/>
                <w:sz w:val="15"/>
                <w:szCs w:val="15"/>
              </w:rPr>
              <w:t>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宋体" w:hAnsi="宋体" w:cs="宋体" w:eastAsia="宋体" w:hint="default"/>
                <w:sz w:val="15"/>
                <w:szCs w:val="15"/>
              </w:rPr>
              <w:t>5</w:t>
            </w:r>
            <w:r>
              <w:rPr>
                <w:rFonts w:ascii="宋体" w:hAnsi="宋体" w:cs="宋体" w:eastAsia="宋体" w:hint="default"/>
                <w:spacing w:val="-40"/>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宋体" w:hAnsi="宋体" w:cs="宋体" w:eastAsia="宋体" w:hint="default"/>
                <w:sz w:val="15"/>
                <w:szCs w:val="15"/>
              </w:rPr>
              <w:t>29</w:t>
            </w:r>
            <w:r>
              <w:rPr>
                <w:rFonts w:ascii="宋体" w:hAnsi="宋体" w:cs="宋体" w:eastAsia="宋体" w:hint="default"/>
                <w:spacing w:val="-40"/>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00"/>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50.00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281"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404"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00" w:right="0"/>
              <w:jc w:val="left"/>
              <w:rPr>
                <w:rFonts w:ascii="宋体" w:hAnsi="宋体" w:cs="宋体" w:eastAsia="宋体" w:hint="default"/>
                <w:sz w:val="15"/>
                <w:szCs w:val="15"/>
              </w:rPr>
            </w:pPr>
            <w:r>
              <w:rPr>
                <w:rFonts w:ascii="宋体" w:hAnsi="宋体" w:cs="宋体" w:eastAsia="宋体" w:hint="default"/>
                <w:sz w:val="15"/>
                <w:szCs w:val="15"/>
              </w:rPr>
              <w:t>王自栋</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高级副总裁兼</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董事会秘书</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55"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78" w:right="0"/>
              <w:jc w:val="left"/>
              <w:rPr>
                <w:rFonts w:ascii="宋体" w:hAnsi="宋体" w:cs="宋体" w:eastAsia="宋体" w:hint="default"/>
                <w:sz w:val="15"/>
                <w:szCs w:val="15"/>
              </w:rPr>
            </w:pPr>
            <w:r>
              <w:rPr>
                <w:rFonts w:ascii="宋体"/>
                <w:sz w:val="15"/>
              </w:rPr>
              <w:t>45</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80"/>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30</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1"/>
                <w:sz w:val="15"/>
                <w:szCs w:val="15"/>
              </w:rPr>
              <w:t>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宋体" w:hAnsi="宋体" w:cs="宋体" w:eastAsia="宋体" w:hint="default"/>
                <w:sz w:val="15"/>
                <w:szCs w:val="15"/>
              </w:rPr>
              <w:t>5</w:t>
            </w:r>
            <w:r>
              <w:rPr>
                <w:rFonts w:ascii="宋体" w:hAnsi="宋体" w:cs="宋体" w:eastAsia="宋体" w:hint="default"/>
                <w:spacing w:val="-40"/>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宋体" w:hAnsi="宋体" w:cs="宋体" w:eastAsia="宋体" w:hint="default"/>
                <w:sz w:val="15"/>
                <w:szCs w:val="15"/>
              </w:rPr>
              <w:t>29</w:t>
            </w:r>
            <w:r>
              <w:rPr>
                <w:rFonts w:ascii="宋体" w:hAnsi="宋体" w:cs="宋体" w:eastAsia="宋体" w:hint="default"/>
                <w:spacing w:val="-40"/>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00"/>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50.00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281"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404"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00" w:right="0"/>
              <w:jc w:val="left"/>
              <w:rPr>
                <w:rFonts w:ascii="宋体" w:hAnsi="宋体" w:cs="宋体" w:eastAsia="宋体" w:hint="default"/>
                <w:sz w:val="15"/>
                <w:szCs w:val="15"/>
              </w:rPr>
            </w:pPr>
            <w:r>
              <w:rPr>
                <w:rFonts w:ascii="宋体" w:hAnsi="宋体" w:cs="宋体" w:eastAsia="宋体" w:hint="default"/>
                <w:sz w:val="15"/>
                <w:szCs w:val="15"/>
              </w:rPr>
              <w:t>李军</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高级副总裁兼</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首席营销官</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55"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78" w:right="0"/>
              <w:jc w:val="left"/>
              <w:rPr>
                <w:rFonts w:ascii="宋体" w:hAnsi="宋体" w:cs="宋体" w:eastAsia="宋体" w:hint="default"/>
                <w:sz w:val="15"/>
                <w:szCs w:val="15"/>
              </w:rPr>
            </w:pPr>
            <w:r>
              <w:rPr>
                <w:rFonts w:ascii="宋体"/>
                <w:sz w:val="15"/>
              </w:rPr>
              <w:t>37</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80"/>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30</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41"/>
                <w:sz w:val="15"/>
                <w:szCs w:val="15"/>
              </w:rPr>
              <w:t>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宋体" w:hAnsi="宋体" w:cs="宋体" w:eastAsia="宋体" w:hint="default"/>
                <w:sz w:val="15"/>
                <w:szCs w:val="15"/>
              </w:rPr>
              <w:t>5</w:t>
            </w:r>
            <w:r>
              <w:rPr>
                <w:rFonts w:ascii="宋体" w:hAnsi="宋体" w:cs="宋体" w:eastAsia="宋体" w:hint="default"/>
                <w:spacing w:val="-40"/>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宋体" w:hAnsi="宋体" w:cs="宋体" w:eastAsia="宋体" w:hint="default"/>
                <w:sz w:val="15"/>
                <w:szCs w:val="15"/>
              </w:rPr>
              <w:t>29</w:t>
            </w:r>
            <w:r>
              <w:rPr>
                <w:rFonts w:ascii="宋体" w:hAnsi="宋体" w:cs="宋体" w:eastAsia="宋体" w:hint="default"/>
                <w:spacing w:val="-40"/>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00"/>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pacing w:val="-1"/>
                <w:sz w:val="15"/>
              </w:rPr>
              <w:t>50.00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281"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403"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沓泽虔</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太郎</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00" w:right="0"/>
              <w:jc w:val="left"/>
              <w:rPr>
                <w:rFonts w:ascii="宋体" w:hAnsi="宋体" w:cs="宋体" w:eastAsia="宋体" w:hint="default"/>
                <w:sz w:val="15"/>
                <w:szCs w:val="15"/>
              </w:rPr>
            </w:pPr>
            <w:r>
              <w:rPr>
                <w:rFonts w:ascii="宋体" w:hAnsi="宋体" w:cs="宋体" w:eastAsia="宋体" w:hint="default"/>
                <w:sz w:val="15"/>
                <w:szCs w:val="15"/>
              </w:rPr>
              <w:t>原副董事长</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56"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79" w:right="0"/>
              <w:jc w:val="left"/>
              <w:rPr>
                <w:rFonts w:ascii="宋体" w:hAnsi="宋体" w:cs="宋体" w:eastAsia="宋体" w:hint="default"/>
                <w:sz w:val="15"/>
                <w:szCs w:val="15"/>
              </w:rPr>
            </w:pPr>
            <w:r>
              <w:rPr>
                <w:rFonts w:ascii="宋体"/>
                <w:sz w:val="15"/>
              </w:rPr>
              <w:t>80</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80"/>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30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 w:right="0"/>
              <w:jc w:val="center"/>
              <w:rPr>
                <w:rFonts w:ascii="宋体" w:hAnsi="宋体" w:cs="宋体" w:eastAsia="宋体" w:hint="default"/>
                <w:sz w:val="15"/>
                <w:szCs w:val="15"/>
              </w:rPr>
            </w:pPr>
            <w:r>
              <w:rPr>
                <w:rFonts w:ascii="宋体" w:hAnsi="宋体" w:cs="宋体" w:eastAsia="宋体" w:hint="default"/>
                <w:sz w:val="15"/>
                <w:szCs w:val="15"/>
              </w:rPr>
              <w:t>2009</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宋体" w:hAnsi="宋体" w:cs="宋体" w:eastAsia="宋体" w:hint="default"/>
                <w:sz w:val="15"/>
                <w:szCs w:val="15"/>
              </w:rPr>
              <w:t>4</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14</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宋体" w:hAnsi="宋体" w:cs="宋体" w:eastAsia="宋体" w:hint="default"/>
                <w:sz w:val="15"/>
                <w:szCs w:val="15"/>
              </w:rPr>
            </w:pPr>
            <w:r>
              <w:rPr>
                <w:rFonts w:ascii="宋体"/>
                <w:sz w:val="15"/>
              </w:rPr>
              <w:t>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281" w:right="0"/>
              <w:jc w:val="left"/>
              <w:rPr>
                <w:rFonts w:ascii="宋体" w:hAnsi="宋体" w:cs="宋体" w:eastAsia="宋体" w:hint="default"/>
                <w:sz w:val="15"/>
                <w:szCs w:val="15"/>
              </w:rPr>
            </w:pPr>
            <w:r>
              <w:rPr>
                <w:rFonts w:ascii="宋体" w:hAnsi="宋体" w:cs="宋体" w:eastAsia="宋体" w:hint="default"/>
                <w:sz w:val="15"/>
                <w:szCs w:val="15"/>
              </w:rPr>
              <w:t>是</w:t>
            </w:r>
          </w:p>
        </w:tc>
      </w:tr>
      <w:tr>
        <w:trPr>
          <w:trHeight w:val="210"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王宛山</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1" w:right="0"/>
              <w:jc w:val="left"/>
              <w:rPr>
                <w:rFonts w:ascii="宋体" w:hAnsi="宋体" w:cs="宋体" w:eastAsia="宋体" w:hint="default"/>
                <w:sz w:val="15"/>
                <w:szCs w:val="15"/>
              </w:rPr>
            </w:pPr>
            <w:r>
              <w:rPr>
                <w:rFonts w:ascii="宋体" w:hAnsi="宋体" w:cs="宋体" w:eastAsia="宋体" w:hint="default"/>
                <w:sz w:val="15"/>
                <w:szCs w:val="15"/>
              </w:rPr>
              <w:t>原监事长</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56"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79" w:right="0"/>
              <w:jc w:val="left"/>
              <w:rPr>
                <w:rFonts w:ascii="宋体" w:hAnsi="宋体" w:cs="宋体" w:eastAsia="宋体" w:hint="default"/>
                <w:sz w:val="15"/>
                <w:szCs w:val="15"/>
              </w:rPr>
            </w:pPr>
            <w:r>
              <w:rPr>
                <w:rFonts w:ascii="宋体"/>
                <w:sz w:val="15"/>
              </w:rPr>
              <w:t>64</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81"/>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30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0"/>
              <w:jc w:val="center"/>
              <w:rPr>
                <w:rFonts w:ascii="宋体" w:hAnsi="宋体" w:cs="宋体" w:eastAsia="宋体" w:hint="default"/>
                <w:sz w:val="15"/>
                <w:szCs w:val="15"/>
              </w:rPr>
            </w:pPr>
            <w:r>
              <w:rPr>
                <w:rFonts w:ascii="宋体" w:hAnsi="宋体" w:cs="宋体" w:eastAsia="宋体" w:hint="default"/>
                <w:sz w:val="15"/>
                <w:szCs w:val="15"/>
              </w:rPr>
              <w:t>2009</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宋体" w:hAnsi="宋体" w:cs="宋体" w:eastAsia="宋体" w:hint="default"/>
                <w:sz w:val="15"/>
                <w:szCs w:val="15"/>
              </w:rPr>
              <w:t>7</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宋体" w:hAnsi="宋体" w:cs="宋体" w:eastAsia="宋体" w:hint="default"/>
                <w:sz w:val="15"/>
                <w:szCs w:val="15"/>
              </w:rPr>
              <w:t>20</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80" w:right="0"/>
              <w:jc w:val="left"/>
              <w:rPr>
                <w:rFonts w:ascii="宋体" w:hAnsi="宋体" w:cs="宋体" w:eastAsia="宋体" w:hint="default"/>
                <w:sz w:val="15"/>
                <w:szCs w:val="15"/>
              </w:rPr>
            </w:pPr>
            <w:r>
              <w:rPr>
                <w:rFonts w:ascii="宋体" w:hAnsi="宋体" w:cs="宋体" w:eastAsia="宋体" w:hint="default"/>
                <w:sz w:val="15"/>
                <w:szCs w:val="15"/>
              </w:rPr>
              <w:t>是</w:t>
            </w:r>
          </w:p>
        </w:tc>
      </w:tr>
      <w:tr>
        <w:trPr>
          <w:trHeight w:val="210"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怀进鹏</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1" w:right="0"/>
              <w:jc w:val="left"/>
              <w:rPr>
                <w:rFonts w:ascii="宋体" w:hAnsi="宋体" w:cs="宋体" w:eastAsia="宋体" w:hint="default"/>
                <w:sz w:val="15"/>
                <w:szCs w:val="15"/>
              </w:rPr>
            </w:pPr>
            <w:r>
              <w:rPr>
                <w:rFonts w:ascii="宋体" w:hAnsi="宋体" w:cs="宋体" w:eastAsia="宋体" w:hint="default"/>
                <w:sz w:val="15"/>
                <w:szCs w:val="15"/>
              </w:rPr>
              <w:t>原独立董事</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56" w:right="0"/>
              <w:jc w:val="left"/>
              <w:rPr>
                <w:rFonts w:ascii="宋体" w:hAnsi="宋体" w:cs="宋体" w:eastAsia="宋体" w:hint="default"/>
                <w:sz w:val="15"/>
                <w:szCs w:val="15"/>
              </w:rPr>
            </w:pPr>
            <w:r>
              <w:rPr>
                <w:rFonts w:ascii="宋体" w:hAnsi="宋体" w:cs="宋体" w:eastAsia="宋体" w:hint="default"/>
                <w:sz w:val="15"/>
                <w:szCs w:val="15"/>
              </w:rPr>
              <w:t>男</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79" w:right="0"/>
              <w:jc w:val="left"/>
              <w:rPr>
                <w:rFonts w:ascii="宋体" w:hAnsi="宋体" w:cs="宋体" w:eastAsia="宋体" w:hint="default"/>
                <w:sz w:val="15"/>
                <w:szCs w:val="15"/>
              </w:rPr>
            </w:pPr>
            <w:r>
              <w:rPr>
                <w:rFonts w:ascii="宋体"/>
                <w:sz w:val="15"/>
              </w:rPr>
              <w:t>48</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80"/>
              <w:jc w:val="right"/>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30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0"/>
              <w:jc w:val="center"/>
              <w:rPr>
                <w:rFonts w:ascii="宋体" w:hAnsi="宋体" w:cs="宋体" w:eastAsia="宋体" w:hint="default"/>
                <w:sz w:val="15"/>
                <w:szCs w:val="15"/>
              </w:rPr>
            </w:pPr>
            <w:r>
              <w:rPr>
                <w:rFonts w:ascii="宋体" w:hAnsi="宋体" w:cs="宋体" w:eastAsia="宋体" w:hint="default"/>
                <w:sz w:val="15"/>
                <w:szCs w:val="15"/>
              </w:rPr>
              <w:t>2009</w:t>
            </w:r>
            <w:r>
              <w:rPr>
                <w:rFonts w:ascii="宋体" w:hAnsi="宋体" w:cs="宋体" w:eastAsia="宋体" w:hint="default"/>
                <w:spacing w:val="-40"/>
                <w:sz w:val="15"/>
                <w:szCs w:val="15"/>
              </w:rPr>
              <w:t>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宋体" w:hAnsi="宋体" w:cs="宋体" w:eastAsia="宋体" w:hint="default"/>
                <w:sz w:val="15"/>
                <w:szCs w:val="15"/>
              </w:rPr>
              <w:t>8</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宋体" w:hAnsi="宋体" w:cs="宋体" w:eastAsia="宋体" w:hint="default"/>
                <w:sz w:val="15"/>
                <w:szCs w:val="15"/>
              </w:rPr>
              <w:t>27</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9"/>
              <w:jc w:val="right"/>
              <w:rPr>
                <w:rFonts w:ascii="宋体" w:hAnsi="宋体" w:cs="宋体" w:eastAsia="宋体" w:hint="default"/>
                <w:sz w:val="15"/>
                <w:szCs w:val="15"/>
              </w:rPr>
            </w:pPr>
            <w:r>
              <w:rPr>
                <w:rFonts w:ascii="宋体"/>
                <w:sz w:val="15"/>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00"/>
              <w:jc w:val="right"/>
              <w:rPr>
                <w:rFonts w:ascii="宋体" w:hAnsi="宋体" w:cs="宋体" w:eastAsia="宋体" w:hint="default"/>
                <w:sz w:val="15"/>
                <w:szCs w:val="15"/>
              </w:rPr>
            </w:pPr>
            <w:r>
              <w:rPr>
                <w:rFonts w:ascii="宋体"/>
                <w:sz w:val="15"/>
              </w:rPr>
              <w:t>0</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8"/>
              <w:jc w:val="right"/>
              <w:rPr>
                <w:rFonts w:ascii="宋体" w:hAnsi="宋体" w:cs="宋体" w:eastAsia="宋体" w:hint="default"/>
                <w:sz w:val="15"/>
                <w:szCs w:val="15"/>
              </w:rPr>
            </w:pPr>
            <w:r>
              <w:rPr>
                <w:rFonts w:ascii="宋体"/>
                <w:sz w:val="15"/>
              </w:rPr>
              <w:t>0</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80" w:right="0"/>
              <w:jc w:val="left"/>
              <w:rPr>
                <w:rFonts w:ascii="宋体" w:hAnsi="宋体" w:cs="宋体" w:eastAsia="宋体" w:hint="default"/>
                <w:sz w:val="15"/>
                <w:szCs w:val="15"/>
              </w:rPr>
            </w:pPr>
            <w:r>
              <w:rPr>
                <w:rFonts w:ascii="宋体" w:hAnsi="宋体" w:cs="宋体" w:eastAsia="宋体" w:hint="default"/>
                <w:sz w:val="15"/>
                <w:szCs w:val="15"/>
              </w:rPr>
              <w:t>否</w:t>
            </w:r>
          </w:p>
        </w:tc>
      </w:tr>
      <w:tr>
        <w:trPr>
          <w:trHeight w:val="210" w:hRule="exact"/>
        </w:trPr>
        <w:tc>
          <w:tcPr>
            <w:tcW w:w="721"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1"/>
              <w:jc w:val="right"/>
              <w:rPr>
                <w:rFonts w:ascii="宋体" w:hAnsi="宋体" w:cs="宋体" w:eastAsia="宋体" w:hint="default"/>
                <w:sz w:val="15"/>
                <w:szCs w:val="15"/>
              </w:rPr>
            </w:pPr>
            <w:r>
              <w:rPr>
                <w:rFonts w:ascii="宋体" w:hAnsi="宋体" w:cs="宋体" w:eastAsia="宋体" w:hint="default"/>
                <w:sz w:val="15"/>
                <w:szCs w:val="15"/>
              </w:rPr>
              <w:t>合计</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 w:right="0"/>
              <w:jc w:val="center"/>
              <w:rPr>
                <w:rFonts w:ascii="宋体" w:hAnsi="宋体" w:cs="宋体" w:eastAsia="宋体" w:hint="default"/>
                <w:sz w:val="15"/>
                <w:szCs w:val="15"/>
              </w:rPr>
            </w:pPr>
            <w:r>
              <w:rPr>
                <w:rFonts w:ascii="宋体"/>
                <w:sz w:val="15"/>
              </w:rPr>
              <w:t>/</w:t>
            </w:r>
          </w:p>
        </w:tc>
        <w:tc>
          <w:tcPr>
            <w:tcW w:w="47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94" w:right="0"/>
              <w:jc w:val="left"/>
              <w:rPr>
                <w:rFonts w:ascii="宋体" w:hAnsi="宋体" w:cs="宋体" w:eastAsia="宋体" w:hint="default"/>
                <w:sz w:val="15"/>
                <w:szCs w:val="15"/>
              </w:rPr>
            </w:pPr>
            <w:r>
              <w:rPr>
                <w:rFonts w:ascii="宋体"/>
                <w:sz w:val="15"/>
              </w:rPr>
              <w:t>/</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218" w:right="0"/>
              <w:jc w:val="left"/>
              <w:rPr>
                <w:rFonts w:ascii="宋体" w:hAnsi="宋体" w:cs="宋体" w:eastAsia="宋体" w:hint="default"/>
                <w:sz w:val="15"/>
                <w:szCs w:val="15"/>
              </w:rPr>
            </w:pPr>
            <w:r>
              <w:rPr>
                <w:rFonts w:ascii="宋体"/>
                <w:sz w:val="15"/>
              </w:rPr>
              <w:t>/</w:t>
            </w:r>
          </w:p>
        </w:tc>
        <w:tc>
          <w:tcPr>
            <w:tcW w:w="146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0"/>
              <w:jc w:val="center"/>
              <w:rPr>
                <w:rFonts w:ascii="宋体" w:hAnsi="宋体" w:cs="宋体" w:eastAsia="宋体" w:hint="default"/>
                <w:sz w:val="15"/>
                <w:szCs w:val="15"/>
              </w:rPr>
            </w:pPr>
            <w:r>
              <w:rPr>
                <w:rFonts w:ascii="宋体"/>
                <w:sz w:val="15"/>
              </w:rPr>
              <w:t>/</w:t>
            </w:r>
          </w:p>
        </w:tc>
        <w:tc>
          <w:tcPr>
            <w:tcW w:w="136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0"/>
              <w:jc w:val="center"/>
              <w:rPr>
                <w:rFonts w:ascii="宋体" w:hAnsi="宋体" w:cs="宋体" w:eastAsia="宋体" w:hint="default"/>
                <w:sz w:val="15"/>
                <w:szCs w:val="15"/>
              </w:rPr>
            </w:pPr>
            <w:r>
              <w:rPr>
                <w:rFonts w:ascii="宋体"/>
                <w:sz w:val="15"/>
              </w:rPr>
              <w:t>/</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0"/>
              <w:jc w:val="center"/>
              <w:rPr>
                <w:rFonts w:ascii="宋体" w:hAnsi="宋体" w:cs="宋体" w:eastAsia="宋体" w:hint="default"/>
                <w:sz w:val="15"/>
                <w:szCs w:val="15"/>
              </w:rPr>
            </w:pPr>
            <w:r>
              <w:rPr>
                <w:rFonts w:ascii="宋体"/>
                <w:sz w:val="15"/>
              </w:rPr>
              <w:t>/</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1"/>
              <w:jc w:val="center"/>
              <w:rPr>
                <w:rFonts w:ascii="宋体" w:hAnsi="宋体" w:cs="宋体" w:eastAsia="宋体" w:hint="default"/>
                <w:sz w:val="15"/>
                <w:szCs w:val="15"/>
              </w:rPr>
            </w:pPr>
            <w:r>
              <w:rPr>
                <w:rFonts w:ascii="宋体"/>
                <w:sz w:val="15"/>
              </w:rPr>
              <w:t>/</w:t>
            </w:r>
          </w:p>
        </w:tc>
        <w:tc>
          <w:tcPr>
            <w:tcW w:w="593" w:type="dxa"/>
            <w:tcBorders>
              <w:top w:val="single" w:sz="6" w:space="0" w:color="000000"/>
              <w:left w:val="single" w:sz="6" w:space="0" w:color="000000"/>
              <w:bottom w:val="single" w:sz="6" w:space="0" w:color="000000"/>
              <w:right w:val="single" w:sz="6" w:space="0" w:color="000000"/>
            </w:tcBorders>
          </w:tcPr>
          <w:p>
            <w:pP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833.15</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318" w:right="0"/>
              <w:jc w:val="left"/>
              <w:rPr>
                <w:rFonts w:ascii="宋体" w:hAnsi="宋体" w:cs="宋体" w:eastAsia="宋体" w:hint="default"/>
                <w:sz w:val="15"/>
                <w:szCs w:val="15"/>
              </w:rPr>
            </w:pPr>
            <w:r>
              <w:rPr>
                <w:rFonts w:ascii="宋体"/>
                <w:sz w:val="15"/>
              </w:rPr>
              <w:t>/</w:t>
            </w:r>
          </w:p>
        </w:tc>
      </w:tr>
    </w:tbl>
    <w:p>
      <w:pPr>
        <w:spacing w:line="240" w:lineRule="auto" w:before="10"/>
        <w:rPr>
          <w:rFonts w:ascii="宋体" w:hAnsi="宋体" w:cs="宋体" w:eastAsia="宋体" w:hint="default"/>
          <w:sz w:val="18"/>
          <w:szCs w:val="18"/>
        </w:rPr>
      </w:pPr>
    </w:p>
    <w:p>
      <w:pPr>
        <w:pStyle w:val="BodyText"/>
        <w:spacing w:line="312" w:lineRule="exact" w:before="26"/>
        <w:ind w:left="560" w:right="0"/>
        <w:jc w:val="both"/>
      </w:pPr>
      <w:r>
        <w:rPr/>
        <w:t>现任董事、监事、高级管理人员最近</w:t>
      </w:r>
      <w:r>
        <w:rPr>
          <w:spacing w:val="-60"/>
        </w:rPr>
        <w:t> </w:t>
      </w:r>
      <w:r>
        <w:rPr/>
        <w:t>5</w:t>
      </w:r>
      <w:r>
        <w:rPr>
          <w:spacing w:val="-60"/>
        </w:rPr>
        <w:t> </w:t>
      </w:r>
      <w:r>
        <w:rPr/>
        <w:t>年的主要工作经历：</w:t>
      </w:r>
    </w:p>
    <w:p>
      <w:pPr>
        <w:pStyle w:val="BodyText"/>
        <w:spacing w:line="237" w:lineRule="auto" w:before="1"/>
        <w:ind w:left="560" w:right="561"/>
        <w:jc w:val="both"/>
      </w:pPr>
      <w:r>
        <w:rPr/>
        <w:t>（1）刘积仁，男，1955</w:t>
      </w:r>
      <w:r>
        <w:rPr>
          <w:spacing w:val="-60"/>
        </w:rPr>
        <w:t> </w:t>
      </w:r>
      <w:r>
        <w:rPr>
          <w:spacing w:val="6"/>
        </w:rPr>
        <w:t>年出生，教授，博士生导师。1993年6</w:t>
      </w:r>
      <w:r>
        <w:rPr>
          <w:spacing w:val="-60"/>
        </w:rPr>
        <w:t> </w:t>
      </w:r>
      <w:r>
        <w:rPr/>
        <w:t>月至</w:t>
      </w:r>
      <w:r>
        <w:rPr>
          <w:spacing w:val="-60"/>
        </w:rPr>
        <w:t> </w:t>
      </w:r>
      <w:r>
        <w:rPr/>
        <w:t>1999</w:t>
      </w:r>
      <w:r>
        <w:rPr>
          <w:spacing w:val="-60"/>
        </w:rPr>
        <w:t> </w:t>
      </w:r>
      <w:r>
        <w:rPr/>
        <w:t>年</w:t>
      </w:r>
      <w:r>
        <w:rPr>
          <w:spacing w:val="-60"/>
        </w:rPr>
        <w:t> </w:t>
      </w:r>
      <w:r>
        <w:rPr/>
        <w:t>8</w:t>
      </w:r>
      <w:r>
        <w:rPr>
          <w:spacing w:val="-60"/>
        </w:rPr>
        <w:t> </w:t>
      </w:r>
      <w:r>
        <w:rPr/>
        <w:t>月任公司</w:t>
      </w:r>
      <w:r>
        <w:rPr/>
        <w:t> 董事、总经理，1999</w:t>
      </w:r>
      <w:r>
        <w:rPr>
          <w:spacing w:val="-60"/>
        </w:rPr>
        <w:t> </w:t>
      </w:r>
      <w:r>
        <w:rPr/>
        <w:t>年</w:t>
      </w:r>
      <w:r>
        <w:rPr>
          <w:spacing w:val="-60"/>
        </w:rPr>
        <w:t> </w:t>
      </w:r>
      <w:r>
        <w:rPr/>
        <w:t>8</w:t>
      </w:r>
      <w:r>
        <w:rPr>
          <w:spacing w:val="-60"/>
        </w:rPr>
        <w:t> </w:t>
      </w:r>
      <w:r>
        <w:rPr/>
        <w:t>月始任公司董事长，现任公司董事长兼首席执行官。现兼任东</w:t>
      </w:r>
      <w:r>
        <w:rPr/>
        <w:t> 北大学副校长、Harman International Industries,Incorporated</w:t>
      </w:r>
      <w:r>
        <w:rPr>
          <w:spacing w:val="-60"/>
        </w:rPr>
        <w:t> </w:t>
      </w:r>
      <w:r>
        <w:rPr/>
        <w:t>董事。曾任东软集团</w:t>
      </w:r>
      <w:r>
        <w:rPr/>
        <w:t> 有限公司董事长、总裁。</w:t>
      </w:r>
    </w:p>
    <w:p>
      <w:pPr>
        <w:pStyle w:val="BodyText"/>
        <w:spacing w:line="237" w:lineRule="auto"/>
        <w:ind w:left="560" w:right="559"/>
        <w:jc w:val="both"/>
      </w:pPr>
      <w:r>
        <w:rPr>
          <w:spacing w:val="-10"/>
        </w:rPr>
        <w:t>（2）王勇峰，男，1970</w:t>
      </w:r>
      <w:r>
        <w:rPr>
          <w:spacing w:val="-57"/>
        </w:rPr>
        <w:t> </w:t>
      </w:r>
      <w:r>
        <w:rPr>
          <w:spacing w:val="3"/>
        </w:rPr>
        <w:t>年出生，硕士。1998年2</w:t>
      </w:r>
      <w:r>
        <w:rPr>
          <w:spacing w:val="-57"/>
        </w:rPr>
        <w:t> </w:t>
      </w:r>
      <w:r>
        <w:rPr/>
        <w:t>月至</w:t>
      </w:r>
      <w:r>
        <w:rPr>
          <w:spacing w:val="-57"/>
        </w:rPr>
        <w:t> </w:t>
      </w:r>
      <w:r>
        <w:rPr/>
        <w:t>1999</w:t>
      </w:r>
      <w:r>
        <w:rPr>
          <w:spacing w:val="-57"/>
        </w:rPr>
        <w:t> </w:t>
      </w:r>
      <w:r>
        <w:rPr/>
        <w:t>年</w:t>
      </w:r>
      <w:r>
        <w:rPr>
          <w:spacing w:val="-57"/>
        </w:rPr>
        <w:t> </w:t>
      </w:r>
      <w:r>
        <w:rPr/>
        <w:t>8</w:t>
      </w:r>
      <w:r>
        <w:rPr>
          <w:spacing w:val="-57"/>
        </w:rPr>
        <w:t> </w:t>
      </w:r>
      <w:r>
        <w:rPr>
          <w:spacing w:val="-4"/>
        </w:rPr>
        <w:t>月任公司副总经理，1999</w:t>
      </w:r>
      <w:r>
        <w:rPr/>
        <w:t> 年</w:t>
      </w:r>
      <w:r>
        <w:rPr>
          <w:spacing w:val="-72"/>
        </w:rPr>
        <w:t> </w:t>
      </w:r>
      <w:r>
        <w:rPr/>
        <w:t>8</w:t>
      </w:r>
      <w:r>
        <w:rPr>
          <w:spacing w:val="-72"/>
        </w:rPr>
        <w:t> </w:t>
      </w:r>
      <w:r>
        <w:rPr/>
        <w:t>月始任公司总裁，1999</w:t>
      </w:r>
      <w:r>
        <w:rPr>
          <w:spacing w:val="-72"/>
        </w:rPr>
        <w:t> </w:t>
      </w:r>
      <w:r>
        <w:rPr/>
        <w:t>年</w:t>
      </w:r>
      <w:r>
        <w:rPr>
          <w:spacing w:val="-72"/>
        </w:rPr>
        <w:t> </w:t>
      </w:r>
      <w:r>
        <w:rPr/>
        <w:t>10</w:t>
      </w:r>
      <w:r>
        <w:rPr>
          <w:spacing w:val="-72"/>
        </w:rPr>
        <w:t> </w:t>
      </w:r>
      <w:r>
        <w:rPr/>
        <w:t>月始任公司董事，现任公司副董事长兼总裁。曾任东软</w:t>
      </w:r>
      <w:r>
        <w:rPr/>
        <w:t> 集团有限公司董事。</w:t>
      </w:r>
    </w:p>
    <w:p>
      <w:pPr>
        <w:pStyle w:val="BodyText"/>
        <w:spacing w:line="237" w:lineRule="auto"/>
        <w:ind w:left="560" w:right="561"/>
        <w:jc w:val="both"/>
      </w:pPr>
      <w:r>
        <w:rPr/>
        <w:t>（3）赵宏，男，1954</w:t>
      </w:r>
      <w:r>
        <w:rPr>
          <w:spacing w:val="-60"/>
        </w:rPr>
        <w:t> </w:t>
      </w:r>
      <w:r>
        <w:rPr>
          <w:spacing w:val="6"/>
        </w:rPr>
        <w:t>年出生，教授，博士生导师。1993年9</w:t>
      </w:r>
      <w:r>
        <w:rPr>
          <w:spacing w:val="-60"/>
        </w:rPr>
        <w:t> </w:t>
      </w:r>
      <w:r>
        <w:rPr/>
        <w:t>月至</w:t>
      </w:r>
      <w:r>
        <w:rPr>
          <w:spacing w:val="-60"/>
        </w:rPr>
        <w:t> </w:t>
      </w:r>
      <w:r>
        <w:rPr/>
        <w:t>1996</w:t>
      </w:r>
      <w:r>
        <w:rPr>
          <w:spacing w:val="-60"/>
        </w:rPr>
        <w:t> </w:t>
      </w:r>
      <w:r>
        <w:rPr/>
        <w:t>年</w:t>
      </w:r>
      <w:r>
        <w:rPr>
          <w:spacing w:val="-60"/>
        </w:rPr>
        <w:t> </w:t>
      </w:r>
      <w:r>
        <w:rPr/>
        <w:t>3</w:t>
      </w:r>
      <w:r>
        <w:rPr>
          <w:spacing w:val="-60"/>
        </w:rPr>
        <w:t> </w:t>
      </w:r>
      <w:r>
        <w:rPr/>
        <w:t>月任公司副</w:t>
      </w:r>
      <w:r>
        <w:rPr/>
        <w:t> 总经理，1996</w:t>
      </w:r>
      <w:r>
        <w:rPr>
          <w:spacing w:val="-60"/>
        </w:rPr>
        <w:t> </w:t>
      </w:r>
      <w:r>
        <w:rPr/>
        <w:t>年</w:t>
      </w:r>
      <w:r>
        <w:rPr>
          <w:spacing w:val="-60"/>
        </w:rPr>
        <w:t> </w:t>
      </w:r>
      <w:r>
        <w:rPr/>
        <w:t>6</w:t>
      </w:r>
      <w:r>
        <w:rPr>
          <w:spacing w:val="-60"/>
        </w:rPr>
        <w:t> </w:t>
      </w:r>
      <w:r>
        <w:rPr/>
        <w:t>月始任公司董事，现任公司董事兼高级副总裁。现兼任沈阳慧旭科技</w:t>
      </w:r>
      <w:r>
        <w:rPr/>
        <w:t> 股份有限公司董事长。曾任东软集团有限公司董事、副总裁。</w:t>
      </w:r>
    </w:p>
    <w:p>
      <w:pPr>
        <w:spacing w:after="0" w:line="237" w:lineRule="auto"/>
        <w:jc w:val="both"/>
        <w:sectPr>
          <w:type w:val="continuous"/>
          <w:pgSz w:w="11910" w:h="16840"/>
          <w:pgMar w:top="1600" w:bottom="280" w:left="800" w:right="740"/>
        </w:sectPr>
      </w:pPr>
    </w:p>
    <w:p>
      <w:pPr>
        <w:spacing w:line="240" w:lineRule="auto" w:before="1"/>
        <w:rPr>
          <w:rFonts w:ascii="宋体" w:hAnsi="宋体" w:cs="宋体" w:eastAsia="宋体" w:hint="default"/>
          <w:sz w:val="20"/>
          <w:szCs w:val="20"/>
        </w:rPr>
      </w:pPr>
    </w:p>
    <w:p>
      <w:pPr>
        <w:pStyle w:val="BodyText"/>
        <w:spacing w:line="237" w:lineRule="auto" w:before="28"/>
        <w:ind w:right="159"/>
        <w:jc w:val="both"/>
      </w:pPr>
      <w:r>
        <w:rPr>
          <w:spacing w:val="-3"/>
        </w:rPr>
        <w:t>（4）王莉，女，1965</w:t>
      </w:r>
      <w:r>
        <w:rPr>
          <w:spacing w:val="-69"/>
        </w:rPr>
        <w:t> </w:t>
      </w:r>
      <w:r>
        <w:rPr/>
        <w:t>年出生，双硕士，注册会计师，教授研究员高级会计师。1997</w:t>
      </w:r>
      <w:r>
        <w:rPr>
          <w:spacing w:val="-69"/>
        </w:rPr>
        <w:t> </w:t>
      </w:r>
      <w:r>
        <w:rPr/>
        <w:t>年</w:t>
      </w:r>
      <w:r>
        <w:rPr>
          <w:spacing w:val="-69"/>
        </w:rPr>
        <w:t> </w:t>
      </w:r>
      <w:r>
        <w:rPr/>
        <w:t>2</w:t>
      </w:r>
      <w:r>
        <w:rPr/>
        <w:t> 月至</w:t>
      </w:r>
      <w:r>
        <w:rPr>
          <w:spacing w:val="-63"/>
        </w:rPr>
        <w:t> </w:t>
      </w:r>
      <w:r>
        <w:rPr/>
        <w:t>2003</w:t>
      </w:r>
      <w:r>
        <w:rPr>
          <w:spacing w:val="-63"/>
        </w:rPr>
        <w:t> </w:t>
      </w:r>
      <w:r>
        <w:rPr/>
        <w:t>年</w:t>
      </w:r>
      <w:r>
        <w:rPr>
          <w:spacing w:val="-63"/>
        </w:rPr>
        <w:t> </w:t>
      </w:r>
      <w:r>
        <w:rPr/>
        <w:t>8</w:t>
      </w:r>
      <w:r>
        <w:rPr>
          <w:spacing w:val="-63"/>
        </w:rPr>
        <w:t> </w:t>
      </w:r>
      <w:r>
        <w:rPr/>
        <w:t>月任公司高级副总裁兼财务总监，2008</w:t>
      </w:r>
      <w:r>
        <w:rPr>
          <w:spacing w:val="-63"/>
        </w:rPr>
        <w:t> </w:t>
      </w:r>
      <w:r>
        <w:rPr/>
        <w:t>年</w:t>
      </w:r>
      <w:r>
        <w:rPr>
          <w:spacing w:val="-63"/>
        </w:rPr>
        <w:t> </w:t>
      </w:r>
      <w:r>
        <w:rPr/>
        <w:t>5</w:t>
      </w:r>
      <w:r>
        <w:rPr>
          <w:spacing w:val="-63"/>
        </w:rPr>
        <w:t> </w:t>
      </w:r>
      <w:r>
        <w:rPr>
          <w:spacing w:val="-3"/>
        </w:rPr>
        <w:t>月始任公司董事、高级副总裁</w:t>
      </w:r>
      <w:r>
        <w:rPr/>
        <w:t> 兼首席财务官。曾任东软集团有限公司副总裁兼财务总监。</w:t>
      </w:r>
    </w:p>
    <w:p>
      <w:pPr>
        <w:pStyle w:val="BodyText"/>
        <w:spacing w:line="237" w:lineRule="auto"/>
        <w:ind w:right="159"/>
        <w:jc w:val="both"/>
      </w:pPr>
      <w:r>
        <w:rPr>
          <w:spacing w:val="-5"/>
        </w:rPr>
        <w:t>（5）恩地和明，男，日本籍，1954</w:t>
      </w:r>
      <w:r>
        <w:rPr>
          <w:spacing w:val="-75"/>
        </w:rPr>
        <w:t> </w:t>
      </w:r>
      <w:r>
        <w:rPr/>
        <w:t>年出生，国立鹿儿岛大学工学部毕业。1978</w:t>
      </w:r>
      <w:r>
        <w:rPr>
          <w:spacing w:val="-75"/>
        </w:rPr>
        <w:t> </w:t>
      </w:r>
      <w:r>
        <w:rPr/>
        <w:t>年加入株</w:t>
      </w:r>
      <w:r>
        <w:rPr/>
        <w:t> </w:t>
      </w:r>
      <w:r>
        <w:rPr>
          <w:spacing w:val="-4"/>
        </w:rPr>
        <w:t>式会社东芝，现任东芝解决方案株式会社常务董事，系统架构和质量总负责人。曾任东软</w:t>
      </w:r>
      <w:r>
        <w:rPr>
          <w:spacing w:val="-84"/>
        </w:rPr>
        <w:t> </w:t>
      </w:r>
      <w:r>
        <w:rPr>
          <w:spacing w:val="-84"/>
        </w:rPr>
      </w:r>
      <w:r>
        <w:rPr/>
        <w:t>集团有限公司董事。</w:t>
      </w:r>
    </w:p>
    <w:p>
      <w:pPr>
        <w:pStyle w:val="BodyText"/>
        <w:spacing w:line="312" w:lineRule="exact" w:before="27"/>
        <w:ind w:right="159"/>
        <w:jc w:val="both"/>
      </w:pPr>
      <w:r>
        <w:rPr>
          <w:spacing w:val="-5"/>
        </w:rPr>
        <w:t>（6）石黑征三，男，日本籍，1943</w:t>
      </w:r>
      <w:r>
        <w:rPr>
          <w:spacing w:val="-49"/>
        </w:rPr>
        <w:t> </w:t>
      </w:r>
      <w:r>
        <w:rPr>
          <w:spacing w:val="-3"/>
        </w:rPr>
        <w:t>年出生，早稻田大学法学部毕业。1978</w:t>
      </w:r>
      <w:r>
        <w:rPr>
          <w:spacing w:val="-49"/>
        </w:rPr>
        <w:t> </w:t>
      </w:r>
      <w:r>
        <w:rPr/>
        <w:t>年加入阿尔派</w:t>
      </w:r>
      <w:r>
        <w:rPr>
          <w:spacing w:val="-118"/>
        </w:rPr>
        <w:t> </w:t>
      </w:r>
      <w:r>
        <w:rPr>
          <w:spacing w:val="-118"/>
        </w:rPr>
      </w:r>
      <w:r>
        <w:rPr/>
        <w:t>株式会社，历任营业部部长，常务董事、副社长，1997</w:t>
      </w:r>
      <w:r>
        <w:rPr>
          <w:spacing w:val="-60"/>
        </w:rPr>
        <w:t> </w:t>
      </w:r>
      <w:r>
        <w:rPr/>
        <w:t>年至今任社长。</w:t>
      </w:r>
    </w:p>
    <w:p>
      <w:pPr>
        <w:pStyle w:val="BodyText"/>
        <w:spacing w:line="281" w:lineRule="exact"/>
        <w:ind w:right="0"/>
        <w:jc w:val="both"/>
      </w:pPr>
      <w:r>
        <w:rPr>
          <w:spacing w:val="-3"/>
        </w:rPr>
        <w:t>（7）吕建，男，1960</w:t>
      </w:r>
      <w:r>
        <w:rPr>
          <w:spacing w:val="-84"/>
        </w:rPr>
        <w:t> </w:t>
      </w:r>
      <w:r>
        <w:rPr/>
        <w:t>年出生，教授，博士生导师。现任南京大学计算机软件研究所副所</w:t>
      </w:r>
    </w:p>
    <w:p>
      <w:pPr>
        <w:pStyle w:val="BodyText"/>
        <w:spacing w:line="237" w:lineRule="auto" w:before="1"/>
        <w:ind w:right="159"/>
        <w:jc w:val="both"/>
      </w:pPr>
      <w:r>
        <w:rPr>
          <w:spacing w:val="-4"/>
        </w:rPr>
        <w:t>长，计算机软件新技术国家重点实验室主任，中国计算机学会常务理事，中国计算机学会</w:t>
      </w:r>
      <w:r>
        <w:rPr>
          <w:spacing w:val="-84"/>
        </w:rPr>
        <w:t> </w:t>
      </w:r>
      <w:r>
        <w:rPr>
          <w:spacing w:val="-84"/>
        </w:rPr>
      </w:r>
      <w:r>
        <w:rPr>
          <w:spacing w:val="-5"/>
        </w:rPr>
        <w:t>软件工程专业委员会主任，国家 </w:t>
      </w:r>
      <w:r>
        <w:rPr/>
        <w:t>863</w:t>
      </w:r>
      <w:r>
        <w:rPr>
          <w:spacing w:val="-96"/>
        </w:rPr>
        <w:t> </w:t>
      </w:r>
      <w:r>
        <w:rPr>
          <w:spacing w:val="-3"/>
        </w:rPr>
        <w:t>高技术计划信息领域专家组成员，国家自然科学基金</w:t>
      </w:r>
      <w:r>
        <w:rPr/>
        <w:t> 委信息学部第四届专家咨询委员会委员。</w:t>
      </w:r>
    </w:p>
    <w:p>
      <w:pPr>
        <w:pStyle w:val="BodyText"/>
        <w:spacing w:line="237" w:lineRule="auto" w:before="1"/>
        <w:ind w:right="101"/>
        <w:jc w:val="both"/>
      </w:pPr>
      <w:r>
        <w:rPr/>
        <w:t>（8）方红星，男，1972</w:t>
      </w:r>
      <w:r>
        <w:rPr>
          <w:spacing w:val="-60"/>
        </w:rPr>
        <w:t> </w:t>
      </w:r>
      <w:r>
        <w:rPr/>
        <w:t>年出生，教授，博士生导师。现任东北财经大学会计学院院长，</w:t>
      </w:r>
      <w:r>
        <w:rPr/>
        <w:t> MPAcc</w:t>
      </w:r>
      <w:r>
        <w:rPr>
          <w:spacing w:val="-88"/>
        </w:rPr>
        <w:t> </w:t>
      </w:r>
      <w:r>
        <w:rPr/>
        <w:t>教育中心主任，东北财经大学出版社有限责任公司副董事长、社长。兼任中国会计</w:t>
      </w:r>
      <w:r>
        <w:rPr/>
        <w:t> </w:t>
      </w:r>
      <w:r>
        <w:rPr>
          <w:spacing w:val="-4"/>
        </w:rPr>
        <w:t>学会理事，财政部会计准则委员会咨询专家、内部控制标准委员会咨询专家，中国注册会</w:t>
      </w:r>
      <w:r>
        <w:rPr>
          <w:spacing w:val="-84"/>
        </w:rPr>
        <w:t> </w:t>
      </w:r>
      <w:r>
        <w:rPr>
          <w:spacing w:val="-84"/>
        </w:rPr>
      </w:r>
      <w:r>
        <w:rPr>
          <w:spacing w:val="-4"/>
        </w:rPr>
        <w:t>计师协会专业技术咨询委员会委员、审计准则组成员、执业准则咨询指导组专家等职。享</w:t>
      </w:r>
      <w:r>
        <w:rPr>
          <w:spacing w:val="-84"/>
        </w:rPr>
        <w:t> </w:t>
      </w:r>
      <w:r>
        <w:rPr>
          <w:spacing w:val="-84"/>
        </w:rPr>
      </w:r>
      <w:r>
        <w:rPr/>
        <w:t>受国务院颁发的政府特殊津贴。</w:t>
      </w:r>
    </w:p>
    <w:p>
      <w:pPr>
        <w:pStyle w:val="BodyText"/>
        <w:spacing w:line="237" w:lineRule="auto"/>
        <w:ind w:right="159"/>
        <w:jc w:val="both"/>
      </w:pPr>
      <w:r>
        <w:rPr>
          <w:spacing w:val="-3"/>
        </w:rPr>
        <w:t>（9）薛澜，男，1959</w:t>
      </w:r>
      <w:r>
        <w:rPr>
          <w:spacing w:val="-82"/>
        </w:rPr>
        <w:t> </w:t>
      </w:r>
      <w:r>
        <w:rPr/>
        <w:t>年出生，教授，博士生导师。现任清华大学公共管理学院院长，清</w:t>
      </w:r>
      <w:r>
        <w:rPr/>
        <w:t> 华大学</w:t>
      </w:r>
      <w:r>
        <w:rPr>
          <w:spacing w:val="-60"/>
        </w:rPr>
        <w:t> </w:t>
      </w:r>
      <w:r>
        <w:rPr/>
        <w:t>21</w:t>
      </w:r>
      <w:r>
        <w:rPr>
          <w:spacing w:val="-60"/>
        </w:rPr>
        <w:t> </w:t>
      </w:r>
      <w:r>
        <w:rPr/>
        <w:t>世纪发展研究院常务副院长，及清华大学中国科技政策研究中心主任。同时兼</w:t>
      </w:r>
      <w:r>
        <w:rPr/>
        <w:t> </w:t>
      </w:r>
      <w:r>
        <w:rPr>
          <w:spacing w:val="-4"/>
        </w:rPr>
        <w:t>任中国行政管理学会副会长、科学学与科技政策研究会副理事长、中国管理科学学会副会</w:t>
      </w:r>
      <w:r>
        <w:rPr>
          <w:spacing w:val="-82"/>
        </w:rPr>
        <w:t> </w:t>
      </w:r>
      <w:r>
        <w:rPr>
          <w:spacing w:val="-82"/>
        </w:rPr>
      </w:r>
      <w:r>
        <w:rPr>
          <w:spacing w:val="-6"/>
        </w:rPr>
        <w:t>长，全国</w:t>
      </w:r>
      <w:r>
        <w:rPr>
          <w:spacing w:val="-56"/>
        </w:rPr>
        <w:t> </w:t>
      </w:r>
      <w:r>
        <w:rPr/>
        <w:t>MPA</w:t>
      </w:r>
      <w:r>
        <w:rPr>
          <w:spacing w:val="-56"/>
        </w:rPr>
        <w:t> </w:t>
      </w:r>
      <w:r>
        <w:rPr>
          <w:spacing w:val="-3"/>
        </w:rPr>
        <w:t>教育指导委员会副主任委员、国际发展研究中心（IDRC）董事、哈佛大学肯</w:t>
      </w:r>
      <w:r>
        <w:rPr/>
        <w:t> </w:t>
      </w:r>
      <w:r>
        <w:rPr>
          <w:spacing w:val="-4"/>
        </w:rPr>
        <w:t>尼迪政府学院顾问委员会委员、世界经济论坛全球行动委员会巨灾风险分会副主席、卡内</w:t>
      </w:r>
      <w:r>
        <w:rPr>
          <w:spacing w:val="-82"/>
        </w:rPr>
        <w:t> </w:t>
      </w:r>
      <w:r>
        <w:rPr>
          <w:spacing w:val="-82"/>
        </w:rPr>
      </w:r>
      <w:r>
        <w:rPr/>
        <w:t>基梅隆大学兼职教授等。</w:t>
      </w:r>
    </w:p>
    <w:p>
      <w:pPr>
        <w:pStyle w:val="BodyText"/>
        <w:spacing w:line="310" w:lineRule="exact" w:before="30"/>
        <w:ind w:right="160"/>
        <w:jc w:val="both"/>
      </w:pPr>
      <w:r>
        <w:rPr/>
        <w:t>（10）涂赣峰，男，1964</w:t>
      </w:r>
      <w:r>
        <w:rPr>
          <w:spacing w:val="-60"/>
        </w:rPr>
        <w:t> </w:t>
      </w:r>
      <w:r>
        <w:rPr/>
        <w:t>年出生，教授，博士生导师。现任东北大学科技产业集团有限</w:t>
      </w:r>
      <w:r>
        <w:rPr/>
        <w:t> </w:t>
      </w:r>
      <w:r>
        <w:rPr>
          <w:spacing w:val="-4"/>
        </w:rPr>
        <w:t>公司总经理，兼任中国高校产业协会副理事长、中国冶金高校产业协会理事长等职。曾任</w:t>
      </w:r>
      <w:r>
        <w:rPr>
          <w:spacing w:val="-84"/>
        </w:rPr>
        <w:t> </w:t>
      </w:r>
      <w:r>
        <w:rPr>
          <w:spacing w:val="-84"/>
        </w:rPr>
      </w:r>
      <w:r>
        <w:rPr/>
        <w:t>东北大学材料与冶金学院副院长。</w:t>
      </w:r>
    </w:p>
    <w:p>
      <w:pPr>
        <w:pStyle w:val="BodyText"/>
        <w:spacing w:line="310" w:lineRule="exact" w:before="2"/>
        <w:ind w:right="161"/>
        <w:jc w:val="both"/>
      </w:pPr>
      <w:r>
        <w:rPr/>
        <w:t>（11）春名基，男，日本籍，1949</w:t>
      </w:r>
      <w:r>
        <w:rPr>
          <w:spacing w:val="-60"/>
        </w:rPr>
        <w:t> </w:t>
      </w:r>
      <w:r>
        <w:rPr/>
        <w:t>年出生，北九州大学商学部毕业。1971</w:t>
      </w:r>
      <w:r>
        <w:rPr>
          <w:spacing w:val="-60"/>
        </w:rPr>
        <w:t> </w:t>
      </w:r>
      <w:r>
        <w:rPr/>
        <w:t>年加入阿尔派</w:t>
      </w:r>
      <w:r>
        <w:rPr/>
        <w:t> 株式会社，现任阿尔派株式会社理事、东京事务所所长。</w:t>
      </w:r>
    </w:p>
    <w:p>
      <w:pPr>
        <w:pStyle w:val="BodyText"/>
        <w:spacing w:line="310" w:lineRule="exact" w:before="2"/>
        <w:ind w:right="160"/>
        <w:jc w:val="both"/>
      </w:pPr>
      <w:r>
        <w:rPr/>
        <w:t>（12）黄孔威，男，1966</w:t>
      </w:r>
      <w:r>
        <w:rPr>
          <w:spacing w:val="-60"/>
        </w:rPr>
        <w:t> </w:t>
      </w:r>
      <w:r>
        <w:rPr/>
        <w:t>年出生，硕士。1990</w:t>
      </w:r>
      <w:r>
        <w:rPr>
          <w:spacing w:val="-60"/>
        </w:rPr>
        <w:t> </w:t>
      </w:r>
      <w:r>
        <w:rPr/>
        <w:t>年加入宝钢集团有限公司，历任宝钢集团</w:t>
      </w:r>
      <w:r>
        <w:rPr/>
        <w:t> </w:t>
      </w:r>
      <w:r>
        <w:rPr>
          <w:spacing w:val="-4"/>
        </w:rPr>
        <w:t>有限公司计财部综合主管、资产经营部综合主管、资产经营部企业投资主管，现任上海梅</w:t>
      </w:r>
      <w:r>
        <w:rPr>
          <w:spacing w:val="-84"/>
        </w:rPr>
        <w:t> </w:t>
      </w:r>
      <w:r>
        <w:rPr>
          <w:spacing w:val="-84"/>
        </w:rPr>
      </w:r>
      <w:r>
        <w:rPr/>
        <w:t>山钢铁股份有限公司副总经理。</w:t>
      </w:r>
    </w:p>
    <w:p>
      <w:pPr>
        <w:pStyle w:val="BodyText"/>
        <w:spacing w:line="282" w:lineRule="exact"/>
        <w:ind w:right="0"/>
        <w:jc w:val="both"/>
      </w:pPr>
      <w:r>
        <w:rPr/>
        <w:t>（13）徐庆荣，女，1970</w:t>
      </w:r>
      <w:r>
        <w:rPr>
          <w:spacing w:val="-60"/>
        </w:rPr>
        <w:t> </w:t>
      </w:r>
      <w:r>
        <w:rPr/>
        <w:t>年出生，硕士。1996</w:t>
      </w:r>
      <w:r>
        <w:rPr>
          <w:spacing w:val="-60"/>
        </w:rPr>
        <w:t> </w:t>
      </w:r>
      <w:r>
        <w:rPr/>
        <w:t>年</w:t>
      </w:r>
      <w:r>
        <w:rPr>
          <w:spacing w:val="-60"/>
        </w:rPr>
        <w:t> </w:t>
      </w:r>
      <w:r>
        <w:rPr/>
        <w:t>12</w:t>
      </w:r>
      <w:r>
        <w:rPr>
          <w:spacing w:val="-60"/>
        </w:rPr>
        <w:t> </w:t>
      </w:r>
      <w:r>
        <w:rPr/>
        <w:t>月加入公司，1996</w:t>
      </w:r>
      <w:r>
        <w:rPr>
          <w:spacing w:val="-60"/>
        </w:rPr>
        <w:t> </w:t>
      </w:r>
      <w:r>
        <w:rPr/>
        <w:t>年</w:t>
      </w:r>
      <w:r>
        <w:rPr>
          <w:spacing w:val="-60"/>
        </w:rPr>
        <w:t> </w:t>
      </w:r>
      <w:r>
        <w:rPr/>
        <w:t>12</w:t>
      </w:r>
      <w:r>
        <w:rPr>
          <w:spacing w:val="-60"/>
        </w:rPr>
        <w:t> </w:t>
      </w:r>
      <w:r>
        <w:rPr/>
        <w:t>月至</w:t>
      </w:r>
      <w:r>
        <w:rPr>
          <w:spacing w:val="-60"/>
        </w:rPr>
        <w:t> </w:t>
      </w:r>
      <w:r>
        <w:rPr/>
        <w:t>2003</w:t>
      </w:r>
    </w:p>
    <w:p>
      <w:pPr>
        <w:pStyle w:val="BodyText"/>
        <w:spacing w:line="310" w:lineRule="exact" w:before="30"/>
        <w:ind w:right="159"/>
        <w:jc w:val="both"/>
      </w:pPr>
      <w:r>
        <w:rPr/>
        <w:t>年</w:t>
      </w:r>
      <w:r>
        <w:rPr>
          <w:spacing w:val="-67"/>
        </w:rPr>
        <w:t> </w:t>
      </w:r>
      <w:r>
        <w:rPr/>
        <w:t>7</w:t>
      </w:r>
      <w:r>
        <w:rPr>
          <w:spacing w:val="-67"/>
        </w:rPr>
        <w:t> </w:t>
      </w:r>
      <w:r>
        <w:rPr/>
        <w:t>月任公司证券事务代表，2003</w:t>
      </w:r>
      <w:r>
        <w:rPr>
          <w:spacing w:val="-67"/>
        </w:rPr>
        <w:t> </w:t>
      </w:r>
      <w:r>
        <w:rPr/>
        <w:t>年</w:t>
      </w:r>
      <w:r>
        <w:rPr>
          <w:spacing w:val="-67"/>
        </w:rPr>
        <w:t> </w:t>
      </w:r>
      <w:r>
        <w:rPr/>
        <w:t>7</w:t>
      </w:r>
      <w:r>
        <w:rPr>
          <w:spacing w:val="-67"/>
        </w:rPr>
        <w:t> </w:t>
      </w:r>
      <w:r>
        <w:rPr/>
        <w:t>月至</w:t>
      </w:r>
      <w:r>
        <w:rPr>
          <w:spacing w:val="-67"/>
        </w:rPr>
        <w:t> </w:t>
      </w:r>
      <w:r>
        <w:rPr/>
        <w:t>2008</w:t>
      </w:r>
      <w:r>
        <w:rPr>
          <w:spacing w:val="-67"/>
        </w:rPr>
        <w:t> </w:t>
      </w:r>
      <w:r>
        <w:rPr/>
        <w:t>年</w:t>
      </w:r>
      <w:r>
        <w:rPr>
          <w:spacing w:val="-67"/>
        </w:rPr>
        <w:t> </w:t>
      </w:r>
      <w:r>
        <w:rPr/>
        <w:t>5</w:t>
      </w:r>
      <w:r>
        <w:rPr>
          <w:spacing w:val="-67"/>
        </w:rPr>
        <w:t> </w:t>
      </w:r>
      <w:r>
        <w:rPr/>
        <w:t>月任公司董事会秘书，现任公司法</w:t>
      </w:r>
      <w:r>
        <w:rPr/>
        <w:t> 律部部长。现兼任沈阳慧旭科技股份有限公司董事。</w:t>
      </w:r>
    </w:p>
    <w:p>
      <w:pPr>
        <w:pStyle w:val="BodyText"/>
        <w:spacing w:line="310" w:lineRule="exact" w:before="2"/>
        <w:ind w:right="100"/>
        <w:jc w:val="both"/>
      </w:pPr>
      <w:r>
        <w:rPr>
          <w:spacing w:val="-3"/>
        </w:rPr>
        <w:t>（14）张红，女，1971</w:t>
      </w:r>
      <w:r>
        <w:rPr>
          <w:spacing w:val="-63"/>
        </w:rPr>
        <w:t> </w:t>
      </w:r>
      <w:r>
        <w:rPr/>
        <w:t>年出生，硕士，高级会计师。1996</w:t>
      </w:r>
      <w:r>
        <w:rPr>
          <w:spacing w:val="-63"/>
        </w:rPr>
        <w:t> </w:t>
      </w:r>
      <w:r>
        <w:rPr/>
        <w:t>年</w:t>
      </w:r>
      <w:r>
        <w:rPr>
          <w:spacing w:val="-63"/>
        </w:rPr>
        <w:t> </w:t>
      </w:r>
      <w:r>
        <w:rPr/>
        <w:t>3</w:t>
      </w:r>
      <w:r>
        <w:rPr>
          <w:spacing w:val="-63"/>
        </w:rPr>
        <w:t> </w:t>
      </w:r>
      <w:r>
        <w:rPr>
          <w:spacing w:val="13"/>
        </w:rPr>
        <w:t>月加入公司，2002年3月</w:t>
      </w:r>
      <w:r>
        <w:rPr>
          <w:spacing w:val="-60"/>
        </w:rPr>
        <w:t> </w:t>
      </w:r>
      <w:r>
        <w:rPr/>
        <w:t>至</w:t>
      </w:r>
      <w:r>
        <w:rPr>
          <w:spacing w:val="-59"/>
        </w:rPr>
        <w:t> </w:t>
      </w:r>
      <w:r>
        <w:rPr/>
        <w:t>2003</w:t>
      </w:r>
      <w:r>
        <w:rPr>
          <w:spacing w:val="-60"/>
        </w:rPr>
        <w:t> </w:t>
      </w:r>
      <w:r>
        <w:rPr/>
        <w:t>年</w:t>
      </w:r>
      <w:r>
        <w:rPr>
          <w:spacing w:val="-60"/>
        </w:rPr>
        <w:t> </w:t>
      </w:r>
      <w:r>
        <w:rPr/>
        <w:t>3</w:t>
      </w:r>
      <w:r>
        <w:rPr>
          <w:spacing w:val="-60"/>
        </w:rPr>
        <w:t> </w:t>
      </w:r>
      <w:r>
        <w:rPr/>
        <w:t>月任公司财务总监助理，</w:t>
      </w:r>
      <w:r>
        <w:rPr>
          <w:spacing w:val="-59"/>
        </w:rPr>
        <w:t> </w:t>
      </w:r>
      <w:r>
        <w:rPr>
          <w:spacing w:val="20"/>
        </w:rPr>
        <w:t>2003年3</w:t>
      </w:r>
      <w:r>
        <w:rPr>
          <w:spacing w:val="-60"/>
        </w:rPr>
        <w:t> </w:t>
      </w:r>
      <w:r>
        <w:rPr/>
        <w:t>月至</w:t>
      </w:r>
      <w:r>
        <w:rPr>
          <w:spacing w:val="-60"/>
        </w:rPr>
        <w:t> </w:t>
      </w:r>
      <w:r>
        <w:rPr/>
        <w:t>2006</w:t>
      </w:r>
      <w:r>
        <w:rPr>
          <w:spacing w:val="-60"/>
        </w:rPr>
        <w:t> </w:t>
      </w:r>
      <w:r>
        <w:rPr/>
        <w:t>年</w:t>
      </w:r>
      <w:r>
        <w:rPr>
          <w:spacing w:val="-60"/>
        </w:rPr>
        <w:t> </w:t>
      </w:r>
      <w:r>
        <w:rPr/>
        <w:t>8</w:t>
      </w:r>
      <w:r>
        <w:rPr>
          <w:spacing w:val="-60"/>
        </w:rPr>
        <w:t> </w:t>
      </w:r>
      <w:r>
        <w:rPr/>
        <w:t>月任大连东软软件园产业</w:t>
      </w:r>
    </w:p>
    <w:p>
      <w:pPr>
        <w:pStyle w:val="BodyText"/>
        <w:spacing w:line="310" w:lineRule="exact" w:before="2"/>
        <w:ind w:right="221"/>
        <w:jc w:val="both"/>
      </w:pPr>
      <w:r>
        <w:rPr/>
        <w:t>发展有限公司财务总监， </w:t>
      </w:r>
      <w:r>
        <w:rPr>
          <w:spacing w:val="20"/>
        </w:rPr>
        <w:t>2006年8</w:t>
      </w:r>
      <w:r>
        <w:rPr>
          <w:spacing w:val="-60"/>
        </w:rPr>
        <w:t> </w:t>
      </w:r>
      <w:r>
        <w:rPr/>
        <w:t>月至</w:t>
      </w:r>
      <w:r>
        <w:rPr>
          <w:spacing w:val="-60"/>
        </w:rPr>
        <w:t> </w:t>
      </w:r>
      <w:r>
        <w:rPr/>
        <w:t>2008</w:t>
      </w:r>
      <w:r>
        <w:rPr>
          <w:spacing w:val="-60"/>
        </w:rPr>
        <w:t> </w:t>
      </w:r>
      <w:r>
        <w:rPr/>
        <w:t>年</w:t>
      </w:r>
      <w:r>
        <w:rPr>
          <w:spacing w:val="-60"/>
        </w:rPr>
        <w:t> </w:t>
      </w:r>
      <w:r>
        <w:rPr/>
        <w:t>4</w:t>
      </w:r>
      <w:r>
        <w:rPr>
          <w:spacing w:val="-60"/>
        </w:rPr>
        <w:t> </w:t>
      </w:r>
      <w:r>
        <w:rPr/>
        <w:t>月任东软集团有限公司审计部部长，</w:t>
      </w:r>
      <w:r>
        <w:rPr/>
        <w:t> 现任公司投资审计部部长。</w:t>
      </w:r>
    </w:p>
    <w:p>
      <w:pPr>
        <w:pStyle w:val="BodyText"/>
        <w:spacing w:line="282" w:lineRule="exact"/>
        <w:ind w:right="0"/>
        <w:jc w:val="both"/>
      </w:pPr>
      <w:r>
        <w:rPr/>
        <w:t>（15）陈锡民，男，1969</w:t>
      </w:r>
      <w:r>
        <w:rPr>
          <w:spacing w:val="-59"/>
        </w:rPr>
        <w:t> </w:t>
      </w:r>
      <w:r>
        <w:rPr/>
        <w:t>年出生，博士。1999</w:t>
      </w:r>
      <w:r>
        <w:rPr>
          <w:spacing w:val="-59"/>
        </w:rPr>
        <w:t> </w:t>
      </w:r>
      <w:r>
        <w:rPr/>
        <w:t>年</w:t>
      </w:r>
      <w:r>
        <w:rPr>
          <w:spacing w:val="-60"/>
        </w:rPr>
        <w:t> </w:t>
      </w:r>
      <w:r>
        <w:rPr/>
        <w:t>1</w:t>
      </w:r>
      <w:r>
        <w:rPr>
          <w:spacing w:val="-60"/>
        </w:rPr>
        <w:t> </w:t>
      </w:r>
      <w:r>
        <w:rPr/>
        <w:t>月加入公司，曾任东软中间件技术分</w:t>
      </w:r>
    </w:p>
    <w:p>
      <w:pPr>
        <w:pStyle w:val="BodyText"/>
        <w:spacing w:line="310" w:lineRule="exact" w:before="31"/>
        <w:ind w:right="160"/>
        <w:jc w:val="both"/>
      </w:pPr>
      <w:r>
        <w:rPr>
          <w:spacing w:val="-4"/>
        </w:rPr>
        <w:t>公司智能设备开发部部长、东软中间件技术分公司副总经理、嵌入式软件事业部部长、公</w:t>
      </w:r>
      <w:r>
        <w:rPr>
          <w:spacing w:val="-84"/>
        </w:rPr>
        <w:t> </w:t>
      </w:r>
      <w:r>
        <w:rPr>
          <w:spacing w:val="-84"/>
        </w:rPr>
      </w:r>
      <w:r>
        <w:rPr/>
        <w:t>司副总裁兼嵌入式软件事务部总经理。现任公司高级副总裁兼首席运营官。</w:t>
      </w:r>
    </w:p>
    <w:p>
      <w:pPr>
        <w:pStyle w:val="BodyText"/>
        <w:spacing w:line="282" w:lineRule="exact"/>
        <w:ind w:right="0"/>
        <w:jc w:val="both"/>
      </w:pPr>
      <w:r>
        <w:rPr/>
        <w:t>（16）卢朝霞，女，1957</w:t>
      </w:r>
      <w:r>
        <w:rPr>
          <w:spacing w:val="-60"/>
        </w:rPr>
        <w:t> </w:t>
      </w:r>
      <w:r>
        <w:rPr/>
        <w:t>年出生，硕士，教授。曾任东北大学管理控制中心主任，1995</w:t>
      </w:r>
    </w:p>
    <w:p>
      <w:pPr>
        <w:pStyle w:val="BodyText"/>
        <w:spacing w:line="313" w:lineRule="exact"/>
        <w:ind w:right="0"/>
        <w:jc w:val="both"/>
      </w:pPr>
      <w:r>
        <w:rPr/>
        <w:t>年加入公司，任公司副总经理，现任公司高级副总裁。</w:t>
      </w:r>
    </w:p>
    <w:p>
      <w:pPr>
        <w:spacing w:after="0" w:line="313" w:lineRule="exact"/>
        <w:jc w:val="both"/>
        <w:sectPr>
          <w:pgSz w:w="11910" w:h="16840"/>
          <w:pgMar w:header="720" w:footer="721" w:top="1100" w:bottom="920" w:left="1220" w:right="1140"/>
        </w:sectPr>
      </w:pPr>
    </w:p>
    <w:p>
      <w:pPr>
        <w:spacing w:line="240" w:lineRule="auto" w:before="1"/>
        <w:rPr>
          <w:rFonts w:ascii="宋体" w:hAnsi="宋体" w:cs="宋体" w:eastAsia="宋体" w:hint="default"/>
          <w:sz w:val="20"/>
          <w:szCs w:val="20"/>
        </w:rPr>
      </w:pPr>
    </w:p>
    <w:p>
      <w:pPr>
        <w:pStyle w:val="BodyText"/>
        <w:spacing w:line="237" w:lineRule="auto" w:before="28"/>
        <w:ind w:left="220" w:right="219"/>
        <w:jc w:val="both"/>
      </w:pPr>
      <w:r>
        <w:rPr/>
        <w:t>（17）张霞，女，1965 年出生，博士，教授。1994</w:t>
      </w:r>
      <w:r>
        <w:rPr>
          <w:spacing w:val="-60"/>
        </w:rPr>
        <w:t> </w:t>
      </w:r>
      <w:r>
        <w:rPr/>
        <w:t>年</w:t>
      </w:r>
      <w:r>
        <w:rPr>
          <w:spacing w:val="-60"/>
        </w:rPr>
        <w:t> </w:t>
      </w:r>
      <w:r>
        <w:rPr/>
        <w:t>11</w:t>
      </w:r>
      <w:r>
        <w:rPr>
          <w:spacing w:val="-60"/>
        </w:rPr>
        <w:t> </w:t>
      </w:r>
      <w:r>
        <w:rPr/>
        <w:t>月加入公司，曾任东软集团副</w:t>
      </w:r>
      <w:r>
        <w:rPr/>
        <w:t> </w:t>
      </w:r>
      <w:r>
        <w:rPr>
          <w:spacing w:val="-3"/>
        </w:rPr>
        <w:t>总裁兼首席知识官。2004</w:t>
      </w:r>
      <w:r>
        <w:rPr>
          <w:spacing w:val="-67"/>
        </w:rPr>
        <w:t> </w:t>
      </w:r>
      <w:r>
        <w:rPr/>
        <w:t>年</w:t>
      </w:r>
      <w:r>
        <w:rPr>
          <w:spacing w:val="-67"/>
        </w:rPr>
        <w:t> </w:t>
      </w:r>
      <w:r>
        <w:rPr/>
        <w:t>11</w:t>
      </w:r>
      <w:r>
        <w:rPr>
          <w:spacing w:val="-67"/>
        </w:rPr>
        <w:t> </w:t>
      </w:r>
      <w:r>
        <w:rPr/>
        <w:t>月始任公司首席技术官和首席知识官，现任公司高级副总</w:t>
      </w:r>
      <w:r>
        <w:rPr/>
        <w:t> 裁兼首席技术官、首席知识官。</w:t>
      </w:r>
    </w:p>
    <w:p>
      <w:pPr>
        <w:pStyle w:val="BodyText"/>
        <w:spacing w:line="237" w:lineRule="auto"/>
        <w:ind w:left="220" w:right="0"/>
        <w:jc w:val="left"/>
      </w:pPr>
      <w:r>
        <w:rPr>
          <w:spacing w:val="-5"/>
        </w:rPr>
        <w:t>（18）王经锡，男，1969</w:t>
      </w:r>
      <w:r>
        <w:rPr>
          <w:spacing w:val="-57"/>
        </w:rPr>
        <w:t> </w:t>
      </w:r>
      <w:r>
        <w:rPr>
          <w:spacing w:val="-5"/>
        </w:rPr>
        <w:t>年出生，学士。1999</w:t>
      </w:r>
      <w:r>
        <w:rPr>
          <w:spacing w:val="-57"/>
        </w:rPr>
        <w:t> </w:t>
      </w:r>
      <w:r>
        <w:rPr/>
        <w:t>年</w:t>
      </w:r>
      <w:r>
        <w:rPr>
          <w:spacing w:val="-57"/>
        </w:rPr>
        <w:t> </w:t>
      </w:r>
      <w:r>
        <w:rPr/>
        <w:t>3</w:t>
      </w:r>
      <w:r>
        <w:rPr>
          <w:spacing w:val="-57"/>
        </w:rPr>
        <w:t> </w:t>
      </w:r>
      <w:r>
        <w:rPr>
          <w:spacing w:val="-3"/>
        </w:rPr>
        <w:t>月加入东软集团，任人力资源部部长，</w:t>
      </w:r>
      <w:r>
        <w:rPr>
          <w:spacing w:val="-117"/>
        </w:rPr>
        <w:t> </w:t>
      </w:r>
      <w:r>
        <w:rPr>
          <w:spacing w:val="-117"/>
        </w:rPr>
      </w:r>
      <w:r>
        <w:rPr/>
        <w:t>2001</w:t>
      </w:r>
      <w:r>
        <w:rPr>
          <w:spacing w:val="-60"/>
        </w:rPr>
        <w:t> </w:t>
      </w:r>
      <w:r>
        <w:rPr/>
        <w:t>年</w:t>
      </w:r>
      <w:r>
        <w:rPr>
          <w:spacing w:val="-60"/>
        </w:rPr>
        <w:t> </w:t>
      </w:r>
      <w:r>
        <w:rPr/>
        <w:t>2</w:t>
      </w:r>
      <w:r>
        <w:rPr>
          <w:spacing w:val="-60"/>
        </w:rPr>
        <w:t> </w:t>
      </w:r>
      <w:r>
        <w:rPr/>
        <w:t>月始任公司行政总监，现任公司高级副总裁。兼任沈阳慧旭科技股份有限公司</w:t>
      </w:r>
      <w:r>
        <w:rPr/>
        <w:t> 董事。</w:t>
      </w:r>
    </w:p>
    <w:p>
      <w:pPr>
        <w:pStyle w:val="BodyText"/>
        <w:spacing w:line="312" w:lineRule="exact" w:before="27"/>
        <w:ind w:left="220" w:right="202"/>
        <w:jc w:val="left"/>
      </w:pPr>
      <w:r>
        <w:rPr/>
        <w:t>（19）张晓鸥，男，1972</w:t>
      </w:r>
      <w:r>
        <w:rPr>
          <w:spacing w:val="-58"/>
        </w:rPr>
        <w:t> </w:t>
      </w:r>
      <w:r>
        <w:rPr/>
        <w:t>年出生，硕士，注册会计师，高级会计师。2000</w:t>
      </w:r>
      <w:r>
        <w:rPr>
          <w:spacing w:val="-60"/>
        </w:rPr>
        <w:t> </w:t>
      </w:r>
      <w:r>
        <w:rPr/>
        <w:t>年</w:t>
      </w:r>
      <w:r>
        <w:rPr>
          <w:spacing w:val="-60"/>
        </w:rPr>
        <w:t> </w:t>
      </w:r>
      <w:r>
        <w:rPr/>
        <w:t>4</w:t>
      </w:r>
      <w:r>
        <w:rPr>
          <w:spacing w:val="-60"/>
        </w:rPr>
        <w:t> </w:t>
      </w:r>
      <w:r>
        <w:rPr/>
        <w:t>月加入公</w:t>
      </w:r>
      <w:r>
        <w:rPr/>
        <w:t> 司，现任公司高级副总裁兼财务运行官。</w:t>
      </w:r>
    </w:p>
    <w:p>
      <w:pPr>
        <w:pStyle w:val="BodyText"/>
        <w:spacing w:line="281" w:lineRule="exact"/>
        <w:ind w:left="220" w:right="0"/>
        <w:jc w:val="left"/>
      </w:pPr>
      <w:r>
        <w:rPr>
          <w:spacing w:val="-5"/>
        </w:rPr>
        <w:t>（20）王自栋，男，1965</w:t>
      </w:r>
      <w:r>
        <w:rPr>
          <w:spacing w:val="-60"/>
        </w:rPr>
        <w:t> </w:t>
      </w:r>
      <w:r>
        <w:rPr>
          <w:spacing w:val="-5"/>
        </w:rPr>
        <w:t>年出生，硕士。1996</w:t>
      </w:r>
      <w:r>
        <w:rPr>
          <w:spacing w:val="-59"/>
        </w:rPr>
        <w:t> </w:t>
      </w:r>
      <w:r>
        <w:rPr/>
        <w:t>年</w:t>
      </w:r>
      <w:r>
        <w:rPr>
          <w:spacing w:val="-59"/>
        </w:rPr>
        <w:t> </w:t>
      </w:r>
      <w:r>
        <w:rPr/>
        <w:t>7</w:t>
      </w:r>
      <w:r>
        <w:rPr>
          <w:spacing w:val="-59"/>
        </w:rPr>
        <w:t> </w:t>
      </w:r>
      <w:r>
        <w:rPr>
          <w:spacing w:val="8"/>
        </w:rPr>
        <w:t>月加入公司，1996年7</w:t>
      </w:r>
      <w:r>
        <w:rPr>
          <w:spacing w:val="-59"/>
        </w:rPr>
        <w:t> </w:t>
      </w:r>
      <w:r>
        <w:rPr/>
        <w:t>月至</w:t>
      </w:r>
      <w:r>
        <w:rPr>
          <w:spacing w:val="-59"/>
        </w:rPr>
        <w:t> </w:t>
      </w:r>
      <w:r>
        <w:rPr/>
        <w:t>2003</w:t>
      </w:r>
      <w:r>
        <w:rPr>
          <w:spacing w:val="-59"/>
        </w:rPr>
        <w:t> </w:t>
      </w:r>
      <w:r>
        <w:rPr/>
        <w:t>年</w:t>
      </w:r>
      <w:r>
        <w:rPr>
          <w:spacing w:val="-59"/>
        </w:rPr>
        <w:t> </w:t>
      </w:r>
      <w:r>
        <w:rPr/>
        <w:t>7</w:t>
      </w:r>
    </w:p>
    <w:p>
      <w:pPr>
        <w:pStyle w:val="BodyText"/>
        <w:spacing w:line="312" w:lineRule="exact" w:before="29"/>
        <w:ind w:left="220" w:right="0"/>
        <w:jc w:val="left"/>
      </w:pPr>
      <w:r>
        <w:rPr>
          <w:spacing w:val="-4"/>
        </w:rPr>
        <w:t>月任公司董事会秘书。曾任东软集团有限公司总裁助理。现任公司高级副总裁兼董事会秘</w:t>
      </w:r>
      <w:r>
        <w:rPr>
          <w:spacing w:val="-82"/>
        </w:rPr>
        <w:t> </w:t>
      </w:r>
      <w:r>
        <w:rPr>
          <w:spacing w:val="-82"/>
        </w:rPr>
      </w:r>
      <w:r>
        <w:rPr/>
        <w:t>书。兼任沈阳慧旭科技股份有限公司副董事长。</w:t>
      </w:r>
    </w:p>
    <w:p>
      <w:pPr>
        <w:pStyle w:val="BodyText"/>
        <w:spacing w:line="281" w:lineRule="exact"/>
        <w:ind w:left="220" w:right="0"/>
        <w:jc w:val="left"/>
      </w:pPr>
      <w:r>
        <w:rPr/>
        <w:t>（21）李军，男，1973</w:t>
      </w:r>
      <w:r>
        <w:rPr>
          <w:spacing w:val="-59"/>
        </w:rPr>
        <w:t> </w:t>
      </w:r>
      <w:r>
        <w:rPr/>
        <w:t>年出生，学士。1995</w:t>
      </w:r>
      <w:r>
        <w:rPr>
          <w:spacing w:val="-59"/>
        </w:rPr>
        <w:t> </w:t>
      </w:r>
      <w:r>
        <w:rPr/>
        <w:t>年</w:t>
      </w:r>
      <w:r>
        <w:rPr>
          <w:spacing w:val="-60"/>
        </w:rPr>
        <w:t> </w:t>
      </w:r>
      <w:r>
        <w:rPr/>
        <w:t>7</w:t>
      </w:r>
      <w:r>
        <w:rPr>
          <w:spacing w:val="-60"/>
        </w:rPr>
        <w:t> </w:t>
      </w:r>
      <w:r>
        <w:rPr/>
        <w:t>月加入公司，曾任华东大区总经理、公</w:t>
      </w:r>
    </w:p>
    <w:p>
      <w:pPr>
        <w:pStyle w:val="BodyText"/>
        <w:spacing w:line="313" w:lineRule="exact"/>
        <w:ind w:left="220" w:right="0"/>
        <w:jc w:val="left"/>
      </w:pPr>
      <w:r>
        <w:rPr/>
        <w:t>司销售总监，现任公司高级副总裁兼首席营销官。</w:t>
      </w:r>
    </w:p>
    <w:p>
      <w:pPr>
        <w:spacing w:line="240" w:lineRule="auto" w:before="7"/>
        <w:rPr>
          <w:rFonts w:ascii="宋体" w:hAnsi="宋体" w:cs="宋体" w:eastAsia="宋体" w:hint="default"/>
          <w:sz w:val="20"/>
          <w:szCs w:val="20"/>
        </w:rPr>
      </w:pPr>
    </w:p>
    <w:p>
      <w:pPr>
        <w:pStyle w:val="BodyText"/>
        <w:spacing w:line="240" w:lineRule="auto"/>
        <w:ind w:left="220" w:right="0"/>
        <w:jc w:val="left"/>
      </w:pPr>
      <w:r>
        <w:rPr/>
        <w:t>（二）在股东单位任职情况</w:t>
      </w:r>
    </w:p>
    <w:p>
      <w:pPr>
        <w:spacing w:line="240" w:lineRule="auto" w:before="10"/>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240"/>
        <w:gridCol w:w="3162"/>
        <w:gridCol w:w="3743"/>
        <w:gridCol w:w="1255"/>
      </w:tblGrid>
      <w:tr>
        <w:trPr>
          <w:trHeight w:val="560" w:hRule="exact"/>
        </w:trPr>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00" w:right="0"/>
              <w:jc w:val="left"/>
              <w:rPr>
                <w:rFonts w:ascii="宋体" w:hAnsi="宋体" w:cs="宋体" w:eastAsia="宋体" w:hint="default"/>
                <w:sz w:val="21"/>
                <w:szCs w:val="21"/>
              </w:rPr>
            </w:pPr>
            <w:r>
              <w:rPr>
                <w:rFonts w:ascii="宋体" w:hAnsi="宋体" w:cs="宋体" w:eastAsia="宋体" w:hint="default"/>
                <w:b/>
                <w:bCs/>
                <w:sz w:val="21"/>
                <w:szCs w:val="21"/>
              </w:rPr>
              <w:t>姓名</w:t>
            </w:r>
            <w:r>
              <w:rPr>
                <w:rFonts w:ascii="宋体" w:hAnsi="宋体" w:cs="宋体" w:eastAsia="宋体" w:hint="default"/>
                <w:sz w:val="21"/>
                <w:szCs w:val="21"/>
              </w:rPr>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940" w:right="0"/>
              <w:jc w:val="left"/>
              <w:rPr>
                <w:rFonts w:ascii="宋体" w:hAnsi="宋体" w:cs="宋体" w:eastAsia="宋体" w:hint="default"/>
                <w:sz w:val="21"/>
                <w:szCs w:val="21"/>
              </w:rPr>
            </w:pPr>
            <w:r>
              <w:rPr>
                <w:rFonts w:ascii="宋体" w:hAnsi="宋体" w:cs="宋体" w:eastAsia="宋体" w:hint="default"/>
                <w:b/>
                <w:bCs/>
                <w:sz w:val="21"/>
                <w:szCs w:val="21"/>
              </w:rPr>
              <w:t>股东单位名称</w:t>
            </w:r>
            <w:r>
              <w:rPr>
                <w:rFonts w:ascii="宋体" w:hAnsi="宋体" w:cs="宋体" w:eastAsia="宋体" w:hint="default"/>
                <w:sz w:val="21"/>
                <w:szCs w:val="21"/>
              </w:rPr>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b/>
                <w:bCs/>
                <w:sz w:val="21"/>
                <w:szCs w:val="21"/>
              </w:rPr>
              <w:t>担任的职务</w:t>
            </w:r>
            <w:r>
              <w:rPr>
                <w:rFonts w:ascii="宋体" w:hAnsi="宋体" w:cs="宋体" w:eastAsia="宋体" w:hint="default"/>
                <w:sz w:val="21"/>
                <w:szCs w:val="21"/>
              </w:rPr>
            </w:r>
          </w:p>
        </w:tc>
        <w:tc>
          <w:tcPr>
            <w:tcW w:w="1255"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97" w:right="0"/>
              <w:jc w:val="left"/>
              <w:rPr>
                <w:rFonts w:ascii="宋体" w:hAnsi="宋体" w:cs="宋体" w:eastAsia="宋体" w:hint="default"/>
                <w:sz w:val="21"/>
                <w:szCs w:val="21"/>
              </w:rPr>
            </w:pPr>
            <w:r>
              <w:rPr>
                <w:rFonts w:ascii="宋体" w:hAnsi="宋体" w:cs="宋体" w:eastAsia="宋体" w:hint="default"/>
                <w:b/>
                <w:bCs/>
                <w:sz w:val="21"/>
                <w:szCs w:val="21"/>
              </w:rPr>
              <w:t>是否领取</w:t>
            </w:r>
            <w:r>
              <w:rPr>
                <w:rFonts w:ascii="宋体" w:hAnsi="宋体" w:cs="宋体" w:eastAsia="宋体" w:hint="default"/>
                <w:sz w:val="21"/>
                <w:szCs w:val="21"/>
              </w:rPr>
            </w:r>
          </w:p>
          <w:p>
            <w:pPr>
              <w:pStyle w:val="TableParagraph"/>
              <w:spacing w:line="274" w:lineRule="exact"/>
              <w:ind w:left="197" w:right="0"/>
              <w:jc w:val="left"/>
              <w:rPr>
                <w:rFonts w:ascii="宋体" w:hAnsi="宋体" w:cs="宋体" w:eastAsia="宋体" w:hint="default"/>
                <w:sz w:val="21"/>
                <w:szCs w:val="21"/>
              </w:rPr>
            </w:pPr>
            <w:r>
              <w:rPr>
                <w:rFonts w:ascii="宋体" w:hAnsi="宋体" w:cs="宋体" w:eastAsia="宋体" w:hint="default"/>
                <w:b/>
                <w:bCs/>
                <w:sz w:val="21"/>
                <w:szCs w:val="21"/>
              </w:rPr>
              <w:t>报酬津贴</w:t>
            </w:r>
            <w:r>
              <w:rPr>
                <w:rFonts w:ascii="宋体" w:hAnsi="宋体" w:cs="宋体" w:eastAsia="宋体" w:hint="default"/>
                <w:sz w:val="21"/>
                <w:szCs w:val="21"/>
              </w:rPr>
            </w:r>
          </w:p>
        </w:tc>
      </w:tr>
      <w:tr>
        <w:trPr>
          <w:trHeight w:val="287" w:hRule="exact"/>
        </w:trPr>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刘积仁</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东北大学</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副校长</w:t>
            </w:r>
          </w:p>
        </w:tc>
        <w:tc>
          <w:tcPr>
            <w:tcW w:w="12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12"/>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恩地和明</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东芝解决方案株式会社</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常务董事、系统架构和质量总负责人</w:t>
            </w:r>
          </w:p>
        </w:tc>
        <w:tc>
          <w:tcPr>
            <w:tcW w:w="12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12"/>
              <w:jc w:val="right"/>
              <w:rPr>
                <w:rFonts w:ascii="宋体" w:hAnsi="宋体" w:cs="宋体" w:eastAsia="宋体" w:hint="default"/>
                <w:sz w:val="21"/>
                <w:szCs w:val="21"/>
              </w:rPr>
            </w:pPr>
            <w:r>
              <w:rPr>
                <w:rFonts w:ascii="宋体" w:hAnsi="宋体" w:cs="宋体" w:eastAsia="宋体" w:hint="default"/>
                <w:sz w:val="21"/>
                <w:szCs w:val="21"/>
              </w:rPr>
              <w:t>是</w:t>
            </w:r>
          </w:p>
        </w:tc>
      </w:tr>
      <w:tr>
        <w:trPr>
          <w:trHeight w:val="287" w:hRule="exact"/>
        </w:trPr>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石黑征三</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阿尔派株式会社</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社长</w:t>
            </w:r>
          </w:p>
        </w:tc>
        <w:tc>
          <w:tcPr>
            <w:tcW w:w="12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12"/>
              <w:jc w:val="right"/>
              <w:rPr>
                <w:rFonts w:ascii="宋体" w:hAnsi="宋体" w:cs="宋体" w:eastAsia="宋体" w:hint="default"/>
                <w:sz w:val="21"/>
                <w:szCs w:val="21"/>
              </w:rPr>
            </w:pPr>
            <w:r>
              <w:rPr>
                <w:rFonts w:ascii="宋体" w:hAnsi="宋体" w:cs="宋体" w:eastAsia="宋体" w:hint="default"/>
                <w:sz w:val="21"/>
                <w:szCs w:val="21"/>
              </w:rPr>
              <w:t>是</w:t>
            </w:r>
          </w:p>
        </w:tc>
      </w:tr>
      <w:tr>
        <w:trPr>
          <w:trHeight w:val="287" w:hRule="exact"/>
        </w:trPr>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涂赣峰</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东北大学科技产业集团有限公司</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12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12"/>
              <w:jc w:val="right"/>
              <w:rPr>
                <w:rFonts w:ascii="宋体" w:hAnsi="宋体" w:cs="宋体" w:eastAsia="宋体" w:hint="default"/>
                <w:sz w:val="21"/>
                <w:szCs w:val="21"/>
              </w:rPr>
            </w:pPr>
            <w:r>
              <w:rPr>
                <w:rFonts w:ascii="宋体" w:hAnsi="宋体" w:cs="宋体" w:eastAsia="宋体" w:hint="default"/>
                <w:sz w:val="21"/>
                <w:szCs w:val="21"/>
              </w:rPr>
              <w:t>是</w:t>
            </w:r>
          </w:p>
        </w:tc>
      </w:tr>
      <w:tr>
        <w:trPr>
          <w:trHeight w:val="288" w:hRule="exact"/>
        </w:trPr>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春名基</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阿尔派株式会社</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理事、东京事务所所长</w:t>
            </w:r>
          </w:p>
        </w:tc>
        <w:tc>
          <w:tcPr>
            <w:tcW w:w="12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12"/>
              <w:jc w:val="right"/>
              <w:rPr>
                <w:rFonts w:ascii="宋体" w:hAnsi="宋体" w:cs="宋体" w:eastAsia="宋体" w:hint="default"/>
                <w:sz w:val="21"/>
                <w:szCs w:val="21"/>
              </w:rPr>
            </w:pPr>
            <w:r>
              <w:rPr>
                <w:rFonts w:ascii="宋体" w:hAnsi="宋体" w:cs="宋体" w:eastAsia="宋体" w:hint="default"/>
                <w:sz w:val="21"/>
                <w:szCs w:val="21"/>
              </w:rPr>
              <w:t>是</w:t>
            </w:r>
          </w:p>
        </w:tc>
      </w:tr>
      <w:tr>
        <w:trPr>
          <w:trHeight w:val="287" w:hRule="exact"/>
        </w:trPr>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黄孔威</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上海梅山钢铁股份有限公司</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2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12"/>
              <w:jc w:val="right"/>
              <w:rPr>
                <w:rFonts w:ascii="宋体" w:hAnsi="宋体" w:cs="宋体" w:eastAsia="宋体" w:hint="default"/>
                <w:sz w:val="21"/>
                <w:szCs w:val="21"/>
              </w:rPr>
            </w:pPr>
            <w:r>
              <w:rPr>
                <w:rFonts w:ascii="宋体" w:hAnsi="宋体" w:cs="宋体" w:eastAsia="宋体" w:hint="default"/>
                <w:sz w:val="21"/>
                <w:szCs w:val="21"/>
              </w:rPr>
              <w:t>是</w:t>
            </w:r>
          </w:p>
        </w:tc>
      </w:tr>
      <w:tr>
        <w:trPr>
          <w:trHeight w:val="288" w:hRule="exact"/>
        </w:trPr>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赵宏</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沈阳慧旭科技股份有限公司</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2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12"/>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王自栋</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沈阳慧旭科技股份有限公司</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12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12"/>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王经锡</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沈阳慧旭科技股份有限公司</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2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12"/>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徐庆荣</w:t>
            </w:r>
          </w:p>
        </w:tc>
        <w:tc>
          <w:tcPr>
            <w:tcW w:w="3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沈阳慧旭科技股份有限公司</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25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12"/>
              <w:jc w:val="right"/>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10"/>
        <w:rPr>
          <w:rFonts w:ascii="宋体" w:hAnsi="宋体" w:cs="宋体" w:eastAsia="宋体" w:hint="default"/>
          <w:sz w:val="18"/>
          <w:szCs w:val="18"/>
        </w:rPr>
      </w:pPr>
    </w:p>
    <w:p>
      <w:pPr>
        <w:pStyle w:val="BodyText"/>
        <w:spacing w:line="240" w:lineRule="auto" w:before="26"/>
        <w:ind w:left="220" w:right="0"/>
        <w:jc w:val="left"/>
      </w:pPr>
      <w:r>
        <w:rPr/>
        <w:t>（三）在除全资子公司、控股子公司、股东单位外的其他单位任职情况</w:t>
      </w:r>
    </w:p>
    <w:p>
      <w:pPr>
        <w:spacing w:line="240" w:lineRule="auto" w:before="10"/>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1387"/>
        <w:gridCol w:w="5100"/>
        <w:gridCol w:w="1702"/>
        <w:gridCol w:w="1228"/>
      </w:tblGrid>
      <w:tr>
        <w:trPr>
          <w:trHeight w:val="560" w:hRule="exact"/>
        </w:trPr>
        <w:tc>
          <w:tcPr>
            <w:tcW w:w="13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b/>
                <w:bCs/>
                <w:sz w:val="21"/>
                <w:szCs w:val="21"/>
              </w:rPr>
              <w:t>姓名</w:t>
            </w:r>
            <w:r>
              <w:rPr>
                <w:rFonts w:ascii="宋体" w:hAnsi="宋体" w:cs="宋体" w:eastAsia="宋体" w:hint="default"/>
                <w:sz w:val="21"/>
                <w:szCs w:val="21"/>
              </w:rPr>
            </w: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b/>
                <w:bCs/>
                <w:sz w:val="21"/>
                <w:szCs w:val="21"/>
              </w:rPr>
              <w:t>其他单位名称</w:t>
            </w:r>
            <w:r>
              <w:rPr>
                <w:rFonts w:ascii="宋体" w:hAnsi="宋体" w:cs="宋体" w:eastAsia="宋体" w:hint="default"/>
                <w:sz w:val="21"/>
                <w:szCs w:val="21"/>
              </w:rPr>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316" w:right="0"/>
              <w:jc w:val="left"/>
              <w:rPr>
                <w:rFonts w:ascii="宋体" w:hAnsi="宋体" w:cs="宋体" w:eastAsia="宋体" w:hint="default"/>
                <w:sz w:val="21"/>
                <w:szCs w:val="21"/>
              </w:rPr>
            </w:pPr>
            <w:r>
              <w:rPr>
                <w:rFonts w:ascii="宋体" w:hAnsi="宋体" w:cs="宋体" w:eastAsia="宋体" w:hint="default"/>
                <w:b/>
                <w:bCs/>
                <w:sz w:val="21"/>
                <w:szCs w:val="21"/>
              </w:rPr>
              <w:t>担任的职务</w:t>
            </w:r>
            <w:r>
              <w:rPr>
                <w:rFonts w:ascii="宋体" w:hAnsi="宋体" w:cs="宋体" w:eastAsia="宋体" w:hint="default"/>
                <w:sz w:val="21"/>
                <w:szCs w:val="21"/>
              </w:rPr>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83" w:right="0" w:firstLine="1"/>
              <w:jc w:val="left"/>
              <w:rPr>
                <w:rFonts w:ascii="宋体" w:hAnsi="宋体" w:cs="宋体" w:eastAsia="宋体" w:hint="default"/>
                <w:sz w:val="21"/>
                <w:szCs w:val="21"/>
              </w:rPr>
            </w:pPr>
            <w:r>
              <w:rPr>
                <w:rFonts w:ascii="宋体" w:hAnsi="宋体" w:cs="宋体" w:eastAsia="宋体" w:hint="default"/>
                <w:b/>
                <w:bCs/>
                <w:sz w:val="21"/>
                <w:szCs w:val="21"/>
              </w:rPr>
              <w:t>是否领取</w:t>
            </w:r>
            <w:r>
              <w:rPr>
                <w:rFonts w:ascii="宋体" w:hAnsi="宋体" w:cs="宋体" w:eastAsia="宋体" w:hint="default"/>
                <w:sz w:val="21"/>
                <w:szCs w:val="21"/>
              </w:rPr>
            </w:r>
          </w:p>
          <w:p>
            <w:pPr>
              <w:pStyle w:val="TableParagraph"/>
              <w:spacing w:line="274" w:lineRule="exact"/>
              <w:ind w:left="183" w:right="0"/>
              <w:jc w:val="left"/>
              <w:rPr>
                <w:rFonts w:ascii="宋体" w:hAnsi="宋体" w:cs="宋体" w:eastAsia="宋体" w:hint="default"/>
                <w:sz w:val="21"/>
                <w:szCs w:val="21"/>
              </w:rPr>
            </w:pPr>
            <w:r>
              <w:rPr>
                <w:rFonts w:ascii="宋体" w:hAnsi="宋体" w:cs="宋体" w:eastAsia="宋体" w:hint="default"/>
                <w:b/>
                <w:bCs/>
                <w:sz w:val="21"/>
                <w:szCs w:val="21"/>
              </w:rPr>
              <w:t>报酬津贴</w:t>
            </w:r>
            <w:r>
              <w:rPr>
                <w:rFonts w:ascii="宋体" w:hAnsi="宋体" w:cs="宋体" w:eastAsia="宋体" w:hint="default"/>
                <w:sz w:val="21"/>
                <w:szCs w:val="21"/>
              </w:rPr>
            </w:r>
          </w:p>
        </w:tc>
      </w:tr>
      <w:tr>
        <w:trPr>
          <w:trHeight w:val="287" w:hRule="exact"/>
        </w:trPr>
        <w:tc>
          <w:tcPr>
            <w:tcW w:w="138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刘积仁</w:t>
            </w: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大连东软信息学院</w:t>
            </w:r>
            <w:r>
              <w:rPr>
                <w:rFonts w:ascii="宋体" w:hAnsi="宋体" w:cs="宋体" w:eastAsia="宋体" w:hint="default"/>
                <w:spacing w:val="-2"/>
                <w:sz w:val="21"/>
                <w:szCs w:val="21"/>
              </w:rPr>
              <w:t> </w:t>
            </w:r>
            <w:r>
              <w:rPr>
                <w:rFonts w:ascii="宋体" w:hAnsi="宋体" w:cs="宋体" w:eastAsia="宋体" w:hint="default"/>
                <w:sz w:val="21"/>
                <w:szCs w:val="21"/>
              </w:rPr>
              <w:t>（注）</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387" w:type="dxa"/>
            <w:vMerge/>
            <w:tcBorders>
              <w:left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大连东软信息技术职业学院</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387" w:type="dxa"/>
            <w:vMerge/>
            <w:tcBorders>
              <w:left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南海东软信息技术职业学院</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387" w:type="dxa"/>
            <w:vMerge/>
            <w:tcBorders>
              <w:left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成都东软信息技术职业学院</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387" w:type="dxa"/>
            <w:vMerge/>
            <w:tcBorders>
              <w:left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东软飞利浦医疗设备系统有限责任公司</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387" w:type="dxa"/>
            <w:vMerge/>
            <w:tcBorders>
              <w:left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诺基亚西门子东软通信技术有限公司</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387" w:type="dxa"/>
            <w:vMerge/>
            <w:tcBorders>
              <w:left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东众通信技术有限公司</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387" w:type="dxa"/>
            <w:vMerge/>
            <w:tcBorders>
              <w:left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辽宁盛京熙康健康管理有限公司</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387" w:type="dxa"/>
            <w:vMerge/>
            <w:tcBorders>
              <w:left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大连东软信息服务有限公司</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387" w:type="dxa"/>
            <w:vMerge/>
            <w:tcBorders>
              <w:left w:val="single" w:sz="6" w:space="0" w:color="000000"/>
              <w:bottom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Harman International</w:t>
            </w:r>
            <w:r>
              <w:rPr>
                <w:rFonts w:ascii="宋体"/>
                <w:spacing w:val="-22"/>
                <w:sz w:val="21"/>
              </w:rPr>
              <w:t> </w:t>
            </w:r>
            <w:r>
              <w:rPr>
                <w:rFonts w:ascii="宋体"/>
                <w:sz w:val="21"/>
              </w:rPr>
              <w:t>Industries,Incorporated</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288" w:hRule="exact"/>
        </w:trPr>
        <w:tc>
          <w:tcPr>
            <w:tcW w:w="1387" w:type="dxa"/>
            <w:vMerge w:val="restart"/>
            <w:tcBorders>
              <w:top w:val="single" w:sz="6" w:space="0" w:color="000000"/>
              <w:left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9"/>
                <w:szCs w:val="29"/>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王勇峰</w:t>
            </w: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诺基亚西门子东软通信技术有限公司</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387" w:type="dxa"/>
            <w:vMerge/>
            <w:tcBorders>
              <w:left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北京利博赛社保信息技术有限公司</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387" w:type="dxa"/>
            <w:vMerge/>
            <w:tcBorders>
              <w:left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北京东大阿尔派中电科电力系统技术有限公司</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387" w:type="dxa"/>
            <w:vMerge/>
            <w:tcBorders>
              <w:left w:val="single" w:sz="6" w:space="0" w:color="000000"/>
              <w:bottom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辽宁盛京熙康健康管理有限公司</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387" w:type="dxa"/>
            <w:vMerge w:val="restart"/>
            <w:tcBorders>
              <w:top w:val="single" w:sz="6" w:space="0" w:color="000000"/>
              <w:left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王莉</w:t>
            </w: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大连东软信息学院</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387" w:type="dxa"/>
            <w:vMerge/>
            <w:tcBorders>
              <w:left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大连东软信息技术职业学院</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387" w:type="dxa"/>
            <w:vMerge/>
            <w:tcBorders>
              <w:left w:val="single" w:sz="6" w:space="0" w:color="000000"/>
              <w:bottom w:val="single" w:sz="4"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南海东软信息技术职业学院</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bl>
    <w:p>
      <w:pPr>
        <w:spacing w:after="0" w:line="241" w:lineRule="exact"/>
        <w:jc w:val="center"/>
        <w:rPr>
          <w:rFonts w:ascii="宋体" w:hAnsi="宋体" w:cs="宋体" w:eastAsia="宋体" w:hint="default"/>
          <w:sz w:val="21"/>
          <w:szCs w:val="21"/>
        </w:rPr>
        <w:sectPr>
          <w:pgSz w:w="11910" w:h="16840"/>
          <w:pgMar w:header="720" w:footer="721" w:top="1100" w:bottom="920" w:left="1140" w:right="1080"/>
        </w:sectPr>
      </w:pPr>
    </w:p>
    <w:p>
      <w:pPr>
        <w:spacing w:line="240" w:lineRule="auto" w:before="0"/>
        <w:rPr>
          <w:rFonts w:ascii="宋体" w:hAnsi="宋体" w:cs="宋体" w:eastAsia="宋体" w:hint="default"/>
          <w:sz w:val="25"/>
          <w:szCs w:val="25"/>
        </w:rPr>
      </w:pPr>
    </w:p>
    <w:tbl>
      <w:tblPr>
        <w:tblW w:w="0" w:type="auto"/>
        <w:jc w:val="left"/>
        <w:tblInd w:w="106" w:type="dxa"/>
        <w:tblLayout w:type="fixed"/>
        <w:tblCellMar>
          <w:top w:w="0" w:type="dxa"/>
          <w:left w:w="0" w:type="dxa"/>
          <w:bottom w:w="0" w:type="dxa"/>
          <w:right w:w="0" w:type="dxa"/>
        </w:tblCellMar>
        <w:tblLook w:val="01E0"/>
      </w:tblPr>
      <w:tblGrid>
        <w:gridCol w:w="1387"/>
        <w:gridCol w:w="5100"/>
        <w:gridCol w:w="1702"/>
        <w:gridCol w:w="1228"/>
      </w:tblGrid>
      <w:tr>
        <w:trPr>
          <w:trHeight w:val="559" w:hRule="exact"/>
        </w:trPr>
        <w:tc>
          <w:tcPr>
            <w:tcW w:w="13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b/>
                <w:bCs/>
                <w:sz w:val="21"/>
                <w:szCs w:val="21"/>
              </w:rPr>
              <w:t>姓名</w:t>
            </w:r>
            <w:r>
              <w:rPr>
                <w:rFonts w:ascii="宋体" w:hAnsi="宋体" w:cs="宋体" w:eastAsia="宋体" w:hint="default"/>
                <w:sz w:val="21"/>
                <w:szCs w:val="21"/>
              </w:rPr>
            </w: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b/>
                <w:bCs/>
                <w:sz w:val="21"/>
                <w:szCs w:val="21"/>
              </w:rPr>
              <w:t>其他单位名称</w:t>
            </w:r>
            <w:r>
              <w:rPr>
                <w:rFonts w:ascii="宋体" w:hAnsi="宋体" w:cs="宋体" w:eastAsia="宋体" w:hint="default"/>
                <w:sz w:val="21"/>
                <w:szCs w:val="21"/>
              </w:rPr>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316" w:right="0"/>
              <w:jc w:val="left"/>
              <w:rPr>
                <w:rFonts w:ascii="宋体" w:hAnsi="宋体" w:cs="宋体" w:eastAsia="宋体" w:hint="default"/>
                <w:sz w:val="21"/>
                <w:szCs w:val="21"/>
              </w:rPr>
            </w:pPr>
            <w:r>
              <w:rPr>
                <w:rFonts w:ascii="宋体" w:hAnsi="宋体" w:cs="宋体" w:eastAsia="宋体" w:hint="default"/>
                <w:b/>
                <w:bCs/>
                <w:sz w:val="21"/>
                <w:szCs w:val="21"/>
              </w:rPr>
              <w:t>担任的职务</w:t>
            </w:r>
            <w:r>
              <w:rPr>
                <w:rFonts w:ascii="宋体" w:hAnsi="宋体" w:cs="宋体" w:eastAsia="宋体" w:hint="default"/>
                <w:sz w:val="21"/>
                <w:szCs w:val="21"/>
              </w:rPr>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83" w:right="0" w:firstLine="1"/>
              <w:jc w:val="left"/>
              <w:rPr>
                <w:rFonts w:ascii="宋体" w:hAnsi="宋体" w:cs="宋体" w:eastAsia="宋体" w:hint="default"/>
                <w:sz w:val="21"/>
                <w:szCs w:val="21"/>
              </w:rPr>
            </w:pPr>
            <w:r>
              <w:rPr>
                <w:rFonts w:ascii="宋体" w:hAnsi="宋体" w:cs="宋体" w:eastAsia="宋体" w:hint="default"/>
                <w:b/>
                <w:bCs/>
                <w:sz w:val="21"/>
                <w:szCs w:val="21"/>
              </w:rPr>
              <w:t>是否领取</w:t>
            </w:r>
            <w:r>
              <w:rPr>
                <w:rFonts w:ascii="宋体" w:hAnsi="宋体" w:cs="宋体" w:eastAsia="宋体" w:hint="default"/>
                <w:sz w:val="21"/>
                <w:szCs w:val="21"/>
              </w:rPr>
            </w:r>
          </w:p>
          <w:p>
            <w:pPr>
              <w:pStyle w:val="TableParagraph"/>
              <w:spacing w:line="274" w:lineRule="exact"/>
              <w:ind w:left="183" w:right="0"/>
              <w:jc w:val="left"/>
              <w:rPr>
                <w:rFonts w:ascii="宋体" w:hAnsi="宋体" w:cs="宋体" w:eastAsia="宋体" w:hint="default"/>
                <w:sz w:val="21"/>
                <w:szCs w:val="21"/>
              </w:rPr>
            </w:pPr>
            <w:r>
              <w:rPr>
                <w:rFonts w:ascii="宋体" w:hAnsi="宋体" w:cs="宋体" w:eastAsia="宋体" w:hint="default"/>
                <w:b/>
                <w:bCs/>
                <w:sz w:val="21"/>
                <w:szCs w:val="21"/>
              </w:rPr>
              <w:t>报酬津贴</w:t>
            </w:r>
            <w:r>
              <w:rPr>
                <w:rFonts w:ascii="宋体" w:hAnsi="宋体" w:cs="宋体" w:eastAsia="宋体" w:hint="default"/>
                <w:sz w:val="21"/>
                <w:szCs w:val="21"/>
              </w:rPr>
            </w:r>
          </w:p>
        </w:tc>
      </w:tr>
      <w:tr>
        <w:trPr>
          <w:trHeight w:val="288" w:hRule="exact"/>
        </w:trPr>
        <w:tc>
          <w:tcPr>
            <w:tcW w:w="1387" w:type="dxa"/>
            <w:vMerge w:val="restart"/>
            <w:tcBorders>
              <w:top w:val="single" w:sz="6" w:space="0" w:color="000000"/>
              <w:left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王莉</w:t>
            </w: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成都东软信息技术职业学院</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387" w:type="dxa"/>
            <w:vMerge/>
            <w:tcBorders>
              <w:left w:val="single" w:sz="6" w:space="0" w:color="000000"/>
              <w:bottom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北京东大阿尔派中电科电力系统技术有限公司</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387" w:type="dxa"/>
            <w:vMerge w:val="restart"/>
            <w:tcBorders>
              <w:top w:val="single" w:sz="6" w:space="0" w:color="000000"/>
              <w:left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吕建</w:t>
            </w: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南京大学计算机软件研究所</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副所长</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287" w:hRule="exact"/>
        </w:trPr>
        <w:tc>
          <w:tcPr>
            <w:tcW w:w="1387" w:type="dxa"/>
            <w:vMerge/>
            <w:tcBorders>
              <w:left w:val="single" w:sz="6" w:space="0" w:color="000000"/>
              <w:bottom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南京大学计算机软件新技术国家重点实验室</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主任</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288" w:hRule="exact"/>
        </w:trPr>
        <w:tc>
          <w:tcPr>
            <w:tcW w:w="1387" w:type="dxa"/>
            <w:vMerge w:val="restart"/>
            <w:tcBorders>
              <w:top w:val="single" w:sz="6" w:space="0" w:color="000000"/>
              <w:left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方红星</w:t>
            </w: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东北财经大学会计学院</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院长</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287" w:hRule="exact"/>
        </w:trPr>
        <w:tc>
          <w:tcPr>
            <w:tcW w:w="1387" w:type="dxa"/>
            <w:vMerge/>
            <w:tcBorders>
              <w:left w:val="single" w:sz="6" w:space="0" w:color="000000"/>
              <w:bottom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东北财经大学出版社有限责任公司</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副董事长、社长</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288" w:hRule="exact"/>
        </w:trPr>
        <w:tc>
          <w:tcPr>
            <w:tcW w:w="138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薛澜</w:t>
            </w: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清华大学公共管理学院</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院长</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287" w:hRule="exact"/>
        </w:trPr>
        <w:tc>
          <w:tcPr>
            <w:tcW w:w="138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卢朝霞</w:t>
            </w: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北京利博赛社保信息技术有限公司</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287" w:hRule="exact"/>
        </w:trPr>
        <w:tc>
          <w:tcPr>
            <w:tcW w:w="1387" w:type="dxa"/>
            <w:vMerge w:val="restart"/>
            <w:tcBorders>
              <w:top w:val="single" w:sz="6" w:space="0" w:color="000000"/>
              <w:left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9"/>
                <w:szCs w:val="29"/>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王经锡</w:t>
            </w: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大连东软信息学院</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387" w:type="dxa"/>
            <w:vMerge/>
            <w:tcBorders>
              <w:left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大连东软信息技术职业学院</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387" w:type="dxa"/>
            <w:vMerge/>
            <w:tcBorders>
              <w:left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南海东软信息技术职业学院</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387" w:type="dxa"/>
            <w:vMerge/>
            <w:tcBorders>
              <w:left w:val="single" w:sz="6" w:space="0" w:color="000000"/>
              <w:bottom w:val="single" w:sz="6" w:space="0" w:color="000000"/>
              <w:right w:val="single" w:sz="6" w:space="0" w:color="000000"/>
            </w:tcBorders>
          </w:tcPr>
          <w:p>
            <w:pP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成都东软信息技术职业学院</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38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李军</w:t>
            </w:r>
          </w:p>
        </w:tc>
        <w:tc>
          <w:tcPr>
            <w:tcW w:w="5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北京利博赛社保信息技术有限公司</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22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6"/>
        <w:rPr>
          <w:rFonts w:ascii="宋体" w:hAnsi="宋体" w:cs="宋体" w:eastAsia="宋体" w:hint="default"/>
          <w:sz w:val="15"/>
          <w:szCs w:val="15"/>
        </w:rPr>
      </w:pPr>
    </w:p>
    <w:p>
      <w:pPr>
        <w:spacing w:line="272" w:lineRule="exact" w:before="63"/>
        <w:ind w:left="200" w:right="104" w:firstLine="0"/>
        <w:jc w:val="left"/>
        <w:rPr>
          <w:rFonts w:ascii="宋体" w:hAnsi="宋体" w:cs="宋体" w:eastAsia="宋体" w:hint="default"/>
          <w:sz w:val="21"/>
          <w:szCs w:val="21"/>
        </w:rPr>
      </w:pPr>
      <w:r>
        <w:rPr>
          <w:rFonts w:ascii="宋体" w:hAnsi="宋体" w:cs="宋体" w:eastAsia="宋体" w:hint="default"/>
          <w:spacing w:val="-3"/>
          <w:sz w:val="21"/>
          <w:szCs w:val="21"/>
        </w:rPr>
        <w:t>注：2008</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宋体" w:hAnsi="宋体" w:cs="宋体" w:eastAsia="宋体" w:hint="default"/>
          <w:sz w:val="21"/>
          <w:szCs w:val="21"/>
        </w:rPr>
        <w:t>9</w:t>
      </w:r>
      <w:r>
        <w:rPr>
          <w:rFonts w:ascii="宋体" w:hAnsi="宋体" w:cs="宋体" w:eastAsia="宋体" w:hint="default"/>
          <w:spacing w:val="-59"/>
          <w:sz w:val="21"/>
          <w:szCs w:val="21"/>
        </w:rPr>
        <w:t> </w:t>
      </w:r>
      <w:r>
        <w:rPr>
          <w:rFonts w:ascii="宋体" w:hAnsi="宋体" w:cs="宋体" w:eastAsia="宋体" w:hint="default"/>
          <w:sz w:val="21"/>
          <w:szCs w:val="21"/>
        </w:rPr>
        <w:t>月，教育部批准东北大学东软信息学院转设为大连东软信息学院，转设后的大连东软信</w:t>
      </w:r>
      <w:r>
        <w:rPr>
          <w:rFonts w:ascii="宋体" w:hAnsi="宋体" w:cs="宋体" w:eastAsia="宋体" w:hint="default"/>
          <w:sz w:val="21"/>
          <w:szCs w:val="21"/>
        </w:rPr>
        <w:t> </w:t>
      </w:r>
      <w:r>
        <w:rPr>
          <w:rFonts w:ascii="宋体" w:hAnsi="宋体" w:cs="宋体" w:eastAsia="宋体" w:hint="default"/>
          <w:spacing w:val="-4"/>
          <w:sz w:val="21"/>
          <w:szCs w:val="21"/>
        </w:rPr>
        <w:t>息学院为独立设置的民办普通本科学校。2009</w:t>
      </w:r>
      <w:r>
        <w:rPr>
          <w:rFonts w:ascii="宋体" w:hAnsi="宋体" w:cs="宋体" w:eastAsia="宋体" w:hint="default"/>
          <w:spacing w:val="-47"/>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宋体" w:hAnsi="宋体" w:cs="宋体" w:eastAsia="宋体" w:hint="default"/>
          <w:sz w:val="21"/>
          <w:szCs w:val="21"/>
        </w:rPr>
        <w:t>6</w:t>
      </w:r>
      <w:r>
        <w:rPr>
          <w:rFonts w:ascii="宋体" w:hAnsi="宋体" w:cs="宋体" w:eastAsia="宋体" w:hint="default"/>
          <w:spacing w:val="-46"/>
          <w:sz w:val="21"/>
          <w:szCs w:val="21"/>
        </w:rPr>
        <w:t> </w:t>
      </w:r>
      <w:r>
        <w:rPr>
          <w:rFonts w:ascii="宋体" w:hAnsi="宋体" w:cs="宋体" w:eastAsia="宋体" w:hint="default"/>
          <w:spacing w:val="-4"/>
          <w:sz w:val="21"/>
          <w:szCs w:val="21"/>
        </w:rPr>
        <w:t>月，大连东软信息学院已经办理完成上述相关手续。</w:t>
      </w:r>
    </w:p>
    <w:p>
      <w:pPr>
        <w:spacing w:line="240" w:lineRule="auto" w:before="12"/>
        <w:rPr>
          <w:rFonts w:ascii="宋体" w:hAnsi="宋体" w:cs="宋体" w:eastAsia="宋体" w:hint="default"/>
          <w:sz w:val="20"/>
          <w:szCs w:val="20"/>
        </w:rPr>
      </w:pPr>
    </w:p>
    <w:p>
      <w:pPr>
        <w:pStyle w:val="BodyText"/>
        <w:spacing w:line="310" w:lineRule="exact"/>
        <w:ind w:left="680" w:right="204" w:hanging="480"/>
        <w:jc w:val="left"/>
      </w:pPr>
      <w:r>
        <w:rPr/>
        <w:t>（四）董事、监事、高级管理人员报酬情况 1、董事、监事、高级管理人员报酬的决策程序：在公司担任行政职务的董事、监事</w:t>
      </w:r>
    </w:p>
    <w:p>
      <w:pPr>
        <w:pStyle w:val="BodyText"/>
        <w:spacing w:line="282" w:lineRule="exact"/>
        <w:ind w:left="200" w:right="104"/>
        <w:jc w:val="left"/>
      </w:pPr>
      <w:r>
        <w:rPr>
          <w:spacing w:val="-4"/>
        </w:rPr>
        <w:t>和高级管理人员的报酬由公司支付。不在公司担任行政职务的董事、监事，公司不支付报</w:t>
      </w:r>
    </w:p>
    <w:p>
      <w:pPr>
        <w:pStyle w:val="BodyText"/>
        <w:spacing w:line="310" w:lineRule="exact" w:before="31"/>
        <w:ind w:left="200" w:right="204"/>
        <w:jc w:val="left"/>
      </w:pPr>
      <w:r>
        <w:rPr>
          <w:spacing w:val="-8"/>
        </w:rPr>
        <w:t>酬，由其所在单位支付。自</w:t>
      </w:r>
      <w:r>
        <w:rPr>
          <w:spacing w:val="-59"/>
        </w:rPr>
        <w:t> </w:t>
      </w:r>
      <w:r>
        <w:rPr/>
        <w:t>2001</w:t>
      </w:r>
      <w:r>
        <w:rPr>
          <w:spacing w:val="-59"/>
        </w:rPr>
        <w:t> </w:t>
      </w:r>
      <w:r>
        <w:rPr>
          <w:spacing w:val="-5"/>
        </w:rPr>
        <w:t>年度起，根据股东大会决议，公司以每人每年</w:t>
      </w:r>
      <w:r>
        <w:rPr>
          <w:spacing w:val="-59"/>
        </w:rPr>
        <w:t> </w:t>
      </w:r>
      <w:r>
        <w:rPr/>
        <w:t>5</w:t>
      </w:r>
      <w:r>
        <w:rPr>
          <w:spacing w:val="-59"/>
        </w:rPr>
        <w:t> </w:t>
      </w:r>
      <w:r>
        <w:rPr>
          <w:spacing w:val="-12"/>
        </w:rPr>
        <w:t>万元（税</w:t>
      </w:r>
      <w:r>
        <w:rPr/>
        <w:t> 前）的标准向独立董事支付津贴，其参加会议的费用据实报销。</w:t>
      </w:r>
    </w:p>
    <w:p>
      <w:pPr>
        <w:pStyle w:val="BodyText"/>
        <w:spacing w:line="282" w:lineRule="exact"/>
        <w:ind w:left="200" w:right="104" w:firstLine="480"/>
        <w:jc w:val="left"/>
      </w:pPr>
      <w:r>
        <w:rPr/>
        <w:t>2、董事、监事、高级管理人员报酬确定依据：在公司担任行政职务的董事、监事、</w:t>
      </w:r>
    </w:p>
    <w:p>
      <w:pPr>
        <w:pStyle w:val="BodyText"/>
        <w:spacing w:line="310" w:lineRule="exact" w:before="31"/>
        <w:ind w:left="200" w:right="104"/>
        <w:jc w:val="left"/>
      </w:pPr>
      <w:r>
        <w:rPr>
          <w:spacing w:val="-4"/>
        </w:rPr>
        <w:t>高级管理人员的报酬依据公司的整体薪酬政策和工资标准，结合公司的实际经营情况，参</w:t>
      </w:r>
      <w:r>
        <w:rPr>
          <w:spacing w:val="-82"/>
        </w:rPr>
        <w:t> </w:t>
      </w:r>
      <w:r>
        <w:rPr>
          <w:spacing w:val="-82"/>
        </w:rPr>
      </w:r>
      <w:r>
        <w:rPr/>
        <w:t>考同业标准，经董事会薪酬与考核委员会审核后，由公司董事会审议确定。</w:t>
      </w:r>
    </w:p>
    <w:p>
      <w:pPr>
        <w:spacing w:line="240" w:lineRule="auto" w:before="6"/>
        <w:rPr>
          <w:rFonts w:ascii="宋体" w:hAnsi="宋体" w:cs="宋体" w:eastAsia="宋体" w:hint="default"/>
          <w:sz w:val="21"/>
          <w:szCs w:val="21"/>
        </w:rPr>
      </w:pPr>
    </w:p>
    <w:p>
      <w:pPr>
        <w:pStyle w:val="BodyText"/>
        <w:spacing w:line="312" w:lineRule="exact"/>
        <w:ind w:left="200" w:right="104"/>
        <w:jc w:val="left"/>
      </w:pPr>
      <w:r>
        <w:rPr/>
        <w:t>（五）公司董事、监事、高级管理人员变动情况</w:t>
      </w:r>
    </w:p>
    <w:p>
      <w:pPr>
        <w:pStyle w:val="BodyText"/>
        <w:spacing w:line="312" w:lineRule="exact" w:before="29"/>
        <w:ind w:left="200" w:right="201" w:firstLine="480"/>
        <w:jc w:val="left"/>
      </w:pPr>
      <w:r>
        <w:rPr>
          <w:spacing w:val="25"/>
        </w:rPr>
        <w:t>2009年4月</w:t>
      </w:r>
      <w:r>
        <w:rPr>
          <w:spacing w:val="-86"/>
        </w:rPr>
        <w:t> </w:t>
      </w:r>
      <w:r>
        <w:rPr/>
        <w:t>14</w:t>
      </w:r>
      <w:r>
        <w:rPr>
          <w:spacing w:val="-86"/>
        </w:rPr>
        <w:t> </w:t>
      </w:r>
      <w:r>
        <w:rPr/>
        <w:t>日，因工作原因，沓泽虔太郎辞去其所担任的公司董事、副董事长等</w:t>
      </w:r>
      <w:r>
        <w:rPr/>
        <w:t> 职务。</w:t>
      </w:r>
    </w:p>
    <w:p>
      <w:pPr>
        <w:pStyle w:val="BodyText"/>
        <w:spacing w:line="281" w:lineRule="exact"/>
        <w:ind w:left="680" w:right="104"/>
        <w:jc w:val="left"/>
      </w:pPr>
      <w:r>
        <w:rPr>
          <w:spacing w:val="25"/>
        </w:rPr>
        <w:t>2009年4月</w:t>
      </w:r>
      <w:r>
        <w:rPr>
          <w:spacing w:val="-59"/>
        </w:rPr>
        <w:t> </w:t>
      </w:r>
      <w:r>
        <w:rPr/>
        <w:t>28</w:t>
      </w:r>
      <w:r>
        <w:rPr>
          <w:spacing w:val="-59"/>
        </w:rPr>
        <w:t> </w:t>
      </w:r>
      <w:r>
        <w:rPr/>
        <w:t>日，公司</w:t>
      </w:r>
      <w:r>
        <w:rPr>
          <w:spacing w:val="-59"/>
        </w:rPr>
        <w:t> </w:t>
      </w:r>
      <w:r>
        <w:rPr/>
        <w:t>2008</w:t>
      </w:r>
      <w:r>
        <w:rPr>
          <w:spacing w:val="-59"/>
        </w:rPr>
        <w:t> </w:t>
      </w:r>
      <w:r>
        <w:rPr/>
        <w:t>年度股东大会审议通过了《关于更换董事的议案》，</w:t>
      </w:r>
    </w:p>
    <w:p>
      <w:pPr>
        <w:pStyle w:val="BodyText"/>
        <w:spacing w:line="311" w:lineRule="exact"/>
        <w:ind w:left="200" w:right="104"/>
        <w:jc w:val="left"/>
      </w:pPr>
      <w:r>
        <w:rPr/>
        <w:t>股东大会选举石黑征三担任公司董事。</w:t>
      </w:r>
    </w:p>
    <w:p>
      <w:pPr>
        <w:pStyle w:val="BodyText"/>
        <w:spacing w:line="310" w:lineRule="exact" w:before="31"/>
        <w:ind w:left="200" w:right="145" w:firstLine="480"/>
        <w:jc w:val="left"/>
      </w:pPr>
      <w:r>
        <w:rPr>
          <w:spacing w:val="25"/>
        </w:rPr>
        <w:t>2009年4月</w:t>
      </w:r>
      <w:r>
        <w:rPr>
          <w:spacing w:val="-58"/>
        </w:rPr>
        <w:t> </w:t>
      </w:r>
      <w:r>
        <w:rPr/>
        <w:t>28</w:t>
      </w:r>
      <w:r>
        <w:rPr>
          <w:spacing w:val="-58"/>
        </w:rPr>
        <w:t> </w:t>
      </w:r>
      <w:r>
        <w:rPr/>
        <w:t>日，公司五届八次董事会审议通过了《关于选举副董事长的议案》，</w:t>
      </w:r>
      <w:r>
        <w:rPr/>
        <w:t> 董事会选举王勇峰担任公司副董事长。</w:t>
      </w:r>
    </w:p>
    <w:p>
      <w:pPr>
        <w:pStyle w:val="BodyText"/>
        <w:spacing w:line="310" w:lineRule="exact" w:before="2"/>
        <w:ind w:left="200" w:right="199" w:firstLine="480"/>
        <w:jc w:val="left"/>
      </w:pPr>
      <w:r>
        <w:rPr>
          <w:spacing w:val="25"/>
        </w:rPr>
        <w:t>2009年7月</w:t>
      </w:r>
      <w:r>
        <w:rPr>
          <w:spacing w:val="-85"/>
        </w:rPr>
        <w:t> </w:t>
      </w:r>
      <w:r>
        <w:rPr/>
        <w:t>20</w:t>
      </w:r>
      <w:r>
        <w:rPr>
          <w:spacing w:val="-85"/>
        </w:rPr>
        <w:t> </w:t>
      </w:r>
      <w:r>
        <w:rPr/>
        <w:t>日，根据国家教育部的相关规定，怀进鹏申请辞去其所担任的公司独</w:t>
      </w:r>
      <w:r>
        <w:rPr/>
        <w:t> 立董事等职务。</w:t>
      </w:r>
    </w:p>
    <w:p>
      <w:pPr>
        <w:pStyle w:val="BodyText"/>
        <w:spacing w:line="282" w:lineRule="exact"/>
        <w:ind w:left="680" w:right="104"/>
        <w:jc w:val="left"/>
      </w:pPr>
      <w:r>
        <w:rPr>
          <w:spacing w:val="25"/>
        </w:rPr>
        <w:t>2009年7月</w:t>
      </w:r>
      <w:r>
        <w:rPr>
          <w:spacing w:val="-87"/>
        </w:rPr>
        <w:t> </w:t>
      </w:r>
      <w:r>
        <w:rPr/>
        <w:t>20</w:t>
      </w:r>
      <w:r>
        <w:rPr>
          <w:spacing w:val="-87"/>
        </w:rPr>
        <w:t> </w:t>
      </w:r>
      <w:r>
        <w:rPr/>
        <w:t>日，根据国家教育部的相关规定，王宛山申请辞去其所担任的公司监</w:t>
      </w:r>
    </w:p>
    <w:p>
      <w:pPr>
        <w:pStyle w:val="BodyText"/>
        <w:spacing w:line="311" w:lineRule="exact"/>
        <w:ind w:left="200" w:right="104"/>
        <w:jc w:val="left"/>
      </w:pPr>
      <w:r>
        <w:rPr/>
        <w:t>事、监事长职务。</w:t>
      </w:r>
    </w:p>
    <w:p>
      <w:pPr>
        <w:pStyle w:val="BodyText"/>
        <w:spacing w:line="237" w:lineRule="auto" w:before="1"/>
        <w:ind w:left="200" w:right="94" w:firstLine="480"/>
        <w:jc w:val="left"/>
      </w:pPr>
      <w:r>
        <w:rPr>
          <w:spacing w:val="20"/>
        </w:rPr>
        <w:t>2009年8月</w:t>
      </w:r>
      <w:r>
        <w:rPr>
          <w:spacing w:val="-62"/>
        </w:rPr>
        <w:t> </w:t>
      </w:r>
      <w:r>
        <w:rPr>
          <w:spacing w:val="-1"/>
        </w:rPr>
        <w:t>10</w:t>
      </w:r>
      <w:r>
        <w:rPr>
          <w:spacing w:val="-62"/>
        </w:rPr>
        <w:t> </w:t>
      </w:r>
      <w:r>
        <w:rPr>
          <w:spacing w:val="-12"/>
        </w:rPr>
        <w:t>日，公司五届十次董事会审议通过了《关于聘任高级管理人员的议案》，</w:t>
      </w:r>
      <w:r>
        <w:rPr/>
        <w:t> </w:t>
      </w:r>
      <w:r>
        <w:rPr>
          <w:spacing w:val="-4"/>
        </w:rPr>
        <w:t>卢朝霞不再兼任首席运营官职务，其继续担任高级副总裁职务。董事会聘任陈锡民为高级</w:t>
      </w:r>
      <w:r>
        <w:rPr>
          <w:spacing w:val="-82"/>
        </w:rPr>
        <w:t> </w:t>
      </w:r>
      <w:r>
        <w:rPr>
          <w:spacing w:val="-82"/>
        </w:rPr>
      </w:r>
      <w:r>
        <w:rPr/>
        <w:t>副总裁兼首席运营官。</w:t>
      </w:r>
    </w:p>
    <w:p>
      <w:pPr>
        <w:pStyle w:val="BodyText"/>
        <w:spacing w:line="237" w:lineRule="auto"/>
        <w:ind w:left="200" w:right="220" w:firstLine="480"/>
        <w:jc w:val="both"/>
      </w:pPr>
      <w:r>
        <w:rPr>
          <w:spacing w:val="25"/>
        </w:rPr>
        <w:t>2009年8月</w:t>
      </w:r>
      <w:r>
        <w:rPr>
          <w:spacing w:val="-60"/>
        </w:rPr>
        <w:t> </w:t>
      </w:r>
      <w:r>
        <w:rPr/>
        <w:t>27</w:t>
      </w:r>
      <w:r>
        <w:rPr>
          <w:spacing w:val="-60"/>
        </w:rPr>
        <w:t> </w:t>
      </w:r>
      <w:r>
        <w:rPr/>
        <w:t>日，公司</w:t>
      </w:r>
      <w:r>
        <w:rPr>
          <w:spacing w:val="-60"/>
        </w:rPr>
        <w:t> </w:t>
      </w:r>
      <w:r>
        <w:rPr/>
        <w:t>2009</w:t>
      </w:r>
      <w:r>
        <w:rPr>
          <w:spacing w:val="-60"/>
        </w:rPr>
        <w:t> </w:t>
      </w:r>
      <w:r>
        <w:rPr/>
        <w:t>年第一次临时股东大会审议通过了《关于更换独立董</w:t>
      </w:r>
      <w:r>
        <w:rPr/>
        <w:t> </w:t>
      </w:r>
      <w:r>
        <w:rPr>
          <w:spacing w:val="-4"/>
        </w:rPr>
        <w:t>事的议案》，股东大会选举薛澜任公司独立董事。同时股东大会审议通过了《关于更换监</w:t>
      </w:r>
      <w:r>
        <w:rPr>
          <w:spacing w:val="-84"/>
        </w:rPr>
        <w:t> </w:t>
      </w:r>
      <w:r>
        <w:rPr>
          <w:spacing w:val="-84"/>
        </w:rPr>
      </w:r>
      <w:r>
        <w:rPr/>
        <w:t>事的议案》，股东大会选举涂赣峰任公司监事。</w:t>
      </w:r>
    </w:p>
    <w:p>
      <w:pPr>
        <w:pStyle w:val="BodyText"/>
        <w:spacing w:line="312" w:lineRule="exact" w:before="27"/>
        <w:ind w:left="200" w:right="201" w:firstLine="480"/>
        <w:jc w:val="left"/>
      </w:pPr>
      <w:r>
        <w:rPr>
          <w:spacing w:val="25"/>
        </w:rPr>
        <w:t>2009年8月</w:t>
      </w:r>
      <w:r>
        <w:rPr>
          <w:spacing w:val="-86"/>
        </w:rPr>
        <w:t> </w:t>
      </w:r>
      <w:r>
        <w:rPr/>
        <w:t>27</w:t>
      </w:r>
      <w:r>
        <w:rPr>
          <w:spacing w:val="-86"/>
        </w:rPr>
        <w:t> </w:t>
      </w:r>
      <w:r>
        <w:rPr/>
        <w:t>日，公司五届九次监事会审议通过了《关于选举监事长的议案》，监</w:t>
      </w:r>
      <w:r>
        <w:rPr/>
        <w:t> 事会选举涂赣峰为公司监事长。</w:t>
      </w:r>
    </w:p>
    <w:p>
      <w:pPr>
        <w:spacing w:after="0" w:line="312" w:lineRule="exact"/>
        <w:jc w:val="left"/>
        <w:sectPr>
          <w:pgSz w:w="11910" w:h="16840"/>
          <w:pgMar w:header="720" w:footer="721" w:top="1100" w:bottom="920" w:left="1160" w:right="10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pStyle w:val="BodyText"/>
        <w:spacing w:line="312" w:lineRule="exact" w:before="26"/>
        <w:ind w:right="144"/>
        <w:jc w:val="left"/>
      </w:pPr>
      <w:r>
        <w:rPr/>
        <w:t>（六）公司员工情况</w:t>
      </w:r>
    </w:p>
    <w:p>
      <w:pPr>
        <w:pStyle w:val="BodyText"/>
        <w:spacing w:line="312" w:lineRule="exact" w:before="29"/>
        <w:ind w:right="144" w:firstLine="480"/>
        <w:jc w:val="left"/>
      </w:pPr>
      <w:r>
        <w:rPr/>
        <w:t>截止报告期末，公司在职员工为</w:t>
      </w:r>
      <w:r>
        <w:rPr>
          <w:spacing w:val="-60"/>
        </w:rPr>
        <w:t> </w:t>
      </w:r>
      <w:r>
        <w:rPr/>
        <w:t>15,760</w:t>
      </w:r>
      <w:r>
        <w:rPr>
          <w:spacing w:val="-60"/>
        </w:rPr>
        <w:t> </w:t>
      </w:r>
      <w:r>
        <w:rPr/>
        <w:t>人，无需承担费用的离退休职工。人员结构</w:t>
      </w:r>
      <w:r>
        <w:rPr/>
        <w:t> 如下：</w:t>
      </w:r>
    </w:p>
    <w:p>
      <w:pPr>
        <w:pStyle w:val="BodyText"/>
        <w:spacing w:line="282" w:lineRule="exact"/>
        <w:ind w:right="144"/>
        <w:jc w:val="left"/>
      </w:pPr>
      <w:r>
        <w:rPr/>
        <w:t>1、专业构成情况</w:t>
      </w:r>
    </w:p>
    <w:p>
      <w:pPr>
        <w:spacing w:line="240" w:lineRule="auto" w:before="10"/>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5108"/>
        <w:gridCol w:w="4192"/>
      </w:tblGrid>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b/>
                <w:bCs/>
                <w:sz w:val="21"/>
                <w:szCs w:val="21"/>
              </w:rPr>
              <w:t>专业类别</w:t>
            </w:r>
            <w:r>
              <w:rPr>
                <w:rFonts w:ascii="宋体" w:hAnsi="宋体" w:cs="宋体" w:eastAsia="宋体" w:hint="default"/>
                <w:sz w:val="21"/>
                <w:szCs w:val="21"/>
              </w:rPr>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r>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技术开发</w:t>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13,170</w:t>
            </w:r>
          </w:p>
        </w:tc>
      </w:tr>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市场营销</w:t>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1,050</w:t>
            </w:r>
          </w:p>
        </w:tc>
      </w:tr>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管理人员</w:t>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1,443</w:t>
            </w:r>
          </w:p>
        </w:tc>
      </w:tr>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后勤人员</w:t>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97</w:t>
            </w:r>
          </w:p>
        </w:tc>
      </w:tr>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15,760</w:t>
            </w:r>
          </w:p>
        </w:tc>
      </w:tr>
    </w:tbl>
    <w:p>
      <w:pPr>
        <w:spacing w:line="240" w:lineRule="auto" w:before="10"/>
        <w:rPr>
          <w:rFonts w:ascii="宋体" w:hAnsi="宋体" w:cs="宋体" w:eastAsia="宋体" w:hint="default"/>
          <w:sz w:val="18"/>
          <w:szCs w:val="18"/>
        </w:rPr>
      </w:pPr>
    </w:p>
    <w:p>
      <w:pPr>
        <w:pStyle w:val="BodyText"/>
        <w:spacing w:line="240" w:lineRule="auto" w:before="26"/>
        <w:ind w:right="144"/>
        <w:jc w:val="left"/>
      </w:pPr>
      <w:r>
        <w:rPr/>
        <w:t>2、人员地区分布</w:t>
      </w:r>
    </w:p>
    <w:p>
      <w:pPr>
        <w:spacing w:line="240" w:lineRule="auto" w:before="11"/>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5108"/>
        <w:gridCol w:w="4192"/>
      </w:tblGrid>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b/>
                <w:bCs/>
                <w:sz w:val="21"/>
                <w:szCs w:val="21"/>
              </w:rPr>
              <w:t>地区</w:t>
            </w:r>
            <w:r>
              <w:rPr>
                <w:rFonts w:ascii="宋体" w:hAnsi="宋体" w:cs="宋体" w:eastAsia="宋体" w:hint="default"/>
                <w:sz w:val="21"/>
                <w:szCs w:val="21"/>
              </w:rPr>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r>
      <w:tr>
        <w:trPr>
          <w:trHeight w:val="354"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w:t>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pacing w:val="-1"/>
                <w:sz w:val="21"/>
              </w:rPr>
              <w:t>5,847</w:t>
            </w:r>
          </w:p>
        </w:tc>
      </w:tr>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大连</w:t>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4,770</w:t>
            </w:r>
          </w:p>
        </w:tc>
      </w:tr>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中国其他地区</w:t>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4,718</w:t>
            </w:r>
          </w:p>
        </w:tc>
      </w:tr>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日本</w:t>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135</w:t>
            </w:r>
          </w:p>
        </w:tc>
      </w:tr>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欧美</w:t>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290</w:t>
            </w:r>
          </w:p>
        </w:tc>
      </w:tr>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15,760</w:t>
            </w:r>
          </w:p>
        </w:tc>
      </w:tr>
    </w:tbl>
    <w:p>
      <w:pPr>
        <w:spacing w:line="240" w:lineRule="auto" w:before="10"/>
        <w:rPr>
          <w:rFonts w:ascii="宋体" w:hAnsi="宋体" w:cs="宋体" w:eastAsia="宋体" w:hint="default"/>
          <w:sz w:val="18"/>
          <w:szCs w:val="18"/>
        </w:rPr>
      </w:pPr>
    </w:p>
    <w:p>
      <w:pPr>
        <w:pStyle w:val="BodyText"/>
        <w:spacing w:line="240" w:lineRule="auto" w:before="26"/>
        <w:ind w:right="144"/>
        <w:jc w:val="left"/>
      </w:pPr>
      <w:r>
        <w:rPr/>
        <w:t>3、教育程度情况</w:t>
      </w:r>
    </w:p>
    <w:p>
      <w:pPr>
        <w:spacing w:line="240" w:lineRule="auto" w:before="11"/>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5108"/>
        <w:gridCol w:w="4192"/>
      </w:tblGrid>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b/>
                <w:bCs/>
                <w:sz w:val="21"/>
                <w:szCs w:val="21"/>
              </w:rPr>
              <w:t>教育类别</w:t>
            </w:r>
            <w:r>
              <w:rPr>
                <w:rFonts w:ascii="宋体" w:hAnsi="宋体" w:cs="宋体" w:eastAsia="宋体" w:hint="default"/>
                <w:sz w:val="21"/>
                <w:szCs w:val="21"/>
              </w:rPr>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r>
      <w:tr>
        <w:trPr>
          <w:trHeight w:val="354"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硕士及硕士以上</w:t>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pacing w:val="-1"/>
                <w:sz w:val="21"/>
              </w:rPr>
              <w:t>1,846</w:t>
            </w:r>
          </w:p>
        </w:tc>
      </w:tr>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学士</w:t>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pacing w:val="-1"/>
                <w:sz w:val="21"/>
              </w:rPr>
              <w:t>12,137</w:t>
            </w:r>
          </w:p>
        </w:tc>
      </w:tr>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大专</w:t>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pacing w:val="-1"/>
                <w:sz w:val="21"/>
              </w:rPr>
              <w:t>1,601</w:t>
            </w:r>
          </w:p>
        </w:tc>
      </w:tr>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pacing w:val="-1"/>
                <w:sz w:val="21"/>
              </w:rPr>
              <w:t>176</w:t>
            </w:r>
          </w:p>
        </w:tc>
      </w:tr>
      <w:tr>
        <w:trPr>
          <w:trHeight w:val="355" w:hRule="exact"/>
        </w:trPr>
        <w:tc>
          <w:tcPr>
            <w:tcW w:w="510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19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pacing w:val="-1"/>
                <w:sz w:val="21"/>
              </w:rPr>
              <w:t>15,760</w:t>
            </w:r>
          </w:p>
        </w:tc>
      </w:tr>
    </w:tbl>
    <w:p>
      <w:pPr>
        <w:spacing w:after="0" w:line="274" w:lineRule="exact"/>
        <w:jc w:val="right"/>
        <w:rPr>
          <w:rFonts w:ascii="宋体" w:hAnsi="宋体" w:cs="宋体" w:eastAsia="宋体" w:hint="default"/>
          <w:sz w:val="21"/>
          <w:szCs w:val="21"/>
        </w:rPr>
        <w:sectPr>
          <w:pgSz w:w="11910" w:h="16840"/>
          <w:pgMar w:header="720" w:footer="721" w:top="1100" w:bottom="920" w:left="1220" w:right="114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pStyle w:val="Heading5"/>
        <w:spacing w:line="240" w:lineRule="auto"/>
        <w:ind w:right="0"/>
        <w:jc w:val="both"/>
        <w:rPr>
          <w:b w:val="0"/>
          <w:bCs w:val="0"/>
        </w:rPr>
      </w:pPr>
      <w:bookmarkStart w:name="_bookmark5" w:id="7"/>
      <w:bookmarkEnd w:id="7"/>
      <w:r>
        <w:rPr>
          <w:b w:val="0"/>
          <w:bCs w:val="0"/>
        </w:rPr>
      </w:r>
      <w:r>
        <w:rPr/>
        <w:t>六、公司治理结构</w:t>
      </w:r>
      <w:r>
        <w:rPr>
          <w:b w:val="0"/>
          <w:bCs w:val="0"/>
        </w:rPr>
      </w:r>
    </w:p>
    <w:p>
      <w:pPr>
        <w:pStyle w:val="BodyText"/>
        <w:spacing w:line="310" w:lineRule="exact" w:before="36"/>
        <w:ind w:left="620" w:right="84" w:hanging="480"/>
        <w:jc w:val="left"/>
      </w:pPr>
      <w:r>
        <w:rPr/>
        <w:t>（一）公司治理的情况 </w:t>
      </w:r>
      <w:r>
        <w:rPr>
          <w:spacing w:val="-4"/>
        </w:rPr>
        <w:t>公司在创立之初即十分重视公司治理，深知优秀的公司治理是保证上市公司规范运作</w:t>
      </w:r>
    </w:p>
    <w:p>
      <w:pPr>
        <w:pStyle w:val="BodyText"/>
        <w:spacing w:line="282" w:lineRule="exact"/>
        <w:ind w:right="0"/>
        <w:jc w:val="both"/>
      </w:pPr>
      <w:r>
        <w:rPr/>
        <w:t>的基础。为此，公司长期致力于法人治理结构的构建和持续完善，严格按照《公司法》、</w:t>
      </w:r>
    </w:p>
    <w:p>
      <w:pPr>
        <w:pStyle w:val="BodyText"/>
        <w:spacing w:line="237" w:lineRule="auto" w:before="1"/>
        <w:ind w:right="84"/>
        <w:jc w:val="left"/>
      </w:pPr>
      <w:r>
        <w:rPr>
          <w:spacing w:val="-6"/>
        </w:rPr>
        <w:t>《证券法》和中国证监会、证券交易所有关法律法规的要求，不断完善公司法人治理结构，</w:t>
      </w:r>
      <w:r>
        <w:rPr/>
        <w:t> </w:t>
      </w:r>
      <w:r>
        <w:rPr>
          <w:spacing w:val="-4"/>
        </w:rPr>
        <w:t>规范化运作。公司按照《上市公司章程指引》、《上市公司治理准则》等规定修订了公司</w:t>
      </w:r>
      <w:r>
        <w:rPr>
          <w:spacing w:val="-117"/>
        </w:rPr>
        <w:t> </w:t>
      </w:r>
      <w:r>
        <w:rPr>
          <w:spacing w:val="-117"/>
        </w:rPr>
      </w:r>
      <w:r>
        <w:rPr>
          <w:spacing w:val="-6"/>
        </w:rPr>
        <w:t>章程，制订、完善了《股东大会议事规则》、《董事会议事规则》、《监事会议事规则》、</w:t>
      </w:r>
    </w:p>
    <w:p>
      <w:pPr>
        <w:pStyle w:val="BodyText"/>
        <w:spacing w:line="312" w:lineRule="exact" w:before="27"/>
        <w:ind w:right="84"/>
        <w:jc w:val="left"/>
      </w:pPr>
      <w:r>
        <w:rPr>
          <w:spacing w:val="-4"/>
        </w:rPr>
        <w:t>《投资者关系管理制度》和《信息披露管理制度》等制度，建立了独立董事制度，公司治</w:t>
      </w:r>
      <w:r>
        <w:rPr>
          <w:spacing w:val="-84"/>
        </w:rPr>
        <w:t> </w:t>
      </w:r>
      <w:r>
        <w:rPr>
          <w:spacing w:val="-84"/>
        </w:rPr>
      </w:r>
      <w:r>
        <w:rPr/>
        <w:t>理结构基本符合《上市公司治理准则》的要求。</w:t>
      </w:r>
    </w:p>
    <w:p>
      <w:pPr>
        <w:pStyle w:val="BodyText"/>
        <w:spacing w:line="281" w:lineRule="exact"/>
        <w:ind w:left="620" w:right="0"/>
        <w:jc w:val="left"/>
      </w:pPr>
      <w:r>
        <w:rPr/>
        <w:t>在公司治理方面</w:t>
      </w:r>
      <w:r>
        <w:rPr>
          <w:spacing w:val="-119"/>
        </w:rPr>
        <w:t>，</w:t>
      </w:r>
      <w:r>
        <w:rPr/>
        <w:t>公司注重理论与实践相结合</w:t>
      </w:r>
      <w:r>
        <w:rPr>
          <w:spacing w:val="-119"/>
        </w:rPr>
        <w:t>，</w:t>
      </w:r>
      <w:r>
        <w:rPr/>
        <w:t>在资本市场上实施了多项创新型项目，</w:t>
      </w:r>
    </w:p>
    <w:p>
      <w:pPr>
        <w:pStyle w:val="BodyText"/>
        <w:spacing w:line="237" w:lineRule="auto" w:before="1"/>
        <w:ind w:right="220"/>
        <w:jc w:val="both"/>
      </w:pPr>
      <w:r>
        <w:rPr/>
        <w:t>取得了良好的效果，保障了投资者的利益。在上海证券交易所举办的</w:t>
      </w:r>
      <w:r>
        <w:rPr>
          <w:spacing w:val="-60"/>
        </w:rPr>
        <w:t> </w:t>
      </w:r>
      <w:r>
        <w:rPr/>
        <w:t>2009</w:t>
      </w:r>
      <w:r>
        <w:rPr>
          <w:spacing w:val="-60"/>
        </w:rPr>
        <w:t> </w:t>
      </w:r>
      <w:r>
        <w:rPr/>
        <w:t>年度公司治理</w:t>
      </w:r>
      <w:r>
        <w:rPr/>
        <w:t> </w:t>
      </w:r>
      <w:r>
        <w:rPr>
          <w:spacing w:val="-9"/>
        </w:rPr>
        <w:t>专项奖评选中，公司获得“典型并购重组案例提名奖”。目前，公司是上海证券交易所“公</w:t>
      </w:r>
      <w:r>
        <w:rPr/>
        <w:t> 司治理指数”的成份股。2009</w:t>
      </w:r>
      <w:r>
        <w:rPr>
          <w:spacing w:val="-60"/>
        </w:rPr>
        <w:t> </w:t>
      </w:r>
      <w:r>
        <w:rPr/>
        <w:t>年，公司修订了《公司章程》和《董事会审计委员会年度</w:t>
      </w:r>
      <w:r>
        <w:rPr/>
        <w:t> 财务报告审议工作规程》，进一步完善了公司管理制度。</w:t>
      </w:r>
    </w:p>
    <w:p>
      <w:pPr>
        <w:pStyle w:val="BodyText"/>
        <w:spacing w:line="310" w:lineRule="exact" w:before="30"/>
        <w:ind w:right="204" w:firstLine="480"/>
        <w:jc w:val="left"/>
      </w:pPr>
      <w:r>
        <w:rPr>
          <w:spacing w:val="30"/>
        </w:rPr>
        <w:t>2007年3月9</w:t>
      </w:r>
      <w:r>
        <w:rPr>
          <w:spacing w:val="-60"/>
        </w:rPr>
        <w:t> </w:t>
      </w:r>
      <w:r>
        <w:rPr/>
        <w:t>日，中国证监会发布了证监公司字[2007]28</w:t>
      </w:r>
      <w:r>
        <w:rPr>
          <w:spacing w:val="-60"/>
        </w:rPr>
        <w:t> </w:t>
      </w:r>
      <w:r>
        <w:rPr/>
        <w:t>号文件《关于开展加强上</w:t>
      </w:r>
      <w:r>
        <w:rPr/>
        <w:t> </w:t>
      </w:r>
      <w:r>
        <w:rPr>
          <w:spacing w:val="-4"/>
        </w:rPr>
        <w:t>市公司治理专项活动有关事项的通知》，要求上市公司开展加强公司治理专项活动。根据</w:t>
      </w:r>
    </w:p>
    <w:p>
      <w:pPr>
        <w:pStyle w:val="BodyText"/>
        <w:spacing w:line="310" w:lineRule="exact" w:before="2"/>
        <w:ind w:right="218"/>
        <w:jc w:val="both"/>
      </w:pPr>
      <w:r>
        <w:rPr>
          <w:spacing w:val="-4"/>
        </w:rPr>
        <w:t>《通知》的要求，公司迅速启动了公司治理专项活动，对公司治理情况进行了自查，并充</w:t>
      </w:r>
      <w:r>
        <w:rPr>
          <w:spacing w:val="-84"/>
        </w:rPr>
        <w:t> </w:t>
      </w:r>
      <w:r>
        <w:rPr>
          <w:spacing w:val="-84"/>
        </w:rPr>
      </w:r>
      <w:r>
        <w:rPr>
          <w:spacing w:val="-4"/>
        </w:rPr>
        <w:t>分听取了投资者、中国证监会及上海证券交易所对公司治理情况的意见和建议，制定了切</w:t>
      </w:r>
      <w:r>
        <w:rPr>
          <w:spacing w:val="-82"/>
        </w:rPr>
        <w:t> </w:t>
      </w:r>
      <w:r>
        <w:rPr>
          <w:spacing w:val="-82"/>
        </w:rPr>
      </w:r>
      <w:r>
        <w:rPr>
          <w:spacing w:val="-4"/>
        </w:rPr>
        <w:t>实可行的整改措施并开展积极有效的整改活动，推动公司治理水平的进一步提升。通过本</w:t>
      </w:r>
    </w:p>
    <w:p>
      <w:pPr>
        <w:pStyle w:val="BodyText"/>
        <w:spacing w:line="310" w:lineRule="exact" w:before="2"/>
        <w:ind w:left="620" w:right="5604" w:hanging="480"/>
        <w:jc w:val="left"/>
      </w:pPr>
      <w:r>
        <w:rPr/>
        <w:t>次活动，公司治理取得了以下成效： 1、进一步加强董事会的建设</w:t>
      </w:r>
    </w:p>
    <w:p>
      <w:pPr>
        <w:pStyle w:val="BodyText"/>
        <w:spacing w:line="282" w:lineRule="exact"/>
        <w:ind w:left="620" w:right="84"/>
        <w:jc w:val="left"/>
      </w:pPr>
      <w:r>
        <w:rPr/>
        <w:t>公司董事会由</w:t>
      </w:r>
      <w:r>
        <w:rPr>
          <w:spacing w:val="-59"/>
        </w:rPr>
        <w:t> </w:t>
      </w:r>
      <w:r>
        <w:rPr/>
        <w:t>9</w:t>
      </w:r>
      <w:r>
        <w:rPr>
          <w:spacing w:val="-59"/>
        </w:rPr>
        <w:t> </w:t>
      </w:r>
      <w:r>
        <w:rPr>
          <w:spacing w:val="-4"/>
        </w:rPr>
        <w:t>人组成，外部董事占董事会的半数以上，独立董事的人数占董事会人</w:t>
      </w:r>
    </w:p>
    <w:p>
      <w:pPr>
        <w:pStyle w:val="BodyText"/>
        <w:spacing w:line="237" w:lineRule="auto" w:before="1"/>
        <w:ind w:right="84"/>
        <w:jc w:val="left"/>
      </w:pPr>
      <w:r>
        <w:rPr>
          <w:spacing w:val="-6"/>
        </w:rPr>
        <w:t>数的三分之一。成员大多具有博士、硕士学位，其中包括技术专家、管理专家和会计专家，</w:t>
      </w:r>
      <w:r>
        <w:rPr/>
        <w:t> </w:t>
      </w:r>
      <w:r>
        <w:rPr>
          <w:spacing w:val="-4"/>
        </w:rPr>
        <w:t>这将为公司的持续、稳健发展提供保障。早在证监会《关于在上市公司建立独立董事制度</w:t>
      </w:r>
      <w:r>
        <w:rPr>
          <w:spacing w:val="-84"/>
        </w:rPr>
        <w:t> </w:t>
      </w:r>
      <w:r>
        <w:rPr>
          <w:spacing w:val="-84"/>
        </w:rPr>
      </w:r>
      <w:r>
        <w:rPr>
          <w:spacing w:val="-4"/>
        </w:rPr>
        <w:t>指导意见》出台前，公司就已经建立了独立董事制度，组建了董事会各专业委员会，促进</w:t>
      </w:r>
      <w:r>
        <w:rPr>
          <w:spacing w:val="-84"/>
        </w:rPr>
        <w:t> </w:t>
      </w:r>
      <w:r>
        <w:rPr>
          <w:spacing w:val="-84"/>
        </w:rPr>
      </w:r>
      <w:r>
        <w:rPr>
          <w:spacing w:val="-4"/>
        </w:rPr>
        <w:t>了公司规范化建设。目前，公司三位独立董事分别是清华大学、南京大学和东北财经大学</w:t>
      </w:r>
      <w:r>
        <w:rPr>
          <w:spacing w:val="-84"/>
        </w:rPr>
        <w:t> </w:t>
      </w:r>
      <w:r>
        <w:rPr>
          <w:spacing w:val="-84"/>
        </w:rPr>
      </w:r>
      <w:r>
        <w:rPr/>
        <w:t>的教授，在企业管理、IT 技术和财务管理等方面分别具有很高的专业素质和行业积累， 在经营决策和规范运作等方面给予了很大支持。</w:t>
      </w:r>
    </w:p>
    <w:p>
      <w:pPr>
        <w:pStyle w:val="BodyText"/>
        <w:spacing w:line="237" w:lineRule="auto"/>
        <w:ind w:right="84" w:firstLine="480"/>
        <w:jc w:val="left"/>
      </w:pPr>
      <w:r>
        <w:rPr>
          <w:spacing w:val="-4"/>
        </w:rPr>
        <w:t>公司董事会各位董事能勤勉尽职，积极出席董事会会议，在公司的战略规划、经营计</w:t>
      </w:r>
      <w:r>
        <w:rPr/>
        <w:t> </w:t>
      </w:r>
      <w:r>
        <w:rPr>
          <w:spacing w:val="-4"/>
        </w:rPr>
        <w:t>划、内部管理流程的优化、风险控制管理等方面提出了很多专业化意见，为公司重大事项</w:t>
      </w:r>
      <w:r>
        <w:rPr>
          <w:spacing w:val="-84"/>
        </w:rPr>
        <w:t> </w:t>
      </w:r>
      <w:r>
        <w:rPr>
          <w:spacing w:val="-84"/>
        </w:rPr>
      </w:r>
      <w:r>
        <w:rPr>
          <w:spacing w:val="-4"/>
        </w:rPr>
        <w:t>决策的科学性和合理性提供了保障。董事能认真监督、评测经营层的工作，维护了公司和</w:t>
      </w:r>
      <w:r>
        <w:rPr>
          <w:spacing w:val="-84"/>
        </w:rPr>
        <w:t> </w:t>
      </w:r>
      <w:r>
        <w:rPr>
          <w:spacing w:val="-84"/>
        </w:rPr>
      </w:r>
      <w:r>
        <w:rPr/>
        <w:t>股东的利益。公司董事作为董事会战略决策、提名、审计、薪酬与考核专业委员会委员， 为公司重大事项的决策发挥了重要作用。</w:t>
      </w:r>
    </w:p>
    <w:p>
      <w:pPr>
        <w:pStyle w:val="BodyText"/>
        <w:spacing w:line="310" w:lineRule="exact" w:before="29"/>
        <w:ind w:left="620" w:right="84"/>
        <w:jc w:val="left"/>
      </w:pPr>
      <w:r>
        <w:rPr/>
        <w:t>2、进一步加强公司投资者关系管理工作 </w:t>
      </w:r>
      <w:r>
        <w:rPr>
          <w:spacing w:val="-4"/>
        </w:rPr>
        <w:t>公司一直注重投资者尤其是中小投资者在公司发展中的地位和作用，为其提供尽可能</w:t>
      </w:r>
    </w:p>
    <w:p>
      <w:pPr>
        <w:pStyle w:val="BodyText"/>
        <w:spacing w:line="310" w:lineRule="exact" w:before="2"/>
        <w:ind w:right="99"/>
        <w:jc w:val="both"/>
      </w:pPr>
      <w:r>
        <w:rPr>
          <w:spacing w:val="-4"/>
        </w:rPr>
        <w:t>的便利了解公司，增加其持股信心。公司建有《信息披露管理制度》和《投资者关系管理</w:t>
      </w:r>
      <w:r>
        <w:rPr>
          <w:spacing w:val="-84"/>
        </w:rPr>
        <w:t> </w:t>
      </w:r>
      <w:r>
        <w:rPr>
          <w:spacing w:val="-84"/>
        </w:rPr>
      </w:r>
      <w:r>
        <w:rPr>
          <w:spacing w:val="-4"/>
        </w:rPr>
        <w:t>制度》。公司能够及时、准确、完整、有效、公平地披露信息，让投资者得以全面了解公</w:t>
      </w:r>
      <w:r>
        <w:rPr>
          <w:spacing w:val="-83"/>
        </w:rPr>
        <w:t> </w:t>
      </w:r>
      <w:r>
        <w:rPr>
          <w:spacing w:val="-83"/>
        </w:rPr>
      </w:r>
      <w:r>
        <w:rPr>
          <w:spacing w:val="-3"/>
        </w:rPr>
        <w:t>司情况，建立对公司发展的信心。在由投资者参与的“2008</w:t>
      </w:r>
      <w:r>
        <w:rPr>
          <w:spacing w:val="-36"/>
        </w:rPr>
        <w:t> </w:t>
      </w:r>
      <w:r>
        <w:rPr/>
        <w:t>年度中国上市公司价值评选”</w:t>
      </w:r>
    </w:p>
    <w:p>
      <w:pPr>
        <w:pStyle w:val="BodyText"/>
        <w:spacing w:line="310" w:lineRule="exact" w:before="2"/>
        <w:ind w:left="620" w:right="84" w:hanging="480"/>
        <w:jc w:val="left"/>
      </w:pPr>
      <w:r>
        <w:rPr/>
        <w:t>中，公司获得“中国上市公司价值评选百强”殊荣。 </w:t>
      </w:r>
      <w:r>
        <w:rPr>
          <w:spacing w:val="-4"/>
        </w:rPr>
        <w:t>公司精心准备每一届股东大会，详细介绍公司的经营策略和发展战略，并认真回答投</w:t>
      </w:r>
    </w:p>
    <w:p>
      <w:pPr>
        <w:pStyle w:val="BodyText"/>
        <w:spacing w:line="310" w:lineRule="exact" w:before="2"/>
        <w:ind w:right="99"/>
        <w:jc w:val="both"/>
      </w:pPr>
      <w:r>
        <w:rPr>
          <w:spacing w:val="-4"/>
        </w:rPr>
        <w:t>资者的提问，听取他们意见和建议，同时，组织到会投资者参观、了解投资项目的进展情</w:t>
      </w:r>
      <w:r>
        <w:rPr>
          <w:spacing w:val="-84"/>
        </w:rPr>
        <w:t> </w:t>
      </w:r>
      <w:r>
        <w:rPr>
          <w:spacing w:val="-84"/>
        </w:rPr>
      </w:r>
      <w:r>
        <w:rPr>
          <w:spacing w:val="-4"/>
        </w:rPr>
        <w:t>况，使他们找到一种所有者的感觉。为方便异地中小投资者充分考察公司，公司多次选择</w:t>
      </w:r>
      <w:r>
        <w:rPr>
          <w:spacing w:val="-84"/>
        </w:rPr>
        <w:t> </w:t>
      </w:r>
      <w:r>
        <w:rPr>
          <w:spacing w:val="-84"/>
        </w:rPr>
      </w:r>
      <w:r>
        <w:rPr>
          <w:spacing w:val="-4"/>
        </w:rPr>
        <w:t>在国际软件业务的重要基地</w:t>
      </w:r>
      <w:r>
        <w:rPr>
          <w:rFonts w:ascii="Times New Roman" w:hAnsi="Times New Roman" w:cs="Times New Roman" w:eastAsia="Times New Roman" w:hint="default"/>
          <w:spacing w:val="-4"/>
        </w:rPr>
        <w:t>——</w:t>
      </w:r>
      <w:r>
        <w:rPr>
          <w:spacing w:val="-4"/>
        </w:rPr>
        <w:t>大连召开股东大会，使更多的中小股东能够有机会真正行</w:t>
      </w:r>
    </w:p>
    <w:p>
      <w:pPr>
        <w:pStyle w:val="BodyText"/>
        <w:spacing w:line="284" w:lineRule="exact"/>
        <w:ind w:right="0"/>
        <w:jc w:val="both"/>
      </w:pPr>
      <w:r>
        <w:rPr>
          <w:spacing w:val="-3"/>
        </w:rPr>
        <w:t>使股东的权利，增加对公司的认识和了解。2009</w:t>
      </w:r>
      <w:r>
        <w:rPr>
          <w:spacing w:val="-57"/>
        </w:rPr>
        <w:t> </w:t>
      </w:r>
      <w:r>
        <w:rPr/>
        <w:t>年度公司现场接待投资者共计</w:t>
      </w:r>
      <w:r>
        <w:rPr>
          <w:spacing w:val="-57"/>
        </w:rPr>
        <w:t> </w:t>
      </w:r>
      <w:r>
        <w:rPr/>
        <w:t>100</w:t>
      </w:r>
      <w:r>
        <w:rPr>
          <w:spacing w:val="-57"/>
        </w:rPr>
        <w:t> </w:t>
      </w:r>
      <w:r>
        <w:rPr/>
        <w:t>人次。</w:t>
      </w:r>
    </w:p>
    <w:p>
      <w:pPr>
        <w:spacing w:after="0" w:line="284" w:lineRule="exact"/>
        <w:jc w:val="both"/>
        <w:sectPr>
          <w:pgSz w:w="11910" w:h="16840"/>
          <w:pgMar w:header="720" w:footer="721" w:top="1100" w:bottom="920" w:left="1220" w:right="1080"/>
        </w:sectPr>
      </w:pPr>
    </w:p>
    <w:p>
      <w:pPr>
        <w:spacing w:line="240" w:lineRule="auto" w:before="1"/>
        <w:rPr>
          <w:rFonts w:ascii="宋体" w:hAnsi="宋体" w:cs="宋体" w:eastAsia="宋体" w:hint="default"/>
          <w:sz w:val="20"/>
          <w:szCs w:val="20"/>
        </w:rPr>
      </w:pPr>
    </w:p>
    <w:p>
      <w:pPr>
        <w:pStyle w:val="BodyText"/>
        <w:spacing w:line="310" w:lineRule="exact" w:before="58"/>
        <w:ind w:left="800" w:right="0"/>
        <w:jc w:val="left"/>
      </w:pPr>
      <w:r>
        <w:rPr/>
        <w:t>3、进一步健全激励与约束机制 </w:t>
      </w:r>
      <w:r>
        <w:rPr>
          <w:spacing w:val="-7"/>
        </w:rPr>
        <w:t>目前，公司尚未实施股权激励计划。作为一家以计算机软件为主营业务的高科技企业，</w:t>
      </w:r>
    </w:p>
    <w:p>
      <w:pPr>
        <w:pStyle w:val="BodyText"/>
        <w:spacing w:line="310" w:lineRule="exact" w:before="2"/>
        <w:ind w:left="320" w:right="0"/>
        <w:jc w:val="left"/>
      </w:pPr>
      <w:r>
        <w:rPr>
          <w:spacing w:val="-4"/>
        </w:rPr>
        <w:t>聚集、稳定一批高水平的人才是企业生存、发展的关键因素。面对高端人才紧缺且流动率</w:t>
      </w:r>
      <w:r>
        <w:rPr>
          <w:spacing w:val="-84"/>
        </w:rPr>
        <w:t> </w:t>
      </w:r>
      <w:r>
        <w:rPr>
          <w:spacing w:val="-84"/>
        </w:rPr>
      </w:r>
      <w:r>
        <w:rPr>
          <w:spacing w:val="-4"/>
        </w:rPr>
        <w:t>相对较高的行业特点，公司将根据监管部门的规定和公司的实际情况，适时推出公司的股</w:t>
      </w:r>
    </w:p>
    <w:p>
      <w:pPr>
        <w:pStyle w:val="BodyText"/>
        <w:spacing w:line="310" w:lineRule="exact" w:before="2"/>
        <w:ind w:left="320" w:right="0"/>
        <w:jc w:val="left"/>
      </w:pPr>
      <w:r>
        <w:rPr>
          <w:spacing w:val="-4"/>
        </w:rPr>
        <w:t>权激励计划，实现股东、公司和员工利益的统一，以完善公司治理结构，促进公司规范运</w:t>
      </w:r>
      <w:r>
        <w:rPr>
          <w:spacing w:val="-84"/>
        </w:rPr>
        <w:t> </w:t>
      </w:r>
      <w:r>
        <w:rPr>
          <w:spacing w:val="-84"/>
        </w:rPr>
      </w:r>
      <w:r>
        <w:rPr/>
        <w:t>作与持续发展。</w:t>
      </w:r>
    </w:p>
    <w:p>
      <w:pPr>
        <w:pStyle w:val="BodyText"/>
        <w:spacing w:line="282" w:lineRule="exact"/>
        <w:ind w:left="800" w:right="0"/>
        <w:jc w:val="left"/>
      </w:pPr>
      <w:r>
        <w:rPr/>
        <w:t>4、持续健全和完善内控制度</w:t>
      </w:r>
    </w:p>
    <w:p>
      <w:pPr>
        <w:pStyle w:val="BodyText"/>
        <w:spacing w:line="237" w:lineRule="auto" w:before="1"/>
        <w:ind w:left="320" w:right="319" w:firstLine="480"/>
        <w:jc w:val="both"/>
      </w:pPr>
      <w:r>
        <w:rPr>
          <w:spacing w:val="-4"/>
        </w:rPr>
        <w:t>公司高度重视内部控制，随着公司业务规模的扩大和国际化进程的加快，公司持续健</w:t>
      </w:r>
      <w:r>
        <w:rPr/>
        <w:t> </w:t>
      </w:r>
      <w:r>
        <w:rPr>
          <w:spacing w:val="-4"/>
        </w:rPr>
        <w:t>全内部控制制度，加强内部控制制度的有效实施。未来，公司将对内部控制体系及制度进</w:t>
      </w:r>
      <w:r>
        <w:rPr>
          <w:spacing w:val="-84"/>
        </w:rPr>
        <w:t> </w:t>
      </w:r>
      <w:r>
        <w:rPr>
          <w:spacing w:val="-84"/>
        </w:rPr>
      </w:r>
      <w:r>
        <w:rPr>
          <w:spacing w:val="-4"/>
        </w:rPr>
        <w:t>行全面、系统的梳理，加强风险评估及内部控制的监督及反馈工作，加强董事会对内部控</w:t>
      </w:r>
      <w:r>
        <w:rPr>
          <w:spacing w:val="-84"/>
        </w:rPr>
        <w:t> </w:t>
      </w:r>
      <w:r>
        <w:rPr>
          <w:spacing w:val="-84"/>
        </w:rPr>
      </w:r>
      <w:r>
        <w:rPr/>
        <w:t>制的审核与指导，建立健全有效的内部控制体系。</w:t>
      </w:r>
    </w:p>
    <w:p>
      <w:pPr>
        <w:pStyle w:val="BodyText"/>
        <w:spacing w:line="312" w:lineRule="exact" w:before="27"/>
        <w:ind w:left="800" w:right="0"/>
        <w:jc w:val="left"/>
      </w:pPr>
      <w:r>
        <w:rPr/>
        <w:t>5、加强董事、监事、高级管理人员的培训工作 </w:t>
      </w:r>
      <w:r>
        <w:rPr>
          <w:spacing w:val="-4"/>
        </w:rPr>
        <w:t>随着中国资本市场的日趋成熟，要求上市公司的董事在具有专业知识背景的同时，要</w:t>
      </w:r>
    </w:p>
    <w:p>
      <w:pPr>
        <w:pStyle w:val="BodyText"/>
        <w:spacing w:line="281" w:lineRule="exact"/>
        <w:ind w:left="320" w:right="0"/>
        <w:jc w:val="left"/>
      </w:pPr>
      <w:r>
        <w:rPr>
          <w:spacing w:val="-4"/>
        </w:rPr>
        <w:t>更多地掌握金融、经济、财务、法律等方面的知识。为此，公司积极组织董事参加证券监</w:t>
      </w:r>
    </w:p>
    <w:p>
      <w:pPr>
        <w:pStyle w:val="BodyText"/>
        <w:spacing w:line="237" w:lineRule="auto" w:before="1"/>
        <w:ind w:left="320" w:right="318"/>
        <w:jc w:val="both"/>
      </w:pPr>
      <w:r>
        <w:rPr>
          <w:spacing w:val="-4"/>
        </w:rPr>
        <w:t>管部门组织的各项法律法规、规则制度的学习，树立公司规范化运作的理念。今后，公司</w:t>
      </w:r>
      <w:r>
        <w:rPr>
          <w:spacing w:val="-84"/>
        </w:rPr>
        <w:t> </w:t>
      </w:r>
      <w:r>
        <w:rPr>
          <w:spacing w:val="-84"/>
        </w:rPr>
      </w:r>
      <w:r>
        <w:rPr>
          <w:spacing w:val="-4"/>
        </w:rPr>
        <w:t>仍将通过组织董事、监事和高级管理人员进行内部培训和参加证券监管部门组织的各项法</w:t>
      </w:r>
      <w:r>
        <w:rPr>
          <w:spacing w:val="-82"/>
        </w:rPr>
        <w:t> </w:t>
      </w:r>
      <w:r>
        <w:rPr>
          <w:spacing w:val="-82"/>
        </w:rPr>
      </w:r>
      <w:r>
        <w:rPr/>
        <w:t>律法规、规则制度培训等方式，提高公司的治理水平。</w:t>
      </w:r>
    </w:p>
    <w:p>
      <w:pPr>
        <w:pStyle w:val="BodyText"/>
        <w:spacing w:line="310" w:lineRule="exact"/>
        <w:ind w:left="800" w:right="0"/>
        <w:jc w:val="left"/>
      </w:pPr>
      <w:r>
        <w:rPr/>
        <w:t>在今后的工作中</w:t>
      </w:r>
      <w:r>
        <w:rPr>
          <w:spacing w:val="-120"/>
        </w:rPr>
        <w:t>，</w:t>
      </w:r>
      <w:r>
        <w:rPr/>
        <w:t>公司将夯实本次上市公司治理专项活动取得的成绩</w:t>
      </w:r>
      <w:r>
        <w:rPr>
          <w:spacing w:val="-120"/>
        </w:rPr>
        <w:t>，</w:t>
      </w:r>
      <w:r>
        <w:rPr/>
        <w:t>对</w:t>
      </w:r>
      <w:r>
        <w:rPr>
          <w:spacing w:val="-120"/>
        </w:rPr>
        <w:t>照</w:t>
      </w:r>
      <w:r>
        <w:rPr/>
        <w:t>《公司法</w:t>
      </w:r>
      <w:r>
        <w:rPr>
          <w:spacing w:val="-120"/>
        </w:rPr>
        <w:t>》</w:t>
      </w:r>
      <w:r>
        <w:rPr/>
        <w:t>、</w:t>
      </w:r>
    </w:p>
    <w:p>
      <w:pPr>
        <w:pStyle w:val="BodyText"/>
        <w:spacing w:line="237" w:lineRule="auto" w:before="1"/>
        <w:ind w:left="320" w:right="184"/>
        <w:jc w:val="left"/>
      </w:pPr>
      <w:r>
        <w:rPr>
          <w:spacing w:val="-4"/>
        </w:rPr>
        <w:t>《证券法》、《上市公司信息披露管理办法》、《股票上市规则》等法律、法规、规章及</w:t>
      </w:r>
      <w:r>
        <w:rPr>
          <w:spacing w:val="-88"/>
        </w:rPr>
        <w:t> </w:t>
      </w:r>
      <w:r>
        <w:rPr>
          <w:spacing w:val="-88"/>
        </w:rPr>
      </w:r>
      <w:r>
        <w:rPr/>
        <w:t>相关规范性文件的要求，切实加强公司内部的信息披露事务管理制度建设和内控制度建 </w:t>
      </w:r>
      <w:r>
        <w:rPr>
          <w:spacing w:val="-6"/>
        </w:rPr>
        <w:t>设，规范股东大会和董事会运作，强化公司董事（包括独立董事）的履职意识，提高董事、</w:t>
      </w:r>
      <w:r>
        <w:rPr/>
        <w:t> </w:t>
      </w:r>
      <w:r>
        <w:rPr>
          <w:spacing w:val="-4"/>
        </w:rPr>
        <w:t>监事、高级管理人员对规范运作和诚信意识的认识和理解，牢固树立公司规范化运作的理</w:t>
      </w:r>
      <w:r>
        <w:rPr>
          <w:spacing w:val="-82"/>
        </w:rPr>
        <w:t> </w:t>
      </w:r>
      <w:r>
        <w:rPr>
          <w:spacing w:val="-82"/>
        </w:rPr>
      </w:r>
      <w:r>
        <w:rPr/>
        <w:t>念，积极推动公司治理水平的进一步提高。</w:t>
      </w:r>
    </w:p>
    <w:p>
      <w:pPr>
        <w:spacing w:line="240" w:lineRule="auto" w:before="1"/>
        <w:rPr>
          <w:rFonts w:ascii="宋体" w:hAnsi="宋体" w:cs="宋体" w:eastAsia="宋体" w:hint="default"/>
          <w:sz w:val="26"/>
          <w:szCs w:val="26"/>
        </w:rPr>
      </w:pPr>
    </w:p>
    <w:p>
      <w:pPr>
        <w:pStyle w:val="BodyText"/>
        <w:spacing w:line="310" w:lineRule="exact"/>
        <w:ind w:left="320" w:right="6304"/>
        <w:jc w:val="left"/>
      </w:pPr>
      <w:r>
        <w:rPr/>
        <w:t>（二）董事履行职责情况 1、董事参加董事会的出席情况</w:t>
      </w:r>
    </w:p>
    <w:p>
      <w:pPr>
        <w:pStyle w:val="BodyText"/>
        <w:spacing w:line="282" w:lineRule="exact"/>
        <w:ind w:left="800" w:right="0"/>
        <w:jc w:val="left"/>
      </w:pPr>
      <w:r>
        <w:rPr>
          <w:spacing w:val="-4"/>
        </w:rPr>
        <w:t>报告期内，董事会共召开</w:t>
      </w:r>
      <w:r>
        <w:rPr>
          <w:spacing w:val="-57"/>
        </w:rPr>
        <w:t> </w:t>
      </w:r>
      <w:r>
        <w:rPr/>
        <w:t>9</w:t>
      </w:r>
      <w:r>
        <w:rPr>
          <w:spacing w:val="-57"/>
        </w:rPr>
        <w:t> </w:t>
      </w:r>
      <w:r>
        <w:rPr>
          <w:spacing w:val="-3"/>
        </w:rPr>
        <w:t>次会议，其中现场方式召开会议为</w:t>
      </w:r>
      <w:r>
        <w:rPr>
          <w:spacing w:val="-57"/>
        </w:rPr>
        <w:t> </w:t>
      </w:r>
      <w:r>
        <w:rPr/>
        <w:t>2</w:t>
      </w:r>
      <w:r>
        <w:rPr>
          <w:spacing w:val="-57"/>
        </w:rPr>
        <w:t> </w:t>
      </w:r>
      <w:r>
        <w:rPr>
          <w:spacing w:val="-5"/>
        </w:rPr>
        <w:t>次，通讯方式召开会</w:t>
      </w:r>
    </w:p>
    <w:p>
      <w:pPr>
        <w:pStyle w:val="BodyText"/>
        <w:spacing w:line="312" w:lineRule="exact"/>
        <w:ind w:left="320" w:right="0"/>
        <w:jc w:val="left"/>
      </w:pPr>
      <w:r>
        <w:rPr/>
        <w:t>议</w:t>
      </w:r>
      <w:r>
        <w:rPr>
          <w:spacing w:val="-60"/>
        </w:rPr>
        <w:t> </w:t>
      </w:r>
      <w:r>
        <w:rPr/>
        <w:t>7</w:t>
      </w:r>
      <w:r>
        <w:rPr>
          <w:spacing w:val="-60"/>
        </w:rPr>
        <w:t> </w:t>
      </w:r>
      <w:r>
        <w:rPr/>
        <w:t>次。董事参会情况如下：</w:t>
      </w:r>
    </w:p>
    <w:p>
      <w:pPr>
        <w:spacing w:line="240" w:lineRule="auto" w:before="11"/>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1343"/>
        <w:gridCol w:w="886"/>
        <w:gridCol w:w="1344"/>
        <w:gridCol w:w="1267"/>
        <w:gridCol w:w="1282"/>
        <w:gridCol w:w="946"/>
        <w:gridCol w:w="822"/>
        <w:gridCol w:w="1751"/>
      </w:tblGrid>
      <w:tr>
        <w:trPr>
          <w:trHeight w:val="832" w:hRule="exact"/>
        </w:trPr>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41" w:right="0"/>
              <w:jc w:val="left"/>
              <w:rPr>
                <w:rFonts w:ascii="宋体" w:hAnsi="宋体" w:cs="宋体" w:eastAsia="宋体" w:hint="default"/>
                <w:sz w:val="21"/>
                <w:szCs w:val="21"/>
              </w:rPr>
            </w:pPr>
            <w:r>
              <w:rPr>
                <w:rFonts w:ascii="宋体" w:hAnsi="宋体" w:cs="宋体" w:eastAsia="宋体" w:hint="default"/>
                <w:b/>
                <w:bCs/>
                <w:sz w:val="21"/>
                <w:szCs w:val="21"/>
              </w:rPr>
              <w:t>董事姓名</w:t>
            </w:r>
            <w:r>
              <w:rPr>
                <w:rFonts w:ascii="宋体" w:hAnsi="宋体" w:cs="宋体" w:eastAsia="宋体" w:hint="default"/>
                <w:sz w:val="21"/>
                <w:szCs w:val="21"/>
              </w:rPr>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17" w:right="116" w:firstLine="1"/>
              <w:jc w:val="left"/>
              <w:rPr>
                <w:rFonts w:ascii="宋体" w:hAnsi="宋体" w:cs="宋体" w:eastAsia="宋体" w:hint="default"/>
                <w:sz w:val="21"/>
                <w:szCs w:val="21"/>
              </w:rPr>
            </w:pPr>
            <w:r>
              <w:rPr>
                <w:rFonts w:ascii="宋体" w:hAnsi="宋体" w:cs="宋体" w:eastAsia="宋体" w:hint="default"/>
                <w:b/>
                <w:bCs/>
                <w:sz w:val="21"/>
                <w:szCs w:val="21"/>
              </w:rPr>
              <w:t>是否独</w:t>
            </w:r>
            <w:r>
              <w:rPr>
                <w:rFonts w:ascii="宋体" w:hAnsi="宋体" w:cs="宋体" w:eastAsia="宋体" w:hint="default"/>
                <w:b/>
                <w:bCs/>
                <w:spacing w:val="1"/>
                <w:w w:val="99"/>
                <w:sz w:val="21"/>
                <w:szCs w:val="21"/>
              </w:rPr>
              <w:t> </w:t>
            </w:r>
            <w:r>
              <w:rPr>
                <w:rFonts w:ascii="宋体" w:hAnsi="宋体" w:cs="宋体" w:eastAsia="宋体" w:hint="default"/>
                <w:b/>
                <w:bCs/>
                <w:sz w:val="21"/>
                <w:szCs w:val="21"/>
              </w:rPr>
              <w:t>立董事</w:t>
            </w:r>
            <w:r>
              <w:rPr>
                <w:rFonts w:ascii="宋体" w:hAnsi="宋体" w:cs="宋体" w:eastAsia="宋体" w:hint="default"/>
                <w:sz w:val="21"/>
                <w:szCs w:val="21"/>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37" w:right="136"/>
              <w:jc w:val="left"/>
              <w:rPr>
                <w:rFonts w:ascii="宋体" w:hAnsi="宋体" w:cs="宋体" w:eastAsia="宋体" w:hint="default"/>
                <w:sz w:val="21"/>
                <w:szCs w:val="21"/>
              </w:rPr>
            </w:pPr>
            <w:r>
              <w:rPr>
                <w:rFonts w:ascii="宋体" w:hAnsi="宋体" w:cs="宋体" w:eastAsia="宋体" w:hint="default"/>
                <w:b/>
                <w:bCs/>
                <w:sz w:val="21"/>
                <w:szCs w:val="21"/>
              </w:rPr>
              <w:t>本年应参加</w:t>
            </w:r>
            <w:r>
              <w:rPr>
                <w:rFonts w:ascii="宋体" w:hAnsi="宋体" w:cs="宋体" w:eastAsia="宋体" w:hint="default"/>
                <w:b/>
                <w:bCs/>
                <w:w w:val="99"/>
                <w:sz w:val="21"/>
                <w:szCs w:val="21"/>
              </w:rPr>
              <w:t> </w:t>
            </w:r>
            <w:r>
              <w:rPr>
                <w:rFonts w:ascii="宋体" w:hAnsi="宋体" w:cs="宋体" w:eastAsia="宋体" w:hint="default"/>
                <w:b/>
                <w:bCs/>
                <w:sz w:val="21"/>
                <w:szCs w:val="21"/>
              </w:rPr>
              <w:t>董事会次数</w:t>
            </w:r>
            <w:r>
              <w:rPr>
                <w:rFonts w:ascii="宋体" w:hAnsi="宋体" w:cs="宋体" w:eastAsia="宋体" w:hint="default"/>
                <w:sz w:val="21"/>
                <w:szCs w:val="21"/>
              </w:rPr>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203" w:right="97" w:hanging="104"/>
              <w:jc w:val="left"/>
              <w:rPr>
                <w:rFonts w:ascii="宋体" w:hAnsi="宋体" w:cs="宋体" w:eastAsia="宋体" w:hint="default"/>
                <w:sz w:val="21"/>
                <w:szCs w:val="21"/>
              </w:rPr>
            </w:pPr>
            <w:r>
              <w:rPr>
                <w:rFonts w:ascii="宋体" w:hAnsi="宋体" w:cs="宋体" w:eastAsia="宋体" w:hint="default"/>
                <w:b/>
                <w:bCs/>
                <w:sz w:val="21"/>
                <w:szCs w:val="21"/>
              </w:rPr>
              <w:t>其中：亲自</w:t>
            </w:r>
            <w:r>
              <w:rPr>
                <w:rFonts w:ascii="宋体" w:hAnsi="宋体" w:cs="宋体" w:eastAsia="宋体" w:hint="default"/>
                <w:b/>
                <w:bCs/>
                <w:spacing w:val="1"/>
                <w:w w:val="99"/>
                <w:sz w:val="21"/>
                <w:szCs w:val="21"/>
              </w:rPr>
              <w:t> </w:t>
            </w:r>
            <w:r>
              <w:rPr>
                <w:rFonts w:ascii="宋体" w:hAnsi="宋体" w:cs="宋体" w:eastAsia="宋体" w:hint="default"/>
                <w:b/>
                <w:bCs/>
                <w:sz w:val="21"/>
                <w:szCs w:val="21"/>
              </w:rPr>
              <w:t>出席次数</w:t>
            </w:r>
            <w:r>
              <w:rPr>
                <w:rFonts w:ascii="宋体" w:hAnsi="宋体" w:cs="宋体" w:eastAsia="宋体" w:hint="default"/>
                <w:sz w:val="21"/>
                <w:szCs w:val="21"/>
              </w:rPr>
            </w:r>
          </w:p>
        </w:tc>
        <w:tc>
          <w:tcPr>
            <w:tcW w:w="128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6" w:right="0"/>
              <w:jc w:val="left"/>
              <w:rPr>
                <w:rFonts w:ascii="宋体" w:hAnsi="宋体" w:cs="宋体" w:eastAsia="宋体" w:hint="default"/>
                <w:sz w:val="21"/>
                <w:szCs w:val="21"/>
              </w:rPr>
            </w:pPr>
            <w:r>
              <w:rPr>
                <w:rFonts w:ascii="宋体" w:hAnsi="宋体" w:cs="宋体" w:eastAsia="宋体" w:hint="default"/>
                <w:b/>
                <w:bCs/>
                <w:sz w:val="21"/>
                <w:szCs w:val="21"/>
              </w:rPr>
              <w:t>其中：以通</w:t>
            </w:r>
            <w:r>
              <w:rPr>
                <w:rFonts w:ascii="宋体" w:hAnsi="宋体" w:cs="宋体" w:eastAsia="宋体" w:hint="default"/>
                <w:sz w:val="21"/>
                <w:szCs w:val="21"/>
              </w:rPr>
            </w:r>
          </w:p>
          <w:p>
            <w:pPr>
              <w:pStyle w:val="TableParagraph"/>
              <w:spacing w:line="272" w:lineRule="exact" w:before="26"/>
              <w:ind w:left="422" w:right="105" w:hanging="316"/>
              <w:jc w:val="left"/>
              <w:rPr>
                <w:rFonts w:ascii="宋体" w:hAnsi="宋体" w:cs="宋体" w:eastAsia="宋体" w:hint="default"/>
                <w:sz w:val="21"/>
                <w:szCs w:val="21"/>
              </w:rPr>
            </w:pPr>
            <w:r>
              <w:rPr>
                <w:rFonts w:ascii="宋体" w:hAnsi="宋体" w:cs="宋体" w:eastAsia="宋体" w:hint="default"/>
                <w:b/>
                <w:bCs/>
                <w:sz w:val="21"/>
                <w:szCs w:val="21"/>
              </w:rPr>
              <w:t>讯方式参加</w:t>
            </w:r>
            <w:r>
              <w:rPr>
                <w:rFonts w:ascii="宋体" w:hAnsi="宋体" w:cs="宋体" w:eastAsia="宋体" w:hint="default"/>
                <w:b/>
                <w:bCs/>
                <w:w w:val="99"/>
                <w:sz w:val="21"/>
                <w:szCs w:val="21"/>
              </w:rPr>
              <w:t> </w:t>
            </w:r>
            <w:r>
              <w:rPr>
                <w:rFonts w:ascii="宋体" w:hAnsi="宋体" w:cs="宋体" w:eastAsia="宋体" w:hint="default"/>
                <w:b/>
                <w:bCs/>
                <w:sz w:val="21"/>
                <w:szCs w:val="21"/>
              </w:rPr>
              <w:t>次数</w:t>
            </w:r>
            <w:r>
              <w:rPr>
                <w:rFonts w:ascii="宋体" w:hAnsi="宋体" w:cs="宋体" w:eastAsia="宋体" w:hint="default"/>
                <w:sz w:val="21"/>
                <w:szCs w:val="21"/>
              </w:rPr>
            </w:r>
          </w:p>
        </w:tc>
        <w:tc>
          <w:tcPr>
            <w:tcW w:w="94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48" w:right="0"/>
              <w:jc w:val="left"/>
              <w:rPr>
                <w:rFonts w:ascii="宋体" w:hAnsi="宋体" w:cs="宋体" w:eastAsia="宋体" w:hint="default"/>
                <w:sz w:val="21"/>
                <w:szCs w:val="21"/>
              </w:rPr>
            </w:pPr>
            <w:r>
              <w:rPr>
                <w:rFonts w:ascii="宋体" w:hAnsi="宋体" w:cs="宋体" w:eastAsia="宋体" w:hint="default"/>
                <w:b/>
                <w:bCs/>
                <w:sz w:val="21"/>
                <w:szCs w:val="21"/>
              </w:rPr>
              <w:t>其中：</w:t>
            </w:r>
            <w:r>
              <w:rPr>
                <w:rFonts w:ascii="宋体" w:hAnsi="宋体" w:cs="宋体" w:eastAsia="宋体" w:hint="default"/>
                <w:sz w:val="21"/>
                <w:szCs w:val="21"/>
              </w:rPr>
            </w:r>
          </w:p>
          <w:p>
            <w:pPr>
              <w:pStyle w:val="TableParagraph"/>
              <w:spacing w:line="272" w:lineRule="exact" w:before="26"/>
              <w:ind w:left="147" w:right="147" w:firstLine="1"/>
              <w:jc w:val="left"/>
              <w:rPr>
                <w:rFonts w:ascii="宋体" w:hAnsi="宋体" w:cs="宋体" w:eastAsia="宋体" w:hint="default"/>
                <w:sz w:val="21"/>
                <w:szCs w:val="21"/>
              </w:rPr>
            </w:pPr>
            <w:r>
              <w:rPr>
                <w:rFonts w:ascii="宋体" w:hAnsi="宋体" w:cs="宋体" w:eastAsia="宋体" w:hint="default"/>
                <w:b/>
                <w:bCs/>
                <w:sz w:val="21"/>
                <w:szCs w:val="21"/>
              </w:rPr>
              <w:t>委托出</w:t>
            </w:r>
            <w:r>
              <w:rPr>
                <w:rFonts w:ascii="宋体" w:hAnsi="宋体" w:cs="宋体" w:eastAsia="宋体" w:hint="default"/>
                <w:b/>
                <w:bCs/>
                <w:spacing w:val="1"/>
                <w:w w:val="99"/>
                <w:sz w:val="21"/>
                <w:szCs w:val="21"/>
              </w:rPr>
              <w:t> </w:t>
            </w:r>
            <w:r>
              <w:rPr>
                <w:rFonts w:ascii="宋体" w:hAnsi="宋体" w:cs="宋体" w:eastAsia="宋体" w:hint="default"/>
                <w:b/>
                <w:bCs/>
                <w:sz w:val="21"/>
                <w:szCs w:val="21"/>
              </w:rPr>
              <w:t>席次数</w:t>
            </w:r>
            <w:r>
              <w:rPr>
                <w:rFonts w:ascii="宋体" w:hAnsi="宋体" w:cs="宋体" w:eastAsia="宋体" w:hint="default"/>
                <w:sz w:val="21"/>
                <w:szCs w:val="21"/>
              </w:rPr>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8"/>
              <w:ind w:left="192" w:right="190"/>
              <w:jc w:val="left"/>
              <w:rPr>
                <w:rFonts w:ascii="宋体" w:hAnsi="宋体" w:cs="宋体" w:eastAsia="宋体" w:hint="default"/>
                <w:sz w:val="21"/>
                <w:szCs w:val="21"/>
              </w:rPr>
            </w:pPr>
            <w:r>
              <w:rPr>
                <w:rFonts w:ascii="宋体" w:hAnsi="宋体" w:cs="宋体" w:eastAsia="宋体" w:hint="default"/>
                <w:b/>
                <w:bCs/>
                <w:sz w:val="21"/>
                <w:szCs w:val="21"/>
              </w:rPr>
              <w:t>缺席</w:t>
            </w:r>
            <w:r>
              <w:rPr>
                <w:rFonts w:ascii="宋体" w:hAnsi="宋体" w:cs="宋体" w:eastAsia="宋体" w:hint="default"/>
                <w:b/>
                <w:bCs/>
                <w:spacing w:val="1"/>
                <w:w w:val="99"/>
                <w:sz w:val="21"/>
                <w:szCs w:val="21"/>
              </w:rPr>
              <w:t> </w:t>
            </w:r>
            <w:r>
              <w:rPr>
                <w:rFonts w:ascii="宋体" w:hAnsi="宋体" w:cs="宋体" w:eastAsia="宋体" w:hint="default"/>
                <w:b/>
                <w:bCs/>
                <w:sz w:val="21"/>
                <w:szCs w:val="21"/>
              </w:rPr>
              <w:t>次数</w:t>
            </w:r>
            <w:r>
              <w:rPr>
                <w:rFonts w:ascii="宋体" w:hAnsi="宋体" w:cs="宋体" w:eastAsia="宋体" w:hint="default"/>
                <w:sz w:val="21"/>
                <w:szCs w:val="21"/>
              </w:rPr>
            </w:r>
          </w:p>
        </w:tc>
        <w:tc>
          <w:tcPr>
            <w:tcW w:w="1751"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8"/>
              <w:ind w:left="234" w:right="130" w:hanging="106"/>
              <w:jc w:val="left"/>
              <w:rPr>
                <w:rFonts w:ascii="宋体" w:hAnsi="宋体" w:cs="宋体" w:eastAsia="宋体" w:hint="default"/>
                <w:sz w:val="21"/>
                <w:szCs w:val="21"/>
              </w:rPr>
            </w:pPr>
            <w:r>
              <w:rPr>
                <w:rFonts w:ascii="宋体" w:hAnsi="宋体" w:cs="宋体" w:eastAsia="宋体" w:hint="default"/>
                <w:b/>
                <w:bCs/>
                <w:sz w:val="21"/>
                <w:szCs w:val="21"/>
              </w:rPr>
              <w:t>是否连续两次未</w:t>
            </w:r>
            <w:r>
              <w:rPr>
                <w:rFonts w:ascii="宋体" w:hAnsi="宋体" w:cs="宋体" w:eastAsia="宋体" w:hint="default"/>
                <w:b/>
                <w:bCs/>
                <w:w w:val="99"/>
                <w:sz w:val="21"/>
                <w:szCs w:val="21"/>
              </w:rPr>
              <w:t> </w:t>
            </w:r>
            <w:r>
              <w:rPr>
                <w:rFonts w:ascii="宋体" w:hAnsi="宋体" w:cs="宋体" w:eastAsia="宋体" w:hint="default"/>
                <w:b/>
                <w:bCs/>
                <w:sz w:val="21"/>
                <w:szCs w:val="21"/>
              </w:rPr>
              <w:t>亲自参加会议</w:t>
            </w:r>
            <w:r>
              <w:rPr>
                <w:rFonts w:ascii="宋体" w:hAnsi="宋体" w:cs="宋体" w:eastAsia="宋体" w:hint="default"/>
                <w:sz w:val="21"/>
                <w:szCs w:val="21"/>
              </w:rPr>
            </w:r>
          </w:p>
        </w:tc>
      </w:tr>
      <w:tr>
        <w:trPr>
          <w:trHeight w:val="287" w:hRule="exact"/>
        </w:trPr>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刘积仁</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28"/>
              <w:jc w:val="right"/>
              <w:rPr>
                <w:rFonts w:ascii="宋体" w:hAnsi="宋体" w:cs="宋体" w:eastAsia="宋体" w:hint="default"/>
                <w:sz w:val="21"/>
                <w:szCs w:val="21"/>
              </w:rPr>
            </w:pPr>
            <w:r>
              <w:rPr>
                <w:rFonts w:ascii="宋体" w:hAnsi="宋体" w:cs="宋体" w:eastAsia="宋体" w:hint="default"/>
                <w:sz w:val="21"/>
                <w:szCs w:val="21"/>
              </w:rPr>
              <w:t>否</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c>
          <w:tcPr>
            <w:tcW w:w="12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7</w:t>
            </w:r>
          </w:p>
        </w:tc>
        <w:tc>
          <w:tcPr>
            <w:tcW w:w="9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王勇峰</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28"/>
              <w:jc w:val="right"/>
              <w:rPr>
                <w:rFonts w:ascii="宋体" w:hAnsi="宋体" w:cs="宋体" w:eastAsia="宋体" w:hint="default"/>
                <w:sz w:val="21"/>
                <w:szCs w:val="21"/>
              </w:rPr>
            </w:pPr>
            <w:r>
              <w:rPr>
                <w:rFonts w:ascii="宋体" w:hAnsi="宋体" w:cs="宋体" w:eastAsia="宋体" w:hint="default"/>
                <w:sz w:val="21"/>
                <w:szCs w:val="21"/>
              </w:rPr>
              <w:t>否</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c>
          <w:tcPr>
            <w:tcW w:w="12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7</w:t>
            </w:r>
          </w:p>
        </w:tc>
        <w:tc>
          <w:tcPr>
            <w:tcW w:w="9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赵宏</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28"/>
              <w:jc w:val="right"/>
              <w:rPr>
                <w:rFonts w:ascii="宋体" w:hAnsi="宋体" w:cs="宋体" w:eastAsia="宋体" w:hint="default"/>
                <w:sz w:val="21"/>
                <w:szCs w:val="21"/>
              </w:rPr>
            </w:pPr>
            <w:r>
              <w:rPr>
                <w:rFonts w:ascii="宋体" w:hAnsi="宋体" w:cs="宋体" w:eastAsia="宋体" w:hint="default"/>
                <w:sz w:val="21"/>
                <w:szCs w:val="21"/>
              </w:rPr>
              <w:t>否</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c>
          <w:tcPr>
            <w:tcW w:w="12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7</w:t>
            </w:r>
          </w:p>
        </w:tc>
        <w:tc>
          <w:tcPr>
            <w:tcW w:w="9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王莉</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28"/>
              <w:jc w:val="right"/>
              <w:rPr>
                <w:rFonts w:ascii="宋体" w:hAnsi="宋体" w:cs="宋体" w:eastAsia="宋体" w:hint="default"/>
                <w:sz w:val="21"/>
                <w:szCs w:val="21"/>
              </w:rPr>
            </w:pPr>
            <w:r>
              <w:rPr>
                <w:rFonts w:ascii="宋体" w:hAnsi="宋体" w:cs="宋体" w:eastAsia="宋体" w:hint="default"/>
                <w:sz w:val="21"/>
                <w:szCs w:val="21"/>
              </w:rPr>
              <w:t>否</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c>
          <w:tcPr>
            <w:tcW w:w="12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7</w:t>
            </w:r>
          </w:p>
        </w:tc>
        <w:tc>
          <w:tcPr>
            <w:tcW w:w="9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恩地和明</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28"/>
              <w:jc w:val="right"/>
              <w:rPr>
                <w:rFonts w:ascii="宋体" w:hAnsi="宋体" w:cs="宋体" w:eastAsia="宋体" w:hint="default"/>
                <w:sz w:val="21"/>
                <w:szCs w:val="21"/>
              </w:rPr>
            </w:pPr>
            <w:r>
              <w:rPr>
                <w:rFonts w:ascii="宋体" w:hAnsi="宋体" w:cs="宋体" w:eastAsia="宋体" w:hint="default"/>
                <w:sz w:val="21"/>
                <w:szCs w:val="21"/>
              </w:rPr>
              <w:t>否</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2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7</w:t>
            </w:r>
          </w:p>
        </w:tc>
        <w:tc>
          <w:tcPr>
            <w:tcW w:w="9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2</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288" w:hRule="exact"/>
        </w:trPr>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石黑征三</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28"/>
              <w:jc w:val="right"/>
              <w:rPr>
                <w:rFonts w:ascii="宋体" w:hAnsi="宋体" w:cs="宋体" w:eastAsia="宋体" w:hint="default"/>
                <w:sz w:val="21"/>
                <w:szCs w:val="21"/>
              </w:rPr>
            </w:pPr>
            <w:r>
              <w:rPr>
                <w:rFonts w:ascii="宋体" w:hAnsi="宋体" w:cs="宋体" w:eastAsia="宋体" w:hint="default"/>
                <w:sz w:val="21"/>
                <w:szCs w:val="21"/>
              </w:rPr>
              <w:t>否</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7</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w:t>
            </w:r>
          </w:p>
        </w:tc>
        <w:tc>
          <w:tcPr>
            <w:tcW w:w="12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6</w:t>
            </w:r>
          </w:p>
        </w:tc>
        <w:tc>
          <w:tcPr>
            <w:tcW w:w="9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吕建</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28"/>
              <w:jc w:val="right"/>
              <w:rPr>
                <w:rFonts w:ascii="宋体" w:hAnsi="宋体" w:cs="宋体" w:eastAsia="宋体" w:hint="default"/>
                <w:sz w:val="21"/>
                <w:szCs w:val="21"/>
              </w:rPr>
            </w:pPr>
            <w:r>
              <w:rPr>
                <w:rFonts w:ascii="宋体" w:hAnsi="宋体" w:cs="宋体" w:eastAsia="宋体" w:hint="default"/>
                <w:sz w:val="21"/>
                <w:szCs w:val="21"/>
              </w:rPr>
              <w:t>是</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c>
          <w:tcPr>
            <w:tcW w:w="12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7</w:t>
            </w:r>
          </w:p>
        </w:tc>
        <w:tc>
          <w:tcPr>
            <w:tcW w:w="9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方红星</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28"/>
              <w:jc w:val="right"/>
              <w:rPr>
                <w:rFonts w:ascii="宋体" w:hAnsi="宋体" w:cs="宋体" w:eastAsia="宋体" w:hint="default"/>
                <w:sz w:val="21"/>
                <w:szCs w:val="21"/>
              </w:rPr>
            </w:pPr>
            <w:r>
              <w:rPr>
                <w:rFonts w:ascii="宋体" w:hAnsi="宋体" w:cs="宋体" w:eastAsia="宋体" w:hint="default"/>
                <w:sz w:val="21"/>
                <w:szCs w:val="21"/>
              </w:rPr>
              <w:t>是</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c>
          <w:tcPr>
            <w:tcW w:w="12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7</w:t>
            </w:r>
          </w:p>
        </w:tc>
        <w:tc>
          <w:tcPr>
            <w:tcW w:w="9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薛澜</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28"/>
              <w:jc w:val="right"/>
              <w:rPr>
                <w:rFonts w:ascii="宋体" w:hAnsi="宋体" w:cs="宋体" w:eastAsia="宋体" w:hint="default"/>
                <w:sz w:val="21"/>
                <w:szCs w:val="21"/>
              </w:rPr>
            </w:pPr>
            <w:r>
              <w:rPr>
                <w:rFonts w:ascii="宋体" w:hAnsi="宋体" w:cs="宋体" w:eastAsia="宋体" w:hint="default"/>
                <w:sz w:val="21"/>
                <w:szCs w:val="21"/>
              </w:rPr>
              <w:t>是</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2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3</w:t>
            </w:r>
          </w:p>
        </w:tc>
        <w:tc>
          <w:tcPr>
            <w:tcW w:w="9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沓泽虔太郎</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28"/>
              <w:jc w:val="right"/>
              <w:rPr>
                <w:rFonts w:ascii="宋体" w:hAnsi="宋体" w:cs="宋体" w:eastAsia="宋体" w:hint="default"/>
                <w:sz w:val="21"/>
                <w:szCs w:val="21"/>
              </w:rPr>
            </w:pPr>
            <w:r>
              <w:rPr>
                <w:rFonts w:ascii="宋体" w:hAnsi="宋体" w:cs="宋体" w:eastAsia="宋体" w:hint="default"/>
                <w:sz w:val="21"/>
                <w:szCs w:val="21"/>
              </w:rPr>
              <w:t>否</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w:t>
            </w:r>
          </w:p>
        </w:tc>
        <w:tc>
          <w:tcPr>
            <w:tcW w:w="12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w:t>
            </w:r>
          </w:p>
        </w:tc>
        <w:tc>
          <w:tcPr>
            <w:tcW w:w="9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0</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怀进鹏</w:t>
            </w:r>
          </w:p>
        </w:tc>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28"/>
              <w:jc w:val="right"/>
              <w:rPr>
                <w:rFonts w:ascii="宋体" w:hAnsi="宋体" w:cs="宋体" w:eastAsia="宋体" w:hint="default"/>
                <w:sz w:val="21"/>
                <w:szCs w:val="21"/>
              </w:rPr>
            </w:pPr>
            <w:r>
              <w:rPr>
                <w:rFonts w:ascii="宋体" w:hAnsi="宋体" w:cs="宋体" w:eastAsia="宋体" w:hint="default"/>
                <w:sz w:val="21"/>
                <w:szCs w:val="21"/>
              </w:rPr>
              <w:t>是</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w:t>
            </w:r>
          </w:p>
        </w:tc>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2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4</w:t>
            </w:r>
          </w:p>
        </w:tc>
        <w:tc>
          <w:tcPr>
            <w:tcW w:w="94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2</w:t>
            </w:r>
          </w:p>
        </w:tc>
        <w:tc>
          <w:tcPr>
            <w:tcW w:w="8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c>
          <w:tcPr>
            <w:tcW w:w="17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bl>
    <w:p>
      <w:pPr>
        <w:pStyle w:val="BodyText"/>
        <w:spacing w:line="274" w:lineRule="exact"/>
        <w:ind w:left="800" w:right="0"/>
        <w:jc w:val="left"/>
      </w:pPr>
      <w:r>
        <w:rPr/>
        <w:t>连续两次未亲自参加会议的说明：</w:t>
      </w:r>
    </w:p>
    <w:p>
      <w:pPr>
        <w:pStyle w:val="BodyText"/>
        <w:spacing w:line="310" w:lineRule="exact" w:before="31"/>
        <w:ind w:left="320" w:right="319" w:firstLine="480"/>
        <w:jc w:val="both"/>
      </w:pPr>
      <w:r>
        <w:rPr/>
        <w:t>于</w:t>
      </w:r>
      <w:r>
        <w:rPr>
          <w:spacing w:val="-50"/>
        </w:rPr>
        <w:t> </w:t>
      </w:r>
      <w:r>
        <w:rPr>
          <w:spacing w:val="25"/>
        </w:rPr>
        <w:t>2009年3月</w:t>
      </w:r>
      <w:r>
        <w:rPr>
          <w:spacing w:val="-50"/>
        </w:rPr>
        <w:t> </w:t>
      </w:r>
      <w:r>
        <w:rPr/>
        <w:t>25</w:t>
      </w:r>
      <w:r>
        <w:rPr>
          <w:spacing w:val="-50"/>
        </w:rPr>
        <w:t> </w:t>
      </w:r>
      <w:r>
        <w:rPr>
          <w:spacing w:val="-5"/>
        </w:rPr>
        <w:t>日召开的公司五届六次董事会，因工作原因，董事恩地和明全权委</w:t>
      </w:r>
      <w:r>
        <w:rPr/>
        <w:t> </w:t>
      </w:r>
      <w:r>
        <w:rPr>
          <w:spacing w:val="-4"/>
        </w:rPr>
        <w:t>托董事赵宏出席并表决；因工作原因，独立董事怀进鹏全权委托独立董事方红星出席并表</w:t>
      </w:r>
      <w:r>
        <w:rPr>
          <w:spacing w:val="-82"/>
        </w:rPr>
        <w:t> </w:t>
      </w:r>
      <w:r>
        <w:rPr>
          <w:spacing w:val="-82"/>
        </w:rPr>
      </w:r>
      <w:r>
        <w:rPr/>
        <w:t>决。</w:t>
      </w:r>
    </w:p>
    <w:p>
      <w:pPr>
        <w:spacing w:after="0" w:line="310" w:lineRule="exact"/>
        <w:jc w:val="both"/>
        <w:sectPr>
          <w:pgSz w:w="11910" w:h="16840"/>
          <w:pgMar w:header="720" w:footer="721" w:top="1100" w:bottom="920" w:left="1040" w:right="980"/>
        </w:sectPr>
      </w:pPr>
    </w:p>
    <w:p>
      <w:pPr>
        <w:spacing w:line="240" w:lineRule="auto" w:before="1"/>
        <w:rPr>
          <w:rFonts w:ascii="宋体" w:hAnsi="宋体" w:cs="宋体" w:eastAsia="宋体" w:hint="default"/>
          <w:sz w:val="20"/>
          <w:szCs w:val="20"/>
        </w:rPr>
      </w:pPr>
    </w:p>
    <w:p>
      <w:pPr>
        <w:pStyle w:val="BodyText"/>
        <w:spacing w:line="237" w:lineRule="auto" w:before="28"/>
        <w:ind w:right="219" w:firstLine="480"/>
        <w:jc w:val="both"/>
      </w:pPr>
      <w:r>
        <w:rPr/>
        <w:t>于</w:t>
      </w:r>
      <w:r>
        <w:rPr>
          <w:spacing w:val="-50"/>
        </w:rPr>
        <w:t> </w:t>
      </w:r>
      <w:r>
        <w:rPr>
          <w:spacing w:val="25"/>
        </w:rPr>
        <w:t>2009年8月</w:t>
      </w:r>
      <w:r>
        <w:rPr>
          <w:spacing w:val="-50"/>
        </w:rPr>
        <w:t> </w:t>
      </w:r>
      <w:r>
        <w:rPr/>
        <w:t>26</w:t>
      </w:r>
      <w:r>
        <w:rPr>
          <w:spacing w:val="-50"/>
        </w:rPr>
        <w:t> </w:t>
      </w:r>
      <w:r>
        <w:rPr>
          <w:spacing w:val="-5"/>
        </w:rPr>
        <w:t>日召开的公司五届十一次董事会，因工作原因，独立董事怀进鹏全</w:t>
      </w:r>
      <w:r>
        <w:rPr/>
        <w:t> </w:t>
      </w:r>
      <w:r>
        <w:rPr>
          <w:spacing w:val="-4"/>
        </w:rPr>
        <w:t>权委托独立董事吕建出席并表决；因工作原因，董事恩地和明全权委托董事长刘积仁出席</w:t>
      </w:r>
      <w:r>
        <w:rPr>
          <w:spacing w:val="-82"/>
        </w:rPr>
        <w:t> </w:t>
      </w:r>
      <w:r>
        <w:rPr>
          <w:spacing w:val="-82"/>
        </w:rPr>
      </w:r>
      <w:r>
        <w:rPr/>
        <w:t>并表决。</w:t>
      </w:r>
    </w:p>
    <w:p>
      <w:pPr>
        <w:spacing w:line="240" w:lineRule="auto" w:before="1"/>
        <w:rPr>
          <w:rFonts w:ascii="宋体" w:hAnsi="宋体" w:cs="宋体" w:eastAsia="宋体" w:hint="default"/>
          <w:sz w:val="23"/>
          <w:szCs w:val="23"/>
        </w:rPr>
      </w:pPr>
    </w:p>
    <w:p>
      <w:pPr>
        <w:pStyle w:val="BodyText"/>
        <w:spacing w:line="310" w:lineRule="exact"/>
        <w:ind w:left="620" w:right="84" w:hanging="480"/>
        <w:jc w:val="left"/>
      </w:pPr>
      <w:r>
        <w:rPr/>
        <w:t>2、独立董事对公司有关事项提出异议的情况 </w:t>
      </w:r>
      <w:r>
        <w:rPr>
          <w:spacing w:val="-4"/>
        </w:rPr>
        <w:t>报告期内，公司独立董事未对公司本年度的董事会议案及其他非董事会议案事项提出</w:t>
      </w:r>
    </w:p>
    <w:p>
      <w:pPr>
        <w:pStyle w:val="BodyText"/>
        <w:spacing w:line="284" w:lineRule="exact"/>
        <w:ind w:right="84"/>
        <w:jc w:val="left"/>
      </w:pPr>
      <w:r>
        <w:rPr/>
        <w:t>异议。</w:t>
      </w:r>
    </w:p>
    <w:p>
      <w:pPr>
        <w:spacing w:line="240" w:lineRule="auto" w:before="1"/>
        <w:rPr>
          <w:rFonts w:ascii="宋体" w:hAnsi="宋体" w:cs="宋体" w:eastAsia="宋体" w:hint="default"/>
          <w:sz w:val="26"/>
          <w:szCs w:val="26"/>
        </w:rPr>
      </w:pPr>
    </w:p>
    <w:p>
      <w:pPr>
        <w:pStyle w:val="BodyText"/>
        <w:spacing w:line="310" w:lineRule="exact"/>
        <w:ind w:left="620" w:right="84" w:hanging="480"/>
        <w:jc w:val="left"/>
      </w:pPr>
      <w:r>
        <w:rPr/>
        <w:t>3、独立董事相关工作制度的建立健全情况、主要内容及独立董事履职情况 </w:t>
      </w:r>
      <w:r>
        <w:rPr>
          <w:spacing w:val="-4"/>
        </w:rPr>
        <w:t>公司制定有《独立董事年度报告工作制度》，对独立董事在年度报告的编制、财务报</w:t>
      </w:r>
    </w:p>
    <w:p>
      <w:pPr>
        <w:pStyle w:val="BodyText"/>
        <w:spacing w:line="282" w:lineRule="exact"/>
        <w:ind w:right="84"/>
        <w:jc w:val="left"/>
      </w:pPr>
      <w:r>
        <w:rPr>
          <w:spacing w:val="-4"/>
        </w:rPr>
        <w:t>告的审计以及信息披露等流程中的职责进行了规定，在《公司章程》中关于独立董事的专</w:t>
      </w:r>
    </w:p>
    <w:p>
      <w:pPr>
        <w:pStyle w:val="BodyText"/>
        <w:spacing w:line="310" w:lineRule="exact" w:before="31"/>
        <w:ind w:right="84"/>
        <w:jc w:val="left"/>
      </w:pPr>
      <w:r>
        <w:rPr>
          <w:spacing w:val="-4"/>
        </w:rPr>
        <w:t>门章节，对独立董事的任职条件，提名、选举和更换的程序，权利和义务等进行了详尽的</w:t>
      </w:r>
      <w:r>
        <w:rPr>
          <w:spacing w:val="-84"/>
        </w:rPr>
        <w:t> </w:t>
      </w:r>
      <w:r>
        <w:rPr>
          <w:spacing w:val="-84"/>
        </w:rPr>
      </w:r>
      <w:r>
        <w:rPr/>
        <w:t>规定。</w:t>
      </w:r>
    </w:p>
    <w:p>
      <w:pPr>
        <w:pStyle w:val="BodyText"/>
        <w:spacing w:line="282" w:lineRule="exact"/>
        <w:ind w:right="0" w:firstLine="480"/>
        <w:jc w:val="both"/>
      </w:pPr>
      <w:r>
        <w:rPr>
          <w:spacing w:val="-4"/>
        </w:rPr>
        <w:t>报告期内，公司独立董事未对公司事项提出过异议。公司聘请的独立董事能够按照法</w:t>
      </w:r>
    </w:p>
    <w:p>
      <w:pPr>
        <w:pStyle w:val="BodyText"/>
        <w:spacing w:line="237" w:lineRule="auto" w:before="1"/>
        <w:ind w:right="84"/>
        <w:jc w:val="left"/>
      </w:pPr>
      <w:r>
        <w:rPr>
          <w:spacing w:val="-4"/>
        </w:rPr>
        <w:t>律法规和公司章程的规定履行职责，在闭会期间主动了解公司生产经营情况，研读和分析</w:t>
      </w:r>
      <w:r>
        <w:rPr>
          <w:spacing w:val="-82"/>
        </w:rPr>
        <w:t> </w:t>
      </w:r>
      <w:r>
        <w:rPr>
          <w:spacing w:val="-82"/>
        </w:rPr>
      </w:r>
      <w:r>
        <w:rPr>
          <w:spacing w:val="-4"/>
        </w:rPr>
        <w:t>公司的基本资料，密切关注公司经营决策变化，在出席董事会和股东大会时能够从公司和</w:t>
      </w:r>
      <w:r>
        <w:rPr>
          <w:spacing w:val="-82"/>
        </w:rPr>
        <w:t> </w:t>
      </w:r>
      <w:r>
        <w:rPr>
          <w:spacing w:val="-82"/>
        </w:rPr>
      </w:r>
      <w:r>
        <w:rPr>
          <w:spacing w:val="-6"/>
        </w:rPr>
        <w:t>中小股东的利益出发，有的放矢地提出自己的建议，保证了董事会决策的科学性和合法性，</w:t>
      </w:r>
      <w:r>
        <w:rPr>
          <w:spacing w:val="-118"/>
        </w:rPr>
        <w:t> </w:t>
      </w:r>
      <w:r>
        <w:rPr>
          <w:spacing w:val="-118"/>
        </w:rPr>
      </w:r>
      <w:r>
        <w:rPr/>
        <w:t>维护了中小股东的利益，促进了公司现代企业制度的建设。</w:t>
      </w:r>
    </w:p>
    <w:p>
      <w:pPr>
        <w:pStyle w:val="BodyText"/>
        <w:spacing w:line="312" w:lineRule="exact" w:before="27"/>
        <w:ind w:right="84" w:firstLine="480"/>
        <w:jc w:val="left"/>
      </w:pPr>
      <w:r>
        <w:rPr>
          <w:spacing w:val="-4"/>
        </w:rPr>
        <w:t>报告期内，独立董事对公司收购、投资、对外担保及重大关联交易、高级管理人员任</w:t>
      </w:r>
      <w:r>
        <w:rPr/>
        <w:t> </w:t>
      </w:r>
      <w:r>
        <w:rPr>
          <w:spacing w:val="-6"/>
        </w:rPr>
        <w:t>免等事项作出客观、公正地判断，发表其独立意见，切实保证和维护了公司、股东的利益。</w:t>
      </w:r>
    </w:p>
    <w:p>
      <w:pPr>
        <w:spacing w:line="240" w:lineRule="auto" w:before="9"/>
        <w:rPr>
          <w:rFonts w:ascii="宋体" w:hAnsi="宋体" w:cs="宋体" w:eastAsia="宋体" w:hint="default"/>
          <w:sz w:val="23"/>
          <w:szCs w:val="23"/>
        </w:rPr>
      </w:pPr>
    </w:p>
    <w:p>
      <w:pPr>
        <w:pStyle w:val="BodyText"/>
        <w:spacing w:line="312" w:lineRule="exact"/>
        <w:ind w:left="620" w:right="1044" w:hanging="480"/>
        <w:jc w:val="left"/>
      </w:pPr>
      <w:r>
        <w:rPr/>
        <w:t>（三）公司相对于控股股东在业务、人员、资产、机构、财务等方面的独立情况 截止报告期末，本公司不存在控股股东。</w:t>
      </w:r>
    </w:p>
    <w:p>
      <w:pPr>
        <w:spacing w:line="240" w:lineRule="auto" w:before="9"/>
        <w:rPr>
          <w:rFonts w:ascii="宋体" w:hAnsi="宋体" w:cs="宋体" w:eastAsia="宋体" w:hint="default"/>
          <w:sz w:val="20"/>
          <w:szCs w:val="20"/>
        </w:rPr>
      </w:pPr>
    </w:p>
    <w:p>
      <w:pPr>
        <w:pStyle w:val="BodyText"/>
        <w:spacing w:line="312" w:lineRule="exact"/>
        <w:ind w:right="5124"/>
        <w:jc w:val="left"/>
      </w:pPr>
      <w:r>
        <w:rPr/>
        <w:t>（四）公司内部控制制度的建立健全情况 1、内部控制建设的总体方案</w:t>
      </w:r>
    </w:p>
    <w:p>
      <w:pPr>
        <w:pStyle w:val="BodyText"/>
        <w:spacing w:line="281" w:lineRule="exact"/>
        <w:ind w:right="0" w:firstLine="480"/>
        <w:jc w:val="both"/>
      </w:pPr>
      <w:r>
        <w:rPr/>
        <w:t>在公司内控体系建设中，公司在持续改进现有业务流程的基础上，依据</w:t>
      </w:r>
      <w:r>
        <w:rPr>
          <w:spacing w:val="-60"/>
        </w:rPr>
        <w:t> </w:t>
      </w:r>
      <w:r>
        <w:rPr/>
        <w:t>COSO</w:t>
      </w:r>
      <w:r>
        <w:rPr>
          <w:spacing w:val="-60"/>
        </w:rPr>
        <w:t> </w:t>
      </w:r>
      <w:r>
        <w:rPr/>
        <w:t>内控标</w:t>
      </w:r>
    </w:p>
    <w:p>
      <w:pPr>
        <w:pStyle w:val="BodyText"/>
        <w:spacing w:line="312" w:lineRule="exact" w:before="29"/>
        <w:ind w:right="84"/>
        <w:jc w:val="left"/>
      </w:pPr>
      <w:r>
        <w:rPr>
          <w:spacing w:val="-4"/>
        </w:rPr>
        <w:t>准框架和《企业内部控制基本规范》及配套指引的要求，结合公司内部控制的多年实践经</w:t>
      </w:r>
      <w:r>
        <w:rPr>
          <w:spacing w:val="-84"/>
        </w:rPr>
        <w:t> </w:t>
      </w:r>
      <w:r>
        <w:rPr>
          <w:spacing w:val="-84"/>
        </w:rPr>
      </w:r>
      <w:r>
        <w:rPr/>
        <w:t>验，建立健全内部控制体系。</w:t>
      </w:r>
    </w:p>
    <w:p>
      <w:pPr>
        <w:pStyle w:val="BodyText"/>
        <w:spacing w:line="281" w:lineRule="exact"/>
        <w:ind w:right="0" w:firstLine="480"/>
        <w:jc w:val="both"/>
      </w:pPr>
      <w:r>
        <w:rPr>
          <w:spacing w:val="-4"/>
        </w:rPr>
        <w:t>公司内部控制体系建设应当满足内控基本规范的相关要求，通过完善内控体系，提高</w:t>
      </w:r>
    </w:p>
    <w:p>
      <w:pPr>
        <w:pStyle w:val="BodyText"/>
        <w:spacing w:line="237" w:lineRule="auto" w:before="1"/>
        <w:ind w:right="202"/>
        <w:jc w:val="left"/>
      </w:pPr>
      <w:r>
        <w:rPr/>
        <w:t>公司经营管理水平和风险防范能力，提升公司价值。同时，公司将借助自身在</w:t>
      </w:r>
      <w:r>
        <w:rPr>
          <w:spacing w:val="-60"/>
        </w:rPr>
        <w:t> </w:t>
      </w:r>
      <w:r>
        <w:rPr/>
        <w:t>IT</w:t>
      </w:r>
      <w:r>
        <w:rPr>
          <w:spacing w:val="-58"/>
        </w:rPr>
        <w:t> </w:t>
      </w:r>
      <w:r>
        <w:rPr/>
        <w:t>服务领</w:t>
      </w:r>
      <w:r>
        <w:rPr/>
        <w:t> 域的优势，建立与实施内部控制管理系统，实现内控体系的自动化管理。 2、内部控制制度建立健全的工作计划及其实施情况</w:t>
      </w:r>
    </w:p>
    <w:p>
      <w:pPr>
        <w:pStyle w:val="BodyText"/>
        <w:spacing w:line="237" w:lineRule="auto" w:before="1"/>
        <w:ind w:right="219" w:firstLine="480"/>
        <w:jc w:val="both"/>
      </w:pPr>
      <w:r>
        <w:rPr>
          <w:spacing w:val="-10"/>
        </w:rPr>
        <w:t>公司根据财政部等部委发布的《企业内部控制基本规范》及上海证券交易所发布的《上</w:t>
      </w:r>
      <w:r>
        <w:rPr/>
        <w:t> </w:t>
      </w:r>
      <w:r>
        <w:rPr>
          <w:spacing w:val="-4"/>
        </w:rPr>
        <w:t>海证券交易所上市公司内部控制指引》规定的有关要求，根据公司的生产经营情况及战略</w:t>
      </w:r>
      <w:r>
        <w:rPr>
          <w:spacing w:val="-82"/>
        </w:rPr>
        <w:t> </w:t>
      </w:r>
      <w:r>
        <w:rPr>
          <w:spacing w:val="-82"/>
        </w:rPr>
      </w:r>
      <w:r>
        <w:rPr>
          <w:spacing w:val="-4"/>
        </w:rPr>
        <w:t>发展需求，在建立健全法人治理结构的同时，在内控体系建设、内控制度有效执行、风险</w:t>
      </w:r>
      <w:r>
        <w:rPr>
          <w:spacing w:val="-84"/>
        </w:rPr>
        <w:t> </w:t>
      </w:r>
      <w:r>
        <w:rPr>
          <w:spacing w:val="-84"/>
        </w:rPr>
      </w:r>
      <w:r>
        <w:rPr/>
        <w:t>管理水平提升等方面开展了大量的工作，建立健全了较为完善的内部控制制度。</w:t>
      </w:r>
    </w:p>
    <w:p>
      <w:pPr>
        <w:pStyle w:val="BodyText"/>
        <w:spacing w:line="237" w:lineRule="auto"/>
        <w:ind w:right="84" w:firstLine="480"/>
        <w:jc w:val="left"/>
      </w:pPr>
      <w:r>
        <w:rPr>
          <w:spacing w:val="-4"/>
        </w:rPr>
        <w:t>在经营决策方面，公司设立了经营与预算管理委员会、技术与研发委员会、信息系统</w:t>
      </w:r>
      <w:r>
        <w:rPr/>
        <w:t> </w:t>
      </w:r>
      <w:r>
        <w:rPr>
          <w:spacing w:val="-4"/>
        </w:rPr>
        <w:t>规划与建设委员会、人力资源与薪酬委员会、基本建设规划与建设管理委员会等专门委员</w:t>
      </w:r>
      <w:r>
        <w:rPr>
          <w:spacing w:val="-82"/>
        </w:rPr>
        <w:t> </w:t>
      </w:r>
      <w:r>
        <w:rPr>
          <w:spacing w:val="-82"/>
        </w:rPr>
      </w:r>
      <w:r>
        <w:rPr/>
        <w:t>会，在决策的合理性与科学性方面加强了管理与控制，并促进了跨部门工作的有效开展； </w:t>
      </w:r>
      <w:r>
        <w:rPr>
          <w:spacing w:val="-4"/>
        </w:rPr>
        <w:t>在生产经营方面进一步完善了关于采购管理、销售管理、经营业务管理、项目管理、质量</w:t>
      </w:r>
      <w:r>
        <w:rPr>
          <w:spacing w:val="-84"/>
        </w:rPr>
        <w:t> </w:t>
      </w:r>
      <w:r>
        <w:rPr>
          <w:spacing w:val="-84"/>
        </w:rPr>
      </w:r>
      <w:r>
        <w:rPr>
          <w:spacing w:val="-4"/>
        </w:rPr>
        <w:t>管理等系列内部控制制度；在财务管理控制方面建立健全了关于预算管理、绩效考核、资</w:t>
      </w:r>
      <w:r>
        <w:rPr>
          <w:spacing w:val="-84"/>
        </w:rPr>
        <w:t> </w:t>
      </w:r>
      <w:r>
        <w:rPr>
          <w:spacing w:val="-84"/>
        </w:rPr>
      </w:r>
      <w:r>
        <w:rPr>
          <w:spacing w:val="-4"/>
        </w:rPr>
        <w:t>产管理、资金管理、投资管理等系列内部控制制度；在人力资源方面进一步完善了人才举</w:t>
      </w:r>
      <w:r>
        <w:rPr>
          <w:spacing w:val="-84"/>
        </w:rPr>
        <w:t> </w:t>
      </w:r>
      <w:r>
        <w:rPr>
          <w:spacing w:val="-84"/>
        </w:rPr>
      </w:r>
      <w:r>
        <w:rPr>
          <w:spacing w:val="-4"/>
        </w:rPr>
        <w:t>荐、劳动合同管理、能力发展与培训管理、员工行为规范、绩效管理、沟通及文化管理等</w:t>
      </w:r>
      <w:r>
        <w:rPr>
          <w:spacing w:val="-84"/>
        </w:rPr>
        <w:t> </w:t>
      </w:r>
      <w:r>
        <w:rPr>
          <w:spacing w:val="-84"/>
        </w:rPr>
      </w:r>
      <w:r>
        <w:rPr/>
        <w:t>系列内部控制制度；在</w:t>
      </w:r>
      <w:r>
        <w:rPr>
          <w:spacing w:val="-59"/>
        </w:rPr>
        <w:t> </w:t>
      </w:r>
      <w:r>
        <w:rPr/>
        <w:t>IT</w:t>
      </w:r>
      <w:r>
        <w:rPr>
          <w:spacing w:val="-59"/>
        </w:rPr>
        <w:t> </w:t>
      </w:r>
      <w:r>
        <w:rPr/>
        <w:t>信息安全管理方面，继续建立健全项目信息安全管理、有形信</w:t>
      </w:r>
      <w:r>
        <w:rPr/>
        <w:t> </w:t>
      </w:r>
      <w:r>
        <w:rPr>
          <w:spacing w:val="-4"/>
        </w:rPr>
        <w:t>息资产管理、信息备份、网络安全管理、桌面安全管理、信息安全事件管理等系列内部控</w:t>
      </w:r>
    </w:p>
    <w:p>
      <w:pPr>
        <w:spacing w:after="0" w:line="237" w:lineRule="auto"/>
        <w:jc w:val="left"/>
        <w:sectPr>
          <w:pgSz w:w="11910" w:h="16840"/>
          <w:pgMar w:header="720" w:footer="721" w:top="1100" w:bottom="920" w:left="1220" w:right="1080"/>
        </w:sectPr>
      </w:pPr>
    </w:p>
    <w:p>
      <w:pPr>
        <w:spacing w:line="240" w:lineRule="auto" w:before="1"/>
        <w:rPr>
          <w:rFonts w:ascii="宋体" w:hAnsi="宋体" w:cs="宋体" w:eastAsia="宋体" w:hint="default"/>
          <w:sz w:val="20"/>
          <w:szCs w:val="20"/>
        </w:rPr>
      </w:pPr>
    </w:p>
    <w:p>
      <w:pPr>
        <w:pStyle w:val="BodyText"/>
        <w:spacing w:line="310" w:lineRule="exact" w:before="58"/>
        <w:ind w:right="202"/>
        <w:jc w:val="left"/>
      </w:pPr>
      <w:r>
        <w:rPr/>
        <w:t>制制度；同时，公司</w:t>
      </w:r>
      <w:r>
        <w:rPr>
          <w:spacing w:val="-59"/>
        </w:rPr>
        <w:t> </w:t>
      </w:r>
      <w:r>
        <w:rPr/>
        <w:t>2009</w:t>
      </w:r>
      <w:r>
        <w:rPr>
          <w:spacing w:val="-59"/>
        </w:rPr>
        <w:t> </w:t>
      </w:r>
      <w:r>
        <w:rPr/>
        <w:t>年重点强化了知识资产管理，出台了专利管理办法等系列内部</w:t>
      </w:r>
      <w:r>
        <w:rPr/>
        <w:t> 控制制度。</w:t>
      </w:r>
    </w:p>
    <w:p>
      <w:pPr>
        <w:pStyle w:val="BodyText"/>
        <w:spacing w:line="310" w:lineRule="exact" w:before="2"/>
        <w:ind w:right="84" w:firstLine="480"/>
        <w:jc w:val="left"/>
      </w:pPr>
      <w:r>
        <w:rPr>
          <w:spacing w:val="-4"/>
        </w:rPr>
        <w:t>以上内部控制制度能够涵盖公司日常生产经营活动中的各个环节，并在公司的日常经</w:t>
      </w:r>
      <w:r>
        <w:rPr/>
        <w:t> </w:t>
      </w:r>
      <w:r>
        <w:rPr>
          <w:spacing w:val="-4"/>
        </w:rPr>
        <w:t>营管理中得到有效地贯彻执行，有效地保障了公司战略及经营目标的达成，保障了对经营</w:t>
      </w:r>
    </w:p>
    <w:p>
      <w:pPr>
        <w:pStyle w:val="BodyText"/>
        <w:spacing w:line="310" w:lineRule="exact" w:before="2"/>
        <w:ind w:right="5484"/>
        <w:jc w:val="left"/>
      </w:pPr>
      <w:r>
        <w:rPr/>
        <w:t>风险的规避。 3、内部控制检查监督部门的设置情况</w:t>
      </w:r>
    </w:p>
    <w:p>
      <w:pPr>
        <w:pStyle w:val="BodyText"/>
        <w:spacing w:line="282" w:lineRule="exact"/>
        <w:ind w:left="620" w:right="84"/>
        <w:jc w:val="left"/>
      </w:pPr>
      <w:r>
        <w:rPr>
          <w:spacing w:val="-4"/>
        </w:rPr>
        <w:t>在组织结构上，公司设立了“投资审计部”作为公司专门的内控检查监督部门，投资</w:t>
      </w:r>
    </w:p>
    <w:p>
      <w:pPr>
        <w:pStyle w:val="BodyText"/>
        <w:spacing w:line="310" w:lineRule="exact" w:before="31"/>
        <w:ind w:right="84"/>
        <w:jc w:val="left"/>
      </w:pPr>
      <w:r>
        <w:rPr>
          <w:spacing w:val="-6"/>
        </w:rPr>
        <w:t>审计部对内部控制制度的健全、实施的有效性定期进行检查、评估，并提出修订完善意见。</w:t>
      </w:r>
      <w:r>
        <w:rPr/>
        <w:t> </w:t>
      </w:r>
      <w:r>
        <w:rPr>
          <w:spacing w:val="-4"/>
        </w:rPr>
        <w:t>随着公司的发展，公司将进一步完善内部控制的检查监督机制，充分发挥内部审计部门在</w:t>
      </w:r>
      <w:r>
        <w:rPr>
          <w:spacing w:val="-82"/>
        </w:rPr>
        <w:t> </w:t>
      </w:r>
      <w:r>
        <w:rPr>
          <w:spacing w:val="-82"/>
        </w:rPr>
      </w:r>
      <w:r>
        <w:rPr/>
        <w:t>内部控制检查监督方面的作用。</w:t>
      </w:r>
    </w:p>
    <w:p>
      <w:pPr>
        <w:pStyle w:val="BodyText"/>
        <w:spacing w:line="310" w:lineRule="exact" w:before="2"/>
        <w:ind w:right="84" w:firstLine="480"/>
        <w:jc w:val="left"/>
      </w:pPr>
      <w:r>
        <w:rPr>
          <w:spacing w:val="-7"/>
        </w:rPr>
        <w:t>公司设立了“监察部”，配置专职监察人员对公司干部进行审计与监督，在干部管理、</w:t>
      </w:r>
      <w:r>
        <w:rPr/>
        <w:t> 反贿赂舞弊等方面发挥了十分重要的作用。</w:t>
      </w:r>
    </w:p>
    <w:p>
      <w:pPr>
        <w:pStyle w:val="BodyText"/>
        <w:spacing w:line="310" w:lineRule="exact" w:before="2"/>
        <w:ind w:left="620" w:right="202" w:hanging="480"/>
        <w:jc w:val="left"/>
      </w:pPr>
      <w:r>
        <w:rPr/>
        <w:t>4、内部监督和内部控制自我评价工作开展情况 公司根据《企业内部控制基本规范》及配套指引的要求，自</w:t>
      </w:r>
      <w:r>
        <w:rPr>
          <w:spacing w:val="-59"/>
        </w:rPr>
        <w:t> </w:t>
      </w:r>
      <w:r>
        <w:rPr/>
        <w:t>2008</w:t>
      </w:r>
      <w:r>
        <w:rPr>
          <w:spacing w:val="-59"/>
        </w:rPr>
        <w:t> </w:t>
      </w:r>
      <w:r>
        <w:rPr/>
        <w:t>年起，在年度报告</w:t>
      </w:r>
    </w:p>
    <w:p>
      <w:pPr>
        <w:pStyle w:val="BodyText"/>
        <w:spacing w:line="282" w:lineRule="exact"/>
        <w:ind w:right="84"/>
        <w:jc w:val="left"/>
      </w:pPr>
      <w:r>
        <w:rPr>
          <w:spacing w:val="-4"/>
        </w:rPr>
        <w:t>中披露了内部控制工作开展情况，并专门披露了内部控制自我评估报告。公司将持续披露</w:t>
      </w:r>
    </w:p>
    <w:p>
      <w:pPr>
        <w:pStyle w:val="BodyText"/>
        <w:spacing w:line="310" w:lineRule="exact" w:before="31"/>
        <w:ind w:right="4404"/>
        <w:jc w:val="left"/>
      </w:pPr>
      <w:r>
        <w:rPr/>
        <w:t>内部控制自我评估报告，使信息对外公开透明。 5、董事会对内部控制有关工作的安排</w:t>
      </w:r>
    </w:p>
    <w:p>
      <w:pPr>
        <w:pStyle w:val="BodyText"/>
        <w:spacing w:line="282" w:lineRule="exact"/>
        <w:ind w:right="84" w:firstLine="480"/>
        <w:jc w:val="left"/>
      </w:pPr>
      <w:r>
        <w:rPr>
          <w:spacing w:val="-4"/>
        </w:rPr>
        <w:t>公司完善了法人治理结构，在董事会、监事会和经营管理层之间形成了决策、监督和</w:t>
      </w:r>
    </w:p>
    <w:p>
      <w:pPr>
        <w:pStyle w:val="BodyText"/>
        <w:spacing w:line="237" w:lineRule="auto" w:before="1"/>
        <w:ind w:right="84"/>
        <w:jc w:val="left"/>
      </w:pPr>
      <w:r>
        <w:rPr>
          <w:spacing w:val="-4"/>
        </w:rPr>
        <w:t>经营管理的制衡机制。公司董事会设有战略决策、提名、审计、薪酬与考核四个专业委员</w:t>
      </w:r>
      <w:r>
        <w:rPr>
          <w:spacing w:val="-83"/>
        </w:rPr>
        <w:t> </w:t>
      </w:r>
      <w:r>
        <w:rPr>
          <w:spacing w:val="-83"/>
        </w:rPr>
      </w:r>
      <w:r>
        <w:rPr/>
        <w:t>会。其中审计委员会由公司独立董事担任主任，保证内部控制制度贯彻实施。在制度上， </w:t>
      </w:r>
      <w:r>
        <w:rPr>
          <w:spacing w:val="-4"/>
        </w:rPr>
        <w:t>公司建立了《董事会专业委员会工作细则》、《独立董事年度报告工作制度》、《董事会</w:t>
      </w:r>
      <w:r>
        <w:rPr>
          <w:spacing w:val="-83"/>
        </w:rPr>
        <w:t> </w:t>
      </w:r>
      <w:r>
        <w:rPr>
          <w:spacing w:val="-83"/>
        </w:rPr>
      </w:r>
      <w:r>
        <w:rPr>
          <w:spacing w:val="-4"/>
        </w:rPr>
        <w:t>审计委员会年度财务报告审议工作规程》，以进一步规范四个专门委员会的运作，明确审</w:t>
      </w:r>
      <w:r>
        <w:rPr>
          <w:spacing w:val="-84"/>
        </w:rPr>
        <w:t> </w:t>
      </w:r>
      <w:r>
        <w:rPr>
          <w:spacing w:val="-84"/>
        </w:rPr>
      </w:r>
      <w:r>
        <w:rPr>
          <w:spacing w:val="-4"/>
        </w:rPr>
        <w:t>计委员会、独立董事的年报工作规程。审计委员会积极开展年报相关工作，与年审注册会</w:t>
      </w:r>
      <w:r>
        <w:rPr>
          <w:spacing w:val="-84"/>
        </w:rPr>
        <w:t> </w:t>
      </w:r>
      <w:r>
        <w:rPr>
          <w:spacing w:val="-84"/>
        </w:rPr>
      </w:r>
      <w:r>
        <w:rPr>
          <w:spacing w:val="-4"/>
        </w:rPr>
        <w:t>计师协商确定年度审计工作时间安排，督促会计师事务所在约定时限内提交审计报告，对</w:t>
      </w:r>
      <w:r>
        <w:rPr>
          <w:spacing w:val="-82"/>
        </w:rPr>
        <w:t> </w:t>
      </w:r>
      <w:r>
        <w:rPr>
          <w:spacing w:val="-82"/>
        </w:rPr>
      </w:r>
      <w:r>
        <w:rPr>
          <w:spacing w:val="-4"/>
        </w:rPr>
        <w:t>公司编制的财务报表发表意见，并向董事会提交会计师事务所从事本年度公司审计工作的</w:t>
      </w:r>
      <w:r>
        <w:rPr>
          <w:spacing w:val="-82"/>
        </w:rPr>
        <w:t> </w:t>
      </w:r>
      <w:r>
        <w:rPr>
          <w:spacing w:val="-82"/>
        </w:rPr>
      </w:r>
      <w:r>
        <w:rPr/>
        <w:t>总结报告和下年度续聘会计师事务所的决议，在公司年报编制过程中发挥了积极的作用。 </w:t>
      </w:r>
      <w:r>
        <w:rPr>
          <w:spacing w:val="-4"/>
        </w:rPr>
        <w:t>薪酬与考核委员会积极参与公司整体薪酬体系、高级管理人员的绩效考评工作，对公司薪</w:t>
      </w:r>
      <w:r>
        <w:rPr>
          <w:spacing w:val="-82"/>
        </w:rPr>
        <w:t> </w:t>
      </w:r>
      <w:r>
        <w:rPr>
          <w:spacing w:val="-82"/>
        </w:rPr>
      </w:r>
      <w:r>
        <w:rPr/>
        <w:t>酬实施情况进行审核，发表客观、公正的专业意见。 6、与财务核算相关的内部控制制度的完善情况</w:t>
      </w:r>
    </w:p>
    <w:p>
      <w:pPr>
        <w:pStyle w:val="BodyText"/>
        <w:spacing w:line="237" w:lineRule="auto"/>
        <w:ind w:right="84" w:firstLine="499"/>
        <w:jc w:val="left"/>
      </w:pPr>
      <w:r>
        <w:rPr/>
        <w:t>2009年，公司进一步完善了财务核算相关的内部控制制度。根据业务、组织结构的 </w:t>
      </w:r>
      <w:r>
        <w:rPr>
          <w:spacing w:val="-4"/>
        </w:rPr>
        <w:t>变化，对财务管理核算的规则进行了调整；针对财务风险集中的关键流程进行了规范，加</w:t>
      </w:r>
      <w:r>
        <w:rPr>
          <w:spacing w:val="-84"/>
        </w:rPr>
        <w:t> </w:t>
      </w:r>
      <w:r>
        <w:rPr>
          <w:spacing w:val="-84"/>
        </w:rPr>
      </w:r>
      <w:r>
        <w:rPr>
          <w:spacing w:val="-4"/>
        </w:rPr>
        <w:t>强对现金流量计划、存货、应收账款、保函保证金等的管理，将内部控制责任落实到业务</w:t>
      </w:r>
      <w:r>
        <w:rPr>
          <w:spacing w:val="-84"/>
        </w:rPr>
        <w:t> </w:t>
      </w:r>
      <w:r>
        <w:rPr>
          <w:spacing w:val="-84"/>
        </w:rPr>
      </w:r>
      <w:r>
        <w:rPr>
          <w:spacing w:val="-6"/>
        </w:rPr>
        <w:t>流程中和经营部门的日常决策中；结合市场环境变化，配合公司经营策略与业务发展需要，</w:t>
      </w:r>
      <w:r>
        <w:rPr>
          <w:spacing w:val="-118"/>
        </w:rPr>
        <w:t> </w:t>
      </w:r>
      <w:r>
        <w:rPr>
          <w:spacing w:val="-118"/>
        </w:rPr>
      </w:r>
      <w:r>
        <w:rPr/>
        <w:t>在成本费用控制方面实施全面节约成本费用的措施，保障了公司经营目标的实现。 7、内部控制存在的缺陷及整改情况</w:t>
      </w:r>
    </w:p>
    <w:p>
      <w:pPr>
        <w:pStyle w:val="BodyText"/>
        <w:spacing w:line="237" w:lineRule="auto"/>
        <w:ind w:right="219" w:firstLine="480"/>
        <w:jc w:val="both"/>
      </w:pPr>
      <w:r>
        <w:rPr>
          <w:spacing w:val="-4"/>
        </w:rPr>
        <w:t>公司已经建立了行之有效的内部控制体系，各项制度得以有效落实。但是，公司在内</w:t>
      </w:r>
      <w:r>
        <w:rPr/>
        <w:t> </w:t>
      </w:r>
      <w:r>
        <w:rPr>
          <w:spacing w:val="-3"/>
        </w:rPr>
        <w:t>部控制理论框架的指导性方面需要进一步完善，个别领域的制度未能做到及时更新，2010</w:t>
      </w:r>
      <w:r>
        <w:rPr>
          <w:spacing w:val="-115"/>
        </w:rPr>
        <w:t> </w:t>
      </w:r>
      <w:r>
        <w:rPr>
          <w:spacing w:val="-115"/>
        </w:rPr>
      </w:r>
      <w:r>
        <w:rPr>
          <w:spacing w:val="-4"/>
        </w:rPr>
        <w:t>年公司根据具体的经营策略，改进和完善内部控制制度，加强内部控制的风险评估、控制</w:t>
      </w:r>
      <w:r>
        <w:rPr>
          <w:spacing w:val="-84"/>
        </w:rPr>
        <w:t> </w:t>
      </w:r>
      <w:r>
        <w:rPr>
          <w:spacing w:val="-84"/>
        </w:rPr>
      </w:r>
      <w:r>
        <w:rPr/>
        <w:t>活动以及内部监督等项工作，进一步加强内部控制体系建设。</w:t>
      </w:r>
    </w:p>
    <w:p>
      <w:pPr>
        <w:spacing w:line="240" w:lineRule="auto" w:before="1"/>
        <w:rPr>
          <w:rFonts w:ascii="宋体" w:hAnsi="宋体" w:cs="宋体" w:eastAsia="宋体" w:hint="default"/>
          <w:sz w:val="26"/>
          <w:szCs w:val="26"/>
        </w:rPr>
      </w:pPr>
    </w:p>
    <w:p>
      <w:pPr>
        <w:pStyle w:val="BodyText"/>
        <w:spacing w:line="310" w:lineRule="exact"/>
        <w:ind w:left="620" w:right="84" w:hanging="360"/>
        <w:jc w:val="left"/>
      </w:pPr>
      <w:r>
        <w:rPr/>
        <w:t>（五）高级管理人员的考评及激励情况 为维护公司及股东的利益，面对国际金融危机带来的挑战，促进公司持续稳定发展，</w:t>
      </w:r>
    </w:p>
    <w:p>
      <w:pPr>
        <w:pStyle w:val="BodyText"/>
        <w:spacing w:line="310" w:lineRule="exact" w:before="2"/>
        <w:ind w:right="84"/>
        <w:jc w:val="left"/>
      </w:pPr>
      <w:r>
        <w:rPr>
          <w:spacing w:val="-4"/>
        </w:rPr>
        <w:t>有效激励高级管理人员，公司根据所处行业特点、市场趋势和公司自身的实际情况，进一</w:t>
      </w:r>
      <w:r>
        <w:rPr>
          <w:spacing w:val="-84"/>
        </w:rPr>
        <w:t> </w:t>
      </w:r>
      <w:r>
        <w:rPr>
          <w:spacing w:val="-84"/>
        </w:rPr>
      </w:r>
      <w:r>
        <w:rPr>
          <w:spacing w:val="-6"/>
        </w:rPr>
        <w:t>步加强对高级管理人员的考评，完善高级管理人员的胜任能力模型，继续采取平衡计分卡、</w:t>
      </w:r>
    </w:p>
    <w:p>
      <w:pPr>
        <w:pStyle w:val="BodyText"/>
        <w:spacing w:line="284" w:lineRule="exact"/>
        <w:ind w:right="84"/>
        <w:jc w:val="left"/>
      </w:pPr>
      <w:r>
        <w:rPr/>
        <w:t>360</w:t>
      </w:r>
      <w:r>
        <w:rPr>
          <w:spacing w:val="-44"/>
        </w:rPr>
        <w:t> </w:t>
      </w:r>
      <w:r>
        <w:rPr>
          <w:spacing w:val="-2"/>
        </w:rPr>
        <w:t>度评估等考核评价方式，持续促进高级管理人员对经营业绩及公司长远发展目标的关</w:t>
      </w:r>
    </w:p>
    <w:p>
      <w:pPr>
        <w:spacing w:after="0" w:line="284" w:lineRule="exact"/>
        <w:jc w:val="left"/>
        <w:sectPr>
          <w:pgSz w:w="11910" w:h="16840"/>
          <w:pgMar w:header="720" w:footer="721" w:top="1100" w:bottom="920" w:left="1220" w:right="1080"/>
        </w:sectPr>
      </w:pPr>
    </w:p>
    <w:p>
      <w:pPr>
        <w:spacing w:line="240" w:lineRule="auto" w:before="1"/>
        <w:rPr>
          <w:rFonts w:ascii="宋体" w:hAnsi="宋体" w:cs="宋体" w:eastAsia="宋体" w:hint="default"/>
          <w:sz w:val="20"/>
          <w:szCs w:val="20"/>
        </w:rPr>
      </w:pPr>
    </w:p>
    <w:p>
      <w:pPr>
        <w:pStyle w:val="BodyText"/>
        <w:spacing w:line="237" w:lineRule="auto" w:before="28"/>
        <w:ind w:right="84"/>
        <w:jc w:val="left"/>
      </w:pPr>
      <w:r>
        <w:rPr>
          <w:spacing w:val="-6"/>
        </w:rPr>
        <w:t>注，注重领导力的提升和对企业发展的贡献，提升了高级管理人员的岗位责任感和自豪感，</w:t>
      </w:r>
      <w:r>
        <w:rPr>
          <w:spacing w:val="-118"/>
        </w:rPr>
        <w:t> </w:t>
      </w:r>
      <w:r>
        <w:rPr>
          <w:spacing w:val="-118"/>
        </w:rPr>
      </w:r>
      <w:r>
        <w:rPr/>
        <w:t>对促进高级管理人员的稳定和发展取得了较好的效果。面对公司全球化和规模化的发展， </w:t>
      </w:r>
      <w:r>
        <w:rPr>
          <w:spacing w:val="-4"/>
        </w:rPr>
        <w:t>公司还将继续完善更有效的高级管理人员的激励和约束机制，以持续提高公司业绩和运营</w:t>
      </w:r>
      <w:r>
        <w:rPr>
          <w:spacing w:val="-82"/>
        </w:rPr>
        <w:t> </w:t>
      </w:r>
      <w:r>
        <w:rPr>
          <w:spacing w:val="-82"/>
        </w:rPr>
      </w:r>
      <w:r>
        <w:rPr/>
        <w:t>质量。</w:t>
      </w:r>
    </w:p>
    <w:p>
      <w:pPr>
        <w:spacing w:line="240" w:lineRule="auto" w:before="12"/>
        <w:rPr>
          <w:rFonts w:ascii="宋体" w:hAnsi="宋体" w:cs="宋体" w:eastAsia="宋体" w:hint="default"/>
          <w:sz w:val="22"/>
          <w:szCs w:val="22"/>
        </w:rPr>
      </w:pPr>
    </w:p>
    <w:p>
      <w:pPr>
        <w:pStyle w:val="BodyText"/>
        <w:spacing w:line="312" w:lineRule="exact"/>
        <w:ind w:left="620" w:right="84" w:hanging="360"/>
        <w:jc w:val="left"/>
      </w:pPr>
      <w:r>
        <w:rPr/>
        <w:t>（六）公司披露内部控制的自我评价报告和履行社会责任报告情况 </w:t>
      </w:r>
      <w:r>
        <w:rPr>
          <w:spacing w:val="-4"/>
        </w:rPr>
        <w:t>与本年度报告公告的同时，公司披露《董事会关于公司内部控制的自我评估报告》和</w:t>
      </w:r>
    </w:p>
    <w:p>
      <w:pPr>
        <w:spacing w:line="294" w:lineRule="exact" w:before="0"/>
        <w:ind w:left="140" w:right="84" w:firstLine="0"/>
        <w:jc w:val="left"/>
        <w:rPr>
          <w:rFonts w:ascii="宋体" w:hAnsi="宋体" w:cs="宋体" w:eastAsia="宋体" w:hint="default"/>
          <w:sz w:val="21"/>
          <w:szCs w:val="21"/>
        </w:rPr>
      </w:pPr>
      <w:r>
        <w:rPr>
          <w:rFonts w:ascii="宋体" w:hAnsi="宋体" w:cs="宋体" w:eastAsia="宋体" w:hint="default"/>
          <w:sz w:val="24"/>
          <w:szCs w:val="24"/>
        </w:rPr>
        <w:t>《2009</w:t>
      </w:r>
      <w:r>
        <w:rPr>
          <w:rFonts w:ascii="宋体" w:hAnsi="宋体" w:cs="宋体" w:eastAsia="宋体" w:hint="default"/>
          <w:spacing w:val="-68"/>
          <w:sz w:val="24"/>
          <w:szCs w:val="24"/>
        </w:rPr>
        <w:t> </w:t>
      </w:r>
      <w:r>
        <w:rPr>
          <w:rFonts w:ascii="宋体" w:hAnsi="宋体" w:cs="宋体" w:eastAsia="宋体" w:hint="default"/>
          <w:sz w:val="24"/>
          <w:szCs w:val="24"/>
        </w:rPr>
        <w:t>年度社会责任报告》，具体内容详见上海证券交易所网站</w:t>
      </w:r>
      <w:r>
        <w:rPr>
          <w:rFonts w:ascii="Times New Roman" w:hAnsi="Times New Roman" w:cs="Times New Roman" w:eastAsia="Times New Roman" w:hint="default"/>
          <w:sz w:val="21"/>
          <w:szCs w:val="21"/>
        </w:rPr>
        <w:t>http://</w:t>
      </w:r>
      <w:r>
        <w:rPr>
          <w:rFonts w:ascii="Times New Roman" w:hAnsi="Times New Roman" w:cs="Times New Roman" w:eastAsia="Times New Roman" w:hint="default"/>
          <w:spacing w:val="-8"/>
          <w:sz w:val="21"/>
          <w:szCs w:val="21"/>
        </w:rPr>
        <w:t> </w:t>
      </w:r>
      <w:hyperlink r:id="rId10">
        <w:r>
          <w:rPr>
            <w:rFonts w:ascii="Times New Roman" w:hAnsi="Times New Roman" w:cs="Times New Roman" w:eastAsia="Times New Roman" w:hint="default"/>
            <w:sz w:val="21"/>
            <w:szCs w:val="21"/>
          </w:rPr>
          <w:t>www.sse.com.cn</w:t>
        </w:r>
      </w:hyperlink>
      <w:r>
        <w:rPr>
          <w:rFonts w:ascii="宋体" w:hAnsi="宋体" w:cs="宋体" w:eastAsia="宋体" w:hint="default"/>
          <w:sz w:val="21"/>
          <w:szCs w:val="21"/>
        </w:rPr>
        <w:t>。</w:t>
      </w:r>
    </w:p>
    <w:p>
      <w:pPr>
        <w:spacing w:line="240" w:lineRule="auto" w:before="8"/>
        <w:rPr>
          <w:rFonts w:ascii="宋体" w:hAnsi="宋体" w:cs="宋体" w:eastAsia="宋体" w:hint="default"/>
          <w:sz w:val="17"/>
          <w:szCs w:val="17"/>
        </w:rPr>
      </w:pPr>
    </w:p>
    <w:p>
      <w:pPr>
        <w:pStyle w:val="BodyText"/>
        <w:spacing w:line="237" w:lineRule="auto"/>
        <w:ind w:left="620" w:right="84" w:hanging="360"/>
        <w:jc w:val="left"/>
      </w:pPr>
      <w:r>
        <w:rPr/>
        <w:t>（七）公司建立年报信息披露重大差错责任追究制度的情况 </w:t>
      </w:r>
      <w:r>
        <w:rPr>
          <w:spacing w:val="-7"/>
        </w:rPr>
        <w:t>报告期内，公司未发生重大会计差错更正、重大遗漏信息补充及业绩预告更正等情况。</w:t>
      </w:r>
      <w:r>
        <w:rPr/>
        <w:t> 于</w:t>
      </w:r>
      <w:r>
        <w:rPr>
          <w:spacing w:val="-50"/>
        </w:rPr>
        <w:t> </w:t>
      </w:r>
      <w:r>
        <w:rPr>
          <w:spacing w:val="25"/>
        </w:rPr>
        <w:t>2010年3月</w:t>
      </w:r>
      <w:r>
        <w:rPr>
          <w:spacing w:val="-50"/>
        </w:rPr>
        <w:t> </w:t>
      </w:r>
      <w:r>
        <w:rPr/>
        <w:t>24</w:t>
      </w:r>
      <w:r>
        <w:rPr>
          <w:spacing w:val="-50"/>
        </w:rPr>
        <w:t> </w:t>
      </w:r>
      <w:r>
        <w:rPr>
          <w:spacing w:val="-5"/>
        </w:rPr>
        <w:t>日召开的公司五届十七次董事会，审议通过了《年度报告信息披露</w:t>
      </w:r>
    </w:p>
    <w:p>
      <w:pPr>
        <w:pStyle w:val="BodyText"/>
        <w:spacing w:line="310" w:lineRule="exact" w:before="29"/>
        <w:ind w:right="84"/>
        <w:jc w:val="left"/>
      </w:pPr>
      <w:r>
        <w:rPr>
          <w:spacing w:val="-4"/>
        </w:rPr>
        <w:t>重大差错责任追究制度》，明确了公司年度报告信息披露重大差错的责任追究对象和具体</w:t>
      </w:r>
      <w:r>
        <w:rPr>
          <w:spacing w:val="-82"/>
        </w:rPr>
        <w:t> </w:t>
      </w:r>
      <w:r>
        <w:rPr>
          <w:spacing w:val="-82"/>
        </w:rPr>
      </w:r>
      <w:r>
        <w:rPr/>
        <w:t>处罚手段。</w:t>
      </w:r>
    </w:p>
    <w:p>
      <w:pPr>
        <w:spacing w:after="0" w:line="310" w:lineRule="exact"/>
        <w:jc w:val="left"/>
        <w:sectPr>
          <w:pgSz w:w="11910" w:h="16840"/>
          <w:pgMar w:header="720" w:footer="721" w:top="1100" w:bottom="920" w:left="1220" w:right="108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p>
      <w:pPr>
        <w:pStyle w:val="Heading5"/>
        <w:spacing w:line="240" w:lineRule="auto"/>
        <w:ind w:right="144"/>
        <w:jc w:val="left"/>
        <w:rPr>
          <w:b w:val="0"/>
          <w:bCs w:val="0"/>
        </w:rPr>
      </w:pPr>
      <w:bookmarkStart w:name="_bookmark6" w:id="8"/>
      <w:bookmarkEnd w:id="8"/>
      <w:r>
        <w:rPr>
          <w:b w:val="0"/>
          <w:bCs w:val="0"/>
        </w:rPr>
      </w:r>
      <w:r>
        <w:rPr/>
        <w:t>七、股东大会情况简介</w:t>
      </w:r>
      <w:r>
        <w:rPr>
          <w:b w:val="0"/>
          <w:bCs w:val="0"/>
        </w:rPr>
      </w:r>
    </w:p>
    <w:p>
      <w:pPr>
        <w:pStyle w:val="BodyText"/>
        <w:spacing w:line="312" w:lineRule="exact" w:before="4"/>
        <w:ind w:right="144"/>
        <w:jc w:val="left"/>
      </w:pPr>
      <w:r>
        <w:rPr/>
        <w:t>（一）年度股东大会情况</w:t>
      </w:r>
    </w:p>
    <w:p>
      <w:pPr>
        <w:pStyle w:val="BodyText"/>
        <w:spacing w:line="310" w:lineRule="exact" w:before="30"/>
        <w:ind w:right="0" w:firstLine="480"/>
        <w:jc w:val="left"/>
      </w:pPr>
      <w:r>
        <w:rPr/>
        <w:t>公司于</w:t>
      </w:r>
      <w:r>
        <w:rPr>
          <w:spacing w:val="-59"/>
        </w:rPr>
        <w:t> </w:t>
      </w:r>
      <w:r>
        <w:rPr>
          <w:spacing w:val="25"/>
        </w:rPr>
        <w:t>2009年4月</w:t>
      </w:r>
      <w:r>
        <w:rPr>
          <w:spacing w:val="-59"/>
        </w:rPr>
        <w:t> </w:t>
      </w:r>
      <w:r>
        <w:rPr/>
        <w:t>28</w:t>
      </w:r>
      <w:r>
        <w:rPr>
          <w:spacing w:val="-59"/>
        </w:rPr>
        <w:t> </w:t>
      </w:r>
      <w:r>
        <w:rPr/>
        <w:t>日召开</w:t>
      </w:r>
      <w:r>
        <w:rPr>
          <w:spacing w:val="-59"/>
        </w:rPr>
        <w:t> </w:t>
      </w:r>
      <w:r>
        <w:rPr/>
        <w:t>2008</w:t>
      </w:r>
      <w:r>
        <w:rPr>
          <w:spacing w:val="-59"/>
        </w:rPr>
        <w:t> </w:t>
      </w:r>
      <w:r>
        <w:rPr/>
        <w:t>年度股东大会，相关公告详见</w:t>
      </w:r>
      <w:r>
        <w:rPr>
          <w:spacing w:val="-59"/>
        </w:rPr>
        <w:t> </w:t>
      </w:r>
      <w:r>
        <w:rPr>
          <w:spacing w:val="25"/>
        </w:rPr>
        <w:t>2009年4月</w:t>
      </w:r>
      <w:r>
        <w:rPr>
          <w:spacing w:val="-59"/>
        </w:rPr>
        <w:t> </w:t>
      </w:r>
      <w:r>
        <w:rPr>
          <w:spacing w:val="20"/>
        </w:rPr>
        <w:t>29日</w:t>
      </w:r>
      <w:r>
        <w:rPr>
          <w:spacing w:val="-60"/>
        </w:rPr>
        <w:t> </w:t>
      </w:r>
      <w:r>
        <w:rPr/>
        <w:t>的《中国证券报》、《上海证券报》。</w:t>
      </w:r>
    </w:p>
    <w:p>
      <w:pPr>
        <w:spacing w:line="240" w:lineRule="auto" w:before="6"/>
        <w:rPr>
          <w:rFonts w:ascii="宋体" w:hAnsi="宋体" w:cs="宋体" w:eastAsia="宋体" w:hint="default"/>
          <w:sz w:val="21"/>
          <w:szCs w:val="21"/>
        </w:rPr>
      </w:pPr>
    </w:p>
    <w:p>
      <w:pPr>
        <w:pStyle w:val="BodyText"/>
        <w:spacing w:line="312" w:lineRule="exact"/>
        <w:ind w:right="144"/>
        <w:jc w:val="left"/>
      </w:pPr>
      <w:r>
        <w:rPr/>
        <w:t>（二）临时股东大会情况</w:t>
      </w:r>
    </w:p>
    <w:p>
      <w:pPr>
        <w:pStyle w:val="BodyText"/>
        <w:spacing w:line="311" w:lineRule="exact"/>
        <w:ind w:left="620" w:right="0"/>
        <w:jc w:val="left"/>
      </w:pPr>
      <w:r>
        <w:rPr/>
        <w:t>公司于</w:t>
      </w:r>
      <w:r>
        <w:rPr>
          <w:spacing w:val="-59"/>
        </w:rPr>
        <w:t> </w:t>
      </w:r>
      <w:r>
        <w:rPr>
          <w:spacing w:val="25"/>
        </w:rPr>
        <w:t>2009年8月</w:t>
      </w:r>
      <w:r>
        <w:rPr>
          <w:spacing w:val="-59"/>
        </w:rPr>
        <w:t> </w:t>
      </w:r>
      <w:r>
        <w:rPr/>
        <w:t>27</w:t>
      </w:r>
      <w:r>
        <w:rPr>
          <w:spacing w:val="-59"/>
        </w:rPr>
        <w:t> </w:t>
      </w:r>
      <w:r>
        <w:rPr/>
        <w:t>日召开</w:t>
      </w:r>
      <w:r>
        <w:rPr>
          <w:spacing w:val="-59"/>
        </w:rPr>
        <w:t> </w:t>
      </w:r>
      <w:r>
        <w:rPr/>
        <w:t>2009</w:t>
      </w:r>
      <w:r>
        <w:rPr>
          <w:spacing w:val="-59"/>
        </w:rPr>
        <w:t> </w:t>
      </w:r>
      <w:r>
        <w:rPr>
          <w:spacing w:val="-4"/>
        </w:rPr>
        <w:t>年第一次临时股东大会，相关公告详见</w:t>
      </w:r>
      <w:r>
        <w:rPr>
          <w:spacing w:val="-59"/>
        </w:rPr>
        <w:t> </w:t>
      </w:r>
      <w:r>
        <w:rPr/>
        <w:t>2009</w:t>
      </w:r>
      <w:r>
        <w:rPr>
          <w:spacing w:val="-59"/>
        </w:rPr>
        <w:t> </w:t>
      </w:r>
      <w:r>
        <w:rPr/>
        <w:t>年</w:t>
      </w:r>
      <w:r>
        <w:rPr>
          <w:spacing w:val="-59"/>
        </w:rPr>
        <w:t> </w:t>
      </w:r>
      <w:r>
        <w:rPr/>
        <w:t>8</w:t>
      </w:r>
    </w:p>
    <w:p>
      <w:pPr>
        <w:pStyle w:val="BodyText"/>
        <w:spacing w:line="313" w:lineRule="exact"/>
        <w:ind w:right="144"/>
        <w:jc w:val="left"/>
      </w:pPr>
      <w:r>
        <w:rPr/>
        <w:t>月</w:t>
      </w:r>
      <w:r>
        <w:rPr>
          <w:spacing w:val="-60"/>
        </w:rPr>
        <w:t> </w:t>
      </w:r>
      <w:r>
        <w:rPr/>
        <w:t>28</w:t>
      </w:r>
      <w:r>
        <w:rPr>
          <w:spacing w:val="-60"/>
        </w:rPr>
        <w:t> </w:t>
      </w:r>
      <w:r>
        <w:rPr/>
        <w:t>日的《中国证券报》、《上海证券报》。</w:t>
      </w:r>
    </w:p>
    <w:p>
      <w:pPr>
        <w:spacing w:after="0" w:line="313" w:lineRule="exact"/>
        <w:jc w:val="left"/>
        <w:sectPr>
          <w:pgSz w:w="11910" w:h="16840"/>
          <w:pgMar w:header="720" w:footer="721" w:top="1100" w:bottom="920" w:left="1220" w:right="114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p>
      <w:pPr>
        <w:pStyle w:val="Heading5"/>
        <w:spacing w:line="240" w:lineRule="auto"/>
        <w:ind w:right="0"/>
        <w:jc w:val="both"/>
        <w:rPr>
          <w:b w:val="0"/>
          <w:bCs w:val="0"/>
        </w:rPr>
      </w:pPr>
      <w:bookmarkStart w:name="_bookmark7" w:id="9"/>
      <w:bookmarkEnd w:id="9"/>
      <w:r>
        <w:rPr>
          <w:b w:val="0"/>
          <w:bCs w:val="0"/>
        </w:rPr>
      </w:r>
      <w:r>
        <w:rPr/>
        <w:t>八、董事会报告</w:t>
      </w:r>
      <w:r>
        <w:rPr>
          <w:b w:val="0"/>
          <w:bCs w:val="0"/>
        </w:rPr>
      </w:r>
    </w:p>
    <w:p>
      <w:pPr>
        <w:spacing w:line="310" w:lineRule="exact" w:before="36"/>
        <w:ind w:left="140" w:right="5247" w:firstLine="0"/>
        <w:jc w:val="left"/>
        <w:rPr>
          <w:rFonts w:ascii="宋体" w:hAnsi="宋体" w:cs="宋体" w:eastAsia="宋体" w:hint="default"/>
          <w:sz w:val="24"/>
          <w:szCs w:val="24"/>
        </w:rPr>
      </w:pPr>
      <w:r>
        <w:rPr>
          <w:rFonts w:ascii="宋体" w:hAnsi="宋体" w:cs="宋体" w:eastAsia="宋体" w:hint="default"/>
          <w:sz w:val="24"/>
          <w:szCs w:val="24"/>
        </w:rPr>
        <w:t>（一）管理层讨论与分析 </w:t>
      </w:r>
      <w:r>
        <w:rPr>
          <w:rFonts w:ascii="宋体" w:hAnsi="宋体" w:cs="宋体" w:eastAsia="宋体" w:hint="default"/>
          <w:b/>
          <w:bCs/>
          <w:sz w:val="24"/>
          <w:szCs w:val="24"/>
        </w:rPr>
        <w:t>1、报告期内整体经营情况的讨论与分析</w:t>
      </w:r>
      <w:r>
        <w:rPr>
          <w:rFonts w:ascii="宋体" w:hAnsi="宋体" w:cs="宋体" w:eastAsia="宋体" w:hint="default"/>
          <w:sz w:val="24"/>
          <w:szCs w:val="24"/>
        </w:rPr>
      </w:r>
    </w:p>
    <w:p>
      <w:pPr>
        <w:pStyle w:val="BodyText"/>
        <w:spacing w:line="282" w:lineRule="exact"/>
        <w:ind w:left="620" w:right="104"/>
        <w:jc w:val="left"/>
      </w:pPr>
      <w:r>
        <w:rPr/>
        <w:t>2009</w:t>
      </w:r>
      <w:r>
        <w:rPr>
          <w:spacing w:val="-60"/>
        </w:rPr>
        <w:t> </w:t>
      </w:r>
      <w:r>
        <w:rPr/>
        <w:t>年是公司持续发展的关键一年。面对国际金融危机带来的挑战与机遇并存的复</w:t>
      </w:r>
    </w:p>
    <w:p>
      <w:pPr>
        <w:pStyle w:val="BodyText"/>
        <w:spacing w:line="237" w:lineRule="auto" w:before="1"/>
        <w:ind w:right="104"/>
        <w:jc w:val="left"/>
      </w:pPr>
      <w:r>
        <w:rPr>
          <w:spacing w:val="-6"/>
        </w:rPr>
        <w:t>杂的外部环境，公司以更加积极的态度，深入贯彻落实“卓越组织建设、核心业务高增长、</w:t>
      </w:r>
      <w:r>
        <w:rPr/>
        <w:t> </w:t>
      </w:r>
      <w:r>
        <w:rPr>
          <w:spacing w:val="-4"/>
        </w:rPr>
        <w:t>开放式技术创新、高效实用人力资源发展”等战略，通过市场的积极开拓、成本的有效控</w:t>
      </w:r>
      <w:r>
        <w:rPr>
          <w:spacing w:val="-84"/>
        </w:rPr>
        <w:t> </w:t>
      </w:r>
      <w:r>
        <w:rPr>
          <w:spacing w:val="-84"/>
        </w:rPr>
      </w:r>
      <w:r>
        <w:rPr/>
        <w:t>制、创新与效率的提升、投资与并购的运作，保证了公司全球化发展策略得以顺利启动。 2009</w:t>
      </w:r>
      <w:r>
        <w:rPr>
          <w:spacing w:val="-57"/>
        </w:rPr>
        <w:t> </w:t>
      </w:r>
      <w:r>
        <w:rPr>
          <w:spacing w:val="-11"/>
        </w:rPr>
        <w:t>年，公司各项业务保持持续、平稳、健康发展。报告期内，公司实现营业收入</w:t>
      </w:r>
      <w:r>
        <w:rPr>
          <w:spacing w:val="-57"/>
        </w:rPr>
        <w:t> </w:t>
      </w:r>
      <w:r>
        <w:rPr/>
        <w:t>416,606</w:t>
      </w:r>
      <w:r>
        <w:rPr>
          <w:spacing w:val="-113"/>
        </w:rPr>
        <w:t> </w:t>
      </w:r>
      <w:r>
        <w:rPr>
          <w:spacing w:val="-113"/>
        </w:rPr>
      </w:r>
      <w:r>
        <w:rPr/>
        <w:t>万元，较上年同期增长</w:t>
      </w:r>
      <w:r>
        <w:rPr>
          <w:spacing w:val="-60"/>
        </w:rPr>
        <w:t> </w:t>
      </w:r>
      <w:r>
        <w:rPr/>
        <w:t>12.3%，实现净利润（归属于公司普通股股东的净利润）64,056</w:t>
      </w:r>
      <w:r>
        <w:rPr/>
        <w:t> 万元，每股收益</w:t>
      </w:r>
      <w:r>
        <w:rPr>
          <w:spacing w:val="-60"/>
        </w:rPr>
        <w:t> </w:t>
      </w:r>
      <w:r>
        <w:rPr/>
        <w:t>0.68</w:t>
      </w:r>
      <w:r>
        <w:rPr>
          <w:spacing w:val="-60"/>
        </w:rPr>
        <w:t> </w:t>
      </w:r>
      <w:r>
        <w:rPr/>
        <w:t>元，较上年同期增长</w:t>
      </w:r>
      <w:r>
        <w:rPr>
          <w:spacing w:val="-60"/>
        </w:rPr>
        <w:t> </w:t>
      </w:r>
      <w:r>
        <w:rPr/>
        <w:t>30.5%。</w:t>
      </w:r>
    </w:p>
    <w:p>
      <w:pPr>
        <w:pStyle w:val="BodyText"/>
        <w:spacing w:line="237" w:lineRule="auto"/>
        <w:ind w:right="239" w:firstLine="480"/>
        <w:jc w:val="both"/>
      </w:pPr>
      <w:r>
        <w:rPr>
          <w:spacing w:val="-4"/>
        </w:rPr>
        <w:t>在国际业务方面，公司设立了全资子公司—东软（欧洲）有限公司，并加强了东软日</w:t>
      </w:r>
      <w:r>
        <w:rPr/>
        <w:t> </w:t>
      </w:r>
      <w:r>
        <w:rPr>
          <w:spacing w:val="-4"/>
        </w:rPr>
        <w:t>本、东软美国子公司的综合资源投入，形成了面向日本、北美、欧洲的全球化发展的战略</w:t>
      </w:r>
      <w:r>
        <w:rPr>
          <w:spacing w:val="-84"/>
        </w:rPr>
        <w:t> </w:t>
      </w:r>
      <w:r>
        <w:rPr>
          <w:spacing w:val="-84"/>
        </w:rPr>
      </w:r>
      <w:r>
        <w:rPr/>
        <w:t>布局。报告期内,公司继续巩固和强化日本市场，提高服务质量，使得公司日本市场保持 </w:t>
      </w:r>
      <w:r>
        <w:rPr>
          <w:spacing w:val="-4"/>
        </w:rPr>
        <w:t>平稳增长。在欧美市场，公司积极开拓市场，利用开放式创新和收购兼并，在欧洲和北美</w:t>
      </w:r>
      <w:r>
        <w:rPr>
          <w:spacing w:val="-84"/>
        </w:rPr>
        <w:t> </w:t>
      </w:r>
      <w:r>
        <w:rPr>
          <w:spacing w:val="-84"/>
        </w:rPr>
      </w:r>
      <w:r>
        <w:rPr>
          <w:spacing w:val="-4"/>
        </w:rPr>
        <w:t>均成功实施了收购兼并，加强了公司在智能手机和移动终端领域的设计和创新能力，形成</w:t>
      </w:r>
      <w:r>
        <w:rPr>
          <w:spacing w:val="-82"/>
        </w:rPr>
        <w:t> </w:t>
      </w:r>
      <w:r>
        <w:rPr>
          <w:spacing w:val="-82"/>
        </w:rPr>
      </w:r>
      <w:r>
        <w:rPr>
          <w:spacing w:val="-4"/>
        </w:rPr>
        <w:t>了面向重点客户的离岸、近岸及在岸外包的运营体制，为加快公司国际业务规模化发展奠</w:t>
      </w:r>
      <w:r>
        <w:rPr>
          <w:spacing w:val="-82"/>
        </w:rPr>
        <w:t> </w:t>
      </w:r>
      <w:r>
        <w:rPr>
          <w:spacing w:val="-82"/>
        </w:rPr>
      </w:r>
      <w:r>
        <w:rPr/>
        <w:t>定了基础。</w:t>
      </w:r>
    </w:p>
    <w:p>
      <w:pPr>
        <w:pStyle w:val="BodyText"/>
        <w:spacing w:line="237" w:lineRule="auto" w:before="1"/>
        <w:ind w:right="240" w:firstLine="480"/>
        <w:jc w:val="both"/>
      </w:pPr>
      <w:r>
        <w:rPr/>
        <w:t>在国内解决方案业务方面，公司密切跟进中国政府拉动内需所投资的重点行业的</w:t>
      </w:r>
      <w:r>
        <w:rPr>
          <w:spacing w:val="-60"/>
        </w:rPr>
        <w:t> </w:t>
      </w:r>
      <w:r>
        <w:rPr/>
        <w:t>IT</w:t>
      </w:r>
      <w:r>
        <w:rPr/>
        <w:t> </w:t>
      </w:r>
      <w:r>
        <w:rPr>
          <w:spacing w:val="-4"/>
        </w:rPr>
        <w:t>需求，积极拓展国内市场，调整资源配置，优化商业模式，使得国内核心软件业务保持增</w:t>
      </w:r>
      <w:r>
        <w:rPr>
          <w:spacing w:val="-84"/>
        </w:rPr>
        <w:t> </w:t>
      </w:r>
      <w:r>
        <w:rPr>
          <w:spacing w:val="-84"/>
        </w:rPr>
      </w:r>
      <w:r>
        <w:rPr>
          <w:spacing w:val="-4"/>
        </w:rPr>
        <w:t>长，在注重内涵式发展的同时，公司在行业并购方面进行了积极的尝试，实现了技术、人</w:t>
      </w:r>
      <w:r>
        <w:rPr>
          <w:spacing w:val="-83"/>
        </w:rPr>
        <w:t> </w:t>
      </w:r>
      <w:r>
        <w:rPr>
          <w:spacing w:val="-83"/>
        </w:rPr>
      </w:r>
      <w:r>
        <w:rPr>
          <w:spacing w:val="-4"/>
        </w:rPr>
        <w:t>员的整合，发挥协同效用，推动了公司在政府、电力等优势行业的核心业务的竞争能力和</w:t>
      </w:r>
      <w:r>
        <w:rPr>
          <w:spacing w:val="-84"/>
        </w:rPr>
        <w:t> </w:t>
      </w:r>
      <w:r>
        <w:rPr>
          <w:spacing w:val="-84"/>
        </w:rPr>
      </w:r>
      <w:r>
        <w:rPr/>
        <w:t>市场地位的进一步巩固和提升。</w:t>
      </w:r>
    </w:p>
    <w:p>
      <w:pPr>
        <w:pStyle w:val="BodyText"/>
        <w:spacing w:line="237" w:lineRule="auto"/>
        <w:ind w:right="104" w:firstLine="480"/>
        <w:jc w:val="left"/>
      </w:pPr>
      <w:r>
        <w:rPr>
          <w:spacing w:val="-4"/>
        </w:rPr>
        <w:t>在医疗系统业务方面，业务收入同比下降。但是，公司加强了组织和业务整合，在医</w:t>
      </w:r>
      <w:r>
        <w:rPr/>
        <w:t> </w:t>
      </w:r>
      <w:r>
        <w:rPr>
          <w:spacing w:val="-3"/>
        </w:rPr>
        <w:t>疗设备新产品研发方面取得了重大突破，16</w:t>
      </w:r>
      <w:r>
        <w:rPr>
          <w:spacing w:val="-58"/>
        </w:rPr>
        <w:t> </w:t>
      </w:r>
      <w:r>
        <w:rPr/>
        <w:t>层螺旋</w:t>
      </w:r>
      <w:r>
        <w:rPr>
          <w:spacing w:val="-58"/>
        </w:rPr>
        <w:t> </w:t>
      </w:r>
      <w:r>
        <w:rPr>
          <w:spacing w:val="-9"/>
        </w:rPr>
        <w:t>CT、1.5TMRI、PET</w:t>
      </w:r>
      <w:r>
        <w:rPr>
          <w:spacing w:val="-58"/>
        </w:rPr>
        <w:t> </w:t>
      </w:r>
      <w:r>
        <w:rPr/>
        <w:t>等新产品陆续推出；</w:t>
      </w:r>
      <w:r>
        <w:rPr/>
        <w:t> </w:t>
      </w:r>
      <w:r>
        <w:rPr>
          <w:spacing w:val="-4"/>
        </w:rPr>
        <w:t>同时针对国家新医改政策，快速规划并发布了“医药卫生全面解决方案”，在医疗健康方</w:t>
      </w:r>
      <w:r>
        <w:rPr>
          <w:spacing w:val="-84"/>
        </w:rPr>
        <w:t> </w:t>
      </w:r>
      <w:r>
        <w:rPr>
          <w:spacing w:val="-84"/>
        </w:rPr>
      </w:r>
      <w:r>
        <w:rPr>
          <w:spacing w:val="-4"/>
        </w:rPr>
        <w:t>面启动了“熙康”健康医疗服务等医疗软件项目，这将推动公司医疗业务未来的持续快速</w:t>
      </w:r>
      <w:r>
        <w:rPr>
          <w:spacing w:val="-84"/>
        </w:rPr>
        <w:t> </w:t>
      </w:r>
      <w:r>
        <w:rPr>
          <w:spacing w:val="-84"/>
        </w:rPr>
      </w:r>
      <w:r>
        <w:rPr/>
        <w:t>发展。</w:t>
      </w:r>
    </w:p>
    <w:p>
      <w:pPr>
        <w:pStyle w:val="BodyText"/>
        <w:spacing w:line="312" w:lineRule="exact" w:before="27"/>
        <w:ind w:right="239" w:firstLine="480"/>
        <w:jc w:val="both"/>
      </w:pPr>
      <w:r>
        <w:rPr/>
        <w:t>公司品牌知名度和市场影响力不断扩大。在美国纽约全球服务大会举办的“2009</w:t>
      </w:r>
      <w:r>
        <w:rPr>
          <w:spacing w:val="1"/>
        </w:rPr>
        <w:t> </w:t>
      </w:r>
      <w:r>
        <w:rPr/>
        <w:t>年</w:t>
      </w:r>
      <w:r>
        <w:rPr/>
        <w:t> 全球服务</w:t>
      </w:r>
      <w:r>
        <w:rPr>
          <w:spacing w:val="-57"/>
        </w:rPr>
        <w:t> </w:t>
      </w:r>
      <w:r>
        <w:rPr/>
        <w:t>100</w:t>
      </w:r>
      <w:r>
        <w:rPr>
          <w:spacing w:val="-57"/>
        </w:rPr>
        <w:t> </w:t>
      </w:r>
      <w:r>
        <w:rPr>
          <w:spacing w:val="-3"/>
        </w:rPr>
        <w:t>强”评选活动中，公司第五次入围“全球IT服务</w:t>
      </w:r>
      <w:r>
        <w:rPr>
          <w:spacing w:val="-57"/>
        </w:rPr>
        <w:t> </w:t>
      </w:r>
      <w:r>
        <w:rPr/>
        <w:t>100</w:t>
      </w:r>
      <w:r>
        <w:rPr>
          <w:spacing w:val="-57"/>
        </w:rPr>
        <w:t> </w:t>
      </w:r>
      <w:r>
        <w:rPr>
          <w:spacing w:val="-7"/>
        </w:rPr>
        <w:t>强”名单，蝉联“亚洲</w:t>
      </w:r>
    </w:p>
    <w:p>
      <w:pPr>
        <w:pStyle w:val="BodyText"/>
        <w:spacing w:line="281" w:lineRule="exact"/>
        <w:ind w:right="0"/>
        <w:jc w:val="both"/>
      </w:pPr>
      <w:r>
        <w:rPr/>
        <w:t>新兴外包</w:t>
      </w:r>
      <w:r>
        <w:rPr>
          <w:spacing w:val="-59"/>
        </w:rPr>
        <w:t> </w:t>
      </w:r>
      <w:r>
        <w:rPr/>
        <w:t>10</w:t>
      </w:r>
      <w:r>
        <w:rPr>
          <w:spacing w:val="-59"/>
        </w:rPr>
        <w:t> </w:t>
      </w:r>
      <w:r>
        <w:rPr>
          <w:spacing w:val="-3"/>
        </w:rPr>
        <w:t>强”榜首，并首次入围全球“最佳表现IT服务提供商</w:t>
      </w:r>
      <w:r>
        <w:rPr>
          <w:spacing w:val="-59"/>
        </w:rPr>
        <w:t> </w:t>
      </w:r>
      <w:r>
        <w:rPr/>
        <w:t>10</w:t>
      </w:r>
      <w:r>
        <w:rPr>
          <w:spacing w:val="-59"/>
        </w:rPr>
        <w:t> </w:t>
      </w:r>
      <w:r>
        <w:rPr>
          <w:spacing w:val="-6"/>
        </w:rPr>
        <w:t>强”和“人力资本发</w:t>
      </w:r>
    </w:p>
    <w:p>
      <w:pPr>
        <w:pStyle w:val="BodyText"/>
        <w:spacing w:line="311" w:lineRule="exact"/>
        <w:ind w:right="0"/>
        <w:jc w:val="both"/>
      </w:pPr>
      <w:r>
        <w:rPr/>
        <w:t>展</w:t>
      </w:r>
      <w:r>
        <w:rPr>
          <w:spacing w:val="-59"/>
        </w:rPr>
        <w:t> </w:t>
      </w:r>
      <w:r>
        <w:rPr/>
        <w:t>10</w:t>
      </w:r>
      <w:r>
        <w:rPr>
          <w:spacing w:val="-59"/>
        </w:rPr>
        <w:t> </w:t>
      </w:r>
      <w:r>
        <w:rPr/>
        <w:t>强”榜单。在国际外包专业协会（IAOP）的评选中，公司连续第四次入围“全球外</w:t>
      </w:r>
    </w:p>
    <w:p>
      <w:pPr>
        <w:pStyle w:val="BodyText"/>
        <w:spacing w:line="237" w:lineRule="auto" w:before="1"/>
        <w:ind w:right="240"/>
        <w:jc w:val="both"/>
      </w:pPr>
      <w:r>
        <w:rPr/>
        <w:t>包</w:t>
      </w:r>
      <w:r>
        <w:rPr>
          <w:spacing w:val="-49"/>
        </w:rPr>
        <w:t> </w:t>
      </w:r>
      <w:r>
        <w:rPr/>
        <w:t>100</w:t>
      </w:r>
      <w:r>
        <w:rPr>
          <w:spacing w:val="-49"/>
        </w:rPr>
        <w:t> </w:t>
      </w:r>
      <w:r>
        <w:rPr>
          <w:spacing w:val="-4"/>
        </w:rPr>
        <w:t>强”榜单，公司董事长兼首席执行官刘积仁作为首位中国人入选“外包名人堂”名</w:t>
      </w:r>
      <w:r>
        <w:rPr/>
        <w:t> 单。报告期内，在证券时报社举办的“2008 年度中国上市公司价值评选”中，公司获得 “中国上市公司价值评选百强”殊荣。在CCTV举办“2009 中国经济年度人物”评选中， 公司董事长兼首席执行官</w:t>
      </w:r>
      <w:r>
        <w:rPr>
          <w:spacing w:val="-60"/>
        </w:rPr>
        <w:t> </w:t>
      </w:r>
      <w:hyperlink r:id="rId12">
        <w:r>
          <w:rPr/>
          <w:t>刘积仁成功当选。</w:t>
        </w:r>
      </w:hyperlink>
    </w:p>
    <w:p>
      <w:pPr>
        <w:spacing w:line="240" w:lineRule="auto" w:before="8"/>
        <w:rPr>
          <w:rFonts w:ascii="宋体" w:hAnsi="宋体" w:cs="宋体" w:eastAsia="宋体" w:hint="default"/>
          <w:sz w:val="23"/>
          <w:szCs w:val="23"/>
        </w:rPr>
      </w:pPr>
    </w:p>
    <w:p>
      <w:pPr>
        <w:pStyle w:val="Heading7"/>
        <w:spacing w:line="312" w:lineRule="exact"/>
        <w:ind w:right="0"/>
        <w:jc w:val="both"/>
        <w:rPr>
          <w:rFonts w:ascii="宋体" w:hAnsi="宋体" w:cs="宋体" w:eastAsia="宋体" w:hint="default"/>
          <w:b w:val="0"/>
          <w:bCs w:val="0"/>
        </w:rPr>
      </w:pPr>
      <w:r>
        <w:rPr>
          <w:rFonts w:ascii="宋体" w:hAnsi="宋体" w:cs="宋体" w:eastAsia="宋体" w:hint="default"/>
        </w:rPr>
        <w:t>2、公司具体经营情况</w:t>
      </w:r>
      <w:r>
        <w:rPr>
          <w:rFonts w:ascii="宋体" w:hAnsi="宋体" w:cs="宋体" w:eastAsia="宋体" w:hint="default"/>
          <w:b w:val="0"/>
          <w:bCs w:val="0"/>
        </w:rPr>
      </w:r>
    </w:p>
    <w:p>
      <w:pPr>
        <w:pStyle w:val="BodyText"/>
        <w:spacing w:line="310" w:lineRule="exact" w:before="30"/>
        <w:ind w:left="620" w:right="344" w:hanging="480"/>
        <w:jc w:val="left"/>
      </w:pPr>
      <w:r>
        <w:rPr/>
        <w:t>（1）软件及系统集成业务 报告期内，公司软件及系统集成业务保持了持续、稳健的发展态势，实现营业收入</w:t>
      </w:r>
    </w:p>
    <w:p>
      <w:pPr>
        <w:pStyle w:val="BodyText"/>
        <w:spacing w:line="310" w:lineRule="exact" w:before="2"/>
        <w:ind w:left="0" w:right="238"/>
        <w:jc w:val="right"/>
      </w:pPr>
      <w:r>
        <w:rPr/>
        <w:t>342,695万元（已扣除行业间抵销），较上年同期增长16.8%，占公司营业收入的82.3%。 </w:t>
      </w:r>
      <w:r>
        <w:rPr>
          <w:spacing w:val="-4"/>
        </w:rPr>
        <w:t>在电信行业，公司与陕西联通、河南联通、辽宁联通等重点客户加强深度合作，同时</w:t>
      </w:r>
    </w:p>
    <w:p>
      <w:pPr>
        <w:pStyle w:val="BodyText"/>
        <w:spacing w:line="310" w:lineRule="exact" w:before="2"/>
        <w:ind w:right="121"/>
        <w:jc w:val="both"/>
      </w:pPr>
      <w:r>
        <w:rPr>
          <w:spacing w:val="-3"/>
        </w:rPr>
        <w:t>公司承建了联通总部的移动支付平台、116114黄页集成应用平台、移动商城，以及覆盖联</w:t>
      </w:r>
      <w:r>
        <w:rPr>
          <w:spacing w:val="-114"/>
        </w:rPr>
        <w:t> </w:t>
      </w:r>
      <w:r>
        <w:rPr>
          <w:spacing w:val="-114"/>
        </w:rPr>
      </w:r>
      <w:r>
        <w:rPr>
          <w:spacing w:val="-3"/>
        </w:rPr>
        <w:t>通19个省的智能终端采集系统等业务，进一步确定了与中国联通在核心业务上的全面合作</w:t>
      </w:r>
      <w:r>
        <w:rPr>
          <w:spacing w:val="-118"/>
        </w:rPr>
        <w:t> </w:t>
      </w:r>
      <w:r>
        <w:rPr>
          <w:spacing w:val="-118"/>
        </w:rPr>
      </w:r>
      <w:r>
        <w:rPr/>
        <w:t>关系。报告期内，公司与中国电信的合作进展顺利，签约河北电信、辽宁电信等新客户。</w:t>
      </w:r>
    </w:p>
    <w:p>
      <w:pPr>
        <w:spacing w:after="0" w:line="310" w:lineRule="exact"/>
        <w:jc w:val="both"/>
        <w:sectPr>
          <w:pgSz w:w="11910" w:h="16840"/>
          <w:pgMar w:header="720" w:footer="721" w:top="1100" w:bottom="920" w:left="1220" w:right="1060"/>
        </w:sectPr>
      </w:pPr>
    </w:p>
    <w:p>
      <w:pPr>
        <w:spacing w:line="240" w:lineRule="auto" w:before="1"/>
        <w:rPr>
          <w:rFonts w:ascii="宋体" w:hAnsi="宋体" w:cs="宋体" w:eastAsia="宋体" w:hint="default"/>
          <w:sz w:val="20"/>
          <w:szCs w:val="20"/>
        </w:rPr>
      </w:pPr>
    </w:p>
    <w:p>
      <w:pPr>
        <w:pStyle w:val="BodyText"/>
        <w:spacing w:line="237" w:lineRule="auto" w:before="28"/>
        <w:ind w:right="87"/>
        <w:jc w:val="left"/>
      </w:pPr>
      <w:r>
        <w:rPr>
          <w:spacing w:val="-4"/>
        </w:rPr>
        <w:t>公司与中国移动的合作不断深入，短信网关的市场份额得到了持续的稳固和提高，公司成</w:t>
      </w:r>
      <w:r>
        <w:rPr>
          <w:spacing w:val="-82"/>
        </w:rPr>
        <w:t> </w:t>
      </w:r>
      <w:r>
        <w:rPr>
          <w:spacing w:val="-82"/>
        </w:rPr>
      </w:r>
      <w:r>
        <w:rPr>
          <w:spacing w:val="-4"/>
        </w:rPr>
        <w:t>为中国移动数据业务平台领域出色的平台供应商之一。在行业应用领域，公司成为中国移</w:t>
      </w:r>
      <w:r>
        <w:rPr>
          <w:spacing w:val="-82"/>
        </w:rPr>
        <w:t> </w:t>
      </w:r>
      <w:r>
        <w:rPr>
          <w:spacing w:val="-82"/>
        </w:rPr>
      </w:r>
      <w:r>
        <w:rPr>
          <w:spacing w:val="-3"/>
        </w:rPr>
        <w:t>动首批信息化产品全国甲级代理商之一。在移动位置业务领域，公司移动位置服务（LBS）</w:t>
      </w:r>
      <w:r>
        <w:rPr>
          <w:spacing w:val="-117"/>
        </w:rPr>
        <w:t> </w:t>
      </w:r>
      <w:r>
        <w:rPr>
          <w:spacing w:val="-117"/>
        </w:rPr>
      </w:r>
      <w:r>
        <w:rPr>
          <w:spacing w:val="-4"/>
        </w:rPr>
        <w:t>整体解决方案在辽宁移动得到有效实施。另外，公司在新业务方面取得突破，物联网管理</w:t>
      </w:r>
      <w:r>
        <w:rPr>
          <w:spacing w:val="-84"/>
        </w:rPr>
        <w:t> </w:t>
      </w:r>
      <w:r>
        <w:rPr>
          <w:spacing w:val="-84"/>
        </w:rPr>
      </w:r>
      <w:r>
        <w:rPr/>
        <w:t>平台（M2M）、行业应用生成平台（IAMP）、知识管理平台（KM）和校讯通等新产品成功 推出并迅速市场化。</w:t>
      </w:r>
    </w:p>
    <w:p>
      <w:pPr>
        <w:pStyle w:val="BodyText"/>
        <w:spacing w:line="237" w:lineRule="auto"/>
        <w:ind w:right="84" w:firstLine="480"/>
        <w:jc w:val="left"/>
      </w:pPr>
      <w:r>
        <w:rPr>
          <w:spacing w:val="-4"/>
        </w:rPr>
        <w:t>在政府信息化领域，公司在社保行业的领导地位进一步稳固，签订了天津社保、安徽</w:t>
      </w:r>
      <w:r>
        <w:rPr/>
        <w:t> </w:t>
      </w:r>
      <w:r>
        <w:rPr>
          <w:spacing w:val="-4"/>
        </w:rPr>
        <w:t>城居、广西就业等项目。在财政行业，公司积极推进与财政部在业务平台方面的合作，加</w:t>
      </w:r>
      <w:r>
        <w:rPr>
          <w:spacing w:val="-83"/>
        </w:rPr>
        <w:t> </w:t>
      </w:r>
      <w:r>
        <w:rPr>
          <w:spacing w:val="-83"/>
        </w:rPr>
      </w:r>
      <w:r>
        <w:rPr>
          <w:spacing w:val="-6"/>
        </w:rPr>
        <w:t>快平台技术的升级和完善，签约贵州省财政厅、山东省财政厅等新客户。在税务分析领域，</w:t>
      </w:r>
      <w:r>
        <w:rPr/>
        <w:t> </w:t>
      </w:r>
      <w:r>
        <w:rPr>
          <w:spacing w:val="-4"/>
        </w:rPr>
        <w:t>公司与南京地税等重点客户的业务合作顺利开展。在司法行业，公司成功签订苏州、泰州</w:t>
      </w:r>
      <w:r>
        <w:rPr>
          <w:spacing w:val="-84"/>
        </w:rPr>
        <w:t> </w:t>
      </w:r>
      <w:r>
        <w:rPr>
          <w:spacing w:val="-84"/>
        </w:rPr>
      </w:r>
      <w:r>
        <w:rPr>
          <w:spacing w:val="-4"/>
        </w:rPr>
        <w:t>的人口信息业务系统。在工商行业，中标金信工程一期的数据中心扩容，以及国家知识产</w:t>
      </w:r>
      <w:r>
        <w:rPr>
          <w:spacing w:val="-84"/>
        </w:rPr>
        <w:t> </w:t>
      </w:r>
      <w:r>
        <w:rPr>
          <w:spacing w:val="-84"/>
        </w:rPr>
      </w:r>
      <w:r>
        <w:rPr>
          <w:spacing w:val="-4"/>
        </w:rPr>
        <w:t>权局公众服务等项目。在国土资源行业，签约石家庄国土资源等新客户。在医疗卫生政务</w:t>
      </w:r>
      <w:r>
        <w:rPr>
          <w:spacing w:val="-84"/>
        </w:rPr>
        <w:t> </w:t>
      </w:r>
      <w:r>
        <w:rPr>
          <w:spacing w:val="-84"/>
        </w:rPr>
      </w:r>
      <w:r>
        <w:rPr>
          <w:spacing w:val="-4"/>
        </w:rPr>
        <w:t>领域，公司与卫生部信息中心建立合作关系，随着上海卫生信息平台和常州社区卫生项目</w:t>
      </w:r>
      <w:r>
        <w:rPr>
          <w:spacing w:val="-82"/>
        </w:rPr>
        <w:t> </w:t>
      </w:r>
      <w:r>
        <w:rPr>
          <w:spacing w:val="-82"/>
        </w:rPr>
      </w:r>
      <w:r>
        <w:rPr>
          <w:spacing w:val="-4"/>
        </w:rPr>
        <w:t>的顺利实施，已经形成以健康档案为基础的区域卫生解决方案。在环保行业，公司成功签</w:t>
      </w:r>
      <w:r>
        <w:rPr>
          <w:spacing w:val="-84"/>
        </w:rPr>
        <w:t> </w:t>
      </w:r>
      <w:r>
        <w:rPr>
          <w:spacing w:val="-84"/>
        </w:rPr>
      </w:r>
      <w:r>
        <w:rPr>
          <w:spacing w:val="-4"/>
        </w:rPr>
        <w:t>订了国家环保部环境与灾害检测预报应用系统软件服务项目和固废申报系统项目，以及水</w:t>
      </w:r>
      <w:r>
        <w:rPr>
          <w:spacing w:val="-82"/>
        </w:rPr>
        <w:t> </w:t>
      </w:r>
      <w:r>
        <w:rPr>
          <w:spacing w:val="-82"/>
        </w:rPr>
      </w:r>
      <w:r>
        <w:rPr/>
        <w:t>利部全国水土保持监测网络及信息系统建设二期项目。</w:t>
      </w:r>
    </w:p>
    <w:p>
      <w:pPr>
        <w:pStyle w:val="BodyText"/>
        <w:spacing w:line="237" w:lineRule="auto"/>
        <w:ind w:right="219" w:firstLine="480"/>
        <w:jc w:val="both"/>
      </w:pPr>
      <w:r>
        <w:rPr>
          <w:spacing w:val="-4"/>
        </w:rPr>
        <w:t>在电力行业，公司持续关注和聚焦电力核心业务领域，项目开发能力进一步提高，成</w:t>
      </w:r>
      <w:r>
        <w:rPr/>
        <w:t> </w:t>
      </w:r>
      <w:r>
        <w:rPr>
          <w:spacing w:val="-3"/>
        </w:rPr>
        <w:t>功中标河南、陕西两省国家电网“SG186”工程-电网公司营销业务应用系统建设等大型项</w:t>
      </w:r>
      <w:r>
        <w:rPr>
          <w:spacing w:val="-114"/>
        </w:rPr>
        <w:t> </w:t>
      </w:r>
      <w:r>
        <w:rPr>
          <w:spacing w:val="-114"/>
        </w:rPr>
      </w:r>
      <w:r>
        <w:rPr>
          <w:spacing w:val="-4"/>
        </w:rPr>
        <w:t>目，同时前期建设的辽宁、黑龙江、新疆、四川和江西五省电网公司的营销业务应用系统</w:t>
      </w:r>
      <w:r>
        <w:rPr>
          <w:spacing w:val="-84"/>
        </w:rPr>
        <w:t> </w:t>
      </w:r>
      <w:r>
        <w:rPr>
          <w:spacing w:val="-84"/>
        </w:rPr>
      </w:r>
      <w:r>
        <w:rPr>
          <w:spacing w:val="-4"/>
        </w:rPr>
        <w:t>成功上线运行。在电力生产领域，公司承接了南方电网贵州省生产管理系统项目，市场影</w:t>
      </w:r>
      <w:r>
        <w:rPr>
          <w:spacing w:val="-84"/>
        </w:rPr>
        <w:t> </w:t>
      </w:r>
      <w:r>
        <w:rPr>
          <w:spacing w:val="-84"/>
        </w:rPr>
      </w:r>
      <w:r>
        <w:rPr>
          <w:spacing w:val="-4"/>
        </w:rPr>
        <w:t>响力进一步增强。同时，公司紧密跟进国家“智能电网”的发展方向，在资本、技术等方</w:t>
      </w:r>
      <w:r>
        <w:rPr>
          <w:spacing w:val="-85"/>
        </w:rPr>
        <w:t> </w:t>
      </w:r>
      <w:r>
        <w:rPr>
          <w:spacing w:val="-85"/>
        </w:rPr>
      </w:r>
      <w:r>
        <w:rPr/>
        <w:t>面进行了准备。</w:t>
      </w:r>
    </w:p>
    <w:p>
      <w:pPr>
        <w:pStyle w:val="BodyText"/>
        <w:spacing w:line="237" w:lineRule="auto"/>
        <w:ind w:right="219" w:firstLine="480"/>
        <w:jc w:val="both"/>
      </w:pPr>
      <w:r>
        <w:rPr/>
        <w:t>在企业及电子商务领域，公司成功中标甘肃烟草信息化建设二期以及中国航油MPC金 </w:t>
      </w:r>
      <w:r>
        <w:rPr>
          <w:spacing w:val="-4"/>
        </w:rPr>
        <w:t>融资金管理等项目。针对财政部等五部委联合发布的内部控制管理规范，公司研发并推出</w:t>
      </w:r>
      <w:r>
        <w:rPr>
          <w:spacing w:val="-82"/>
        </w:rPr>
        <w:t> </w:t>
      </w:r>
      <w:r>
        <w:rPr>
          <w:spacing w:val="-82"/>
        </w:rPr>
      </w:r>
      <w:r>
        <w:rPr/>
        <w:t>了GRC内控解决方案。在航天航空领域，公司中标沈阳黎明发动机公司试车线数字化检验 </w:t>
      </w:r>
      <w:r>
        <w:rPr>
          <w:spacing w:val="-3"/>
        </w:rPr>
        <w:t>系统项目，开拓了新市场。在ERP领域，公司进一步巩固与SAP的战略合作伙伴关系，成为</w:t>
      </w:r>
      <w:r>
        <w:rPr>
          <w:spacing w:val="-114"/>
        </w:rPr>
        <w:t> </w:t>
      </w:r>
      <w:r>
        <w:rPr>
          <w:spacing w:val="-114"/>
        </w:rPr>
      </w:r>
      <w:r>
        <w:rPr>
          <w:spacing w:val="-3"/>
        </w:rPr>
        <w:t>SAP中国A1、B1业务金牌合作伙伴。报告期内，公司ERP成功签约陕西延长石油、青岛开世</w:t>
      </w:r>
      <w:r>
        <w:rPr>
          <w:spacing w:val="-108"/>
        </w:rPr>
        <w:t> </w:t>
      </w:r>
      <w:r>
        <w:rPr>
          <w:spacing w:val="-108"/>
        </w:rPr>
      </w:r>
      <w:r>
        <w:rPr/>
        <w:t>化工等多家知名企业，拓展了新行业新领域。</w:t>
      </w:r>
    </w:p>
    <w:p>
      <w:pPr>
        <w:pStyle w:val="BodyText"/>
        <w:spacing w:line="310" w:lineRule="exact" w:before="30"/>
        <w:ind w:right="220" w:firstLine="480"/>
        <w:jc w:val="both"/>
      </w:pPr>
      <w:r>
        <w:rPr>
          <w:spacing w:val="-4"/>
        </w:rPr>
        <w:t>在金融行业，报告期内，公司保持稳步发展态势，与上海证券交易所、工商银行、兴</w:t>
      </w:r>
      <w:r>
        <w:rPr/>
        <w:t> </w:t>
      </w:r>
      <w:r>
        <w:rPr>
          <w:spacing w:val="-4"/>
        </w:rPr>
        <w:t>业银行等金融机构的合作稳步推进，同时与中国太平洋保险、广东发展银行、日本住友生</w:t>
      </w:r>
      <w:r>
        <w:rPr>
          <w:spacing w:val="-84"/>
        </w:rPr>
        <w:t> </w:t>
      </w:r>
      <w:r>
        <w:rPr>
          <w:spacing w:val="-84"/>
        </w:rPr>
      </w:r>
      <w:r>
        <w:rPr/>
        <w:t>命情报系统株式会社等客户展开新业务合作。</w:t>
      </w:r>
    </w:p>
    <w:p>
      <w:pPr>
        <w:pStyle w:val="BodyText"/>
        <w:spacing w:line="310" w:lineRule="exact" w:before="2"/>
        <w:ind w:right="220" w:firstLine="480"/>
        <w:jc w:val="both"/>
      </w:pPr>
      <w:r>
        <w:rPr>
          <w:spacing w:val="-4"/>
        </w:rPr>
        <w:t>在IT服务领域，公司与诺基亚、海尔、中兴通讯等大型企业的合作不断加强，业务进</w:t>
      </w:r>
      <w:r>
        <w:rPr/>
        <w:t> 展顺利，服务品牌影响力进一步提升。</w:t>
      </w:r>
    </w:p>
    <w:p>
      <w:pPr>
        <w:pStyle w:val="BodyText"/>
        <w:spacing w:line="282" w:lineRule="exact"/>
        <w:ind w:left="620" w:right="84"/>
        <w:jc w:val="left"/>
      </w:pPr>
      <w:r>
        <w:rPr>
          <w:spacing w:val="-4"/>
        </w:rPr>
        <w:t>在教育行业，公司持续承接了中国人民大学、对外经济贸易大学、华东师范大学等老</w:t>
      </w:r>
    </w:p>
    <w:p>
      <w:pPr>
        <w:pStyle w:val="BodyText"/>
        <w:spacing w:line="310" w:lineRule="exact" w:before="31"/>
        <w:ind w:left="620" w:right="84" w:hanging="480"/>
        <w:jc w:val="left"/>
      </w:pPr>
      <w:r>
        <w:rPr/>
        <w:t>客户的校园信息化建设，并拓展了中山大学、南京大学和大连理工大学等新客户项目。 </w:t>
      </w:r>
      <w:r>
        <w:rPr>
          <w:spacing w:val="-4"/>
        </w:rPr>
        <w:t>在交通行业，报告期内，公司业务拓展取得突破，积极推进“大新华物流运营平台建</w:t>
      </w:r>
    </w:p>
    <w:p>
      <w:pPr>
        <w:pStyle w:val="BodyText"/>
        <w:spacing w:line="310" w:lineRule="exact" w:before="2"/>
        <w:ind w:right="220"/>
        <w:jc w:val="both"/>
      </w:pPr>
      <w:r>
        <w:rPr>
          <w:spacing w:val="-4"/>
        </w:rPr>
        <w:t>设项目”，中标铁道部信息技术中心项目、沈阳地铁一号线及延伸线公安视频监控系统项</w:t>
      </w:r>
      <w:r>
        <w:rPr>
          <w:spacing w:val="-84"/>
        </w:rPr>
        <w:t> </w:t>
      </w:r>
      <w:r>
        <w:rPr>
          <w:spacing w:val="-84"/>
        </w:rPr>
      </w:r>
      <w:r>
        <w:rPr/>
        <w:t>目、北京地铁八号线二期工程乘客信息系统（PIS）设备采购项目和上海世博智能化信息 化客运站等项目。</w:t>
      </w:r>
    </w:p>
    <w:p>
      <w:pPr>
        <w:pStyle w:val="BodyText"/>
        <w:spacing w:line="310" w:lineRule="exact" w:before="2"/>
        <w:ind w:right="220" w:firstLine="480"/>
        <w:jc w:val="both"/>
      </w:pPr>
      <w:r>
        <w:rPr>
          <w:spacing w:val="-4"/>
        </w:rPr>
        <w:t>在软件产品领域，公司继续保持在中国信息安全市场的领导地位，业务稳健发展。赛</w:t>
      </w:r>
      <w:r>
        <w:rPr/>
        <w:t> </w:t>
      </w:r>
      <w:r>
        <w:rPr>
          <w:spacing w:val="-3"/>
        </w:rPr>
        <w:t>迪顾问发布的《中国网络安全产品市场分析报告》显示，东软NetEye在中国网络安全防火</w:t>
      </w:r>
      <w:r>
        <w:rPr>
          <w:spacing w:val="-114"/>
        </w:rPr>
        <w:t> </w:t>
      </w:r>
      <w:r>
        <w:rPr>
          <w:spacing w:val="-114"/>
        </w:rPr>
      </w:r>
      <w:r>
        <w:rPr>
          <w:spacing w:val="-3"/>
        </w:rPr>
        <w:t>墙市场连续八年品牌排名第一，也是国内唯一在FW、SOC、IDS领域市场占有率全部进入前</w:t>
      </w:r>
    </w:p>
    <w:p>
      <w:pPr>
        <w:pStyle w:val="BodyText"/>
        <w:spacing w:line="310" w:lineRule="exact" w:before="2"/>
        <w:ind w:right="207"/>
        <w:jc w:val="left"/>
      </w:pPr>
      <w:r>
        <w:rPr>
          <w:spacing w:val="-3"/>
        </w:rPr>
        <w:t>三名的安全品牌。在E-HR领域，公司与国家开发银行、首都国际机场、泰康人寿、国药控</w:t>
      </w:r>
      <w:r>
        <w:rPr>
          <w:spacing w:val="-117"/>
        </w:rPr>
        <w:t> </w:t>
      </w:r>
      <w:r>
        <w:rPr>
          <w:spacing w:val="-117"/>
        </w:rPr>
      </w:r>
      <w:r>
        <w:rPr>
          <w:spacing w:val="-4"/>
        </w:rPr>
        <w:t>股等大型企事业单位成功签约。报告期内，公司档案管理系统产品签约湖北省档案局和杭</w:t>
      </w:r>
    </w:p>
    <w:p>
      <w:pPr>
        <w:pStyle w:val="BodyText"/>
        <w:spacing w:line="284" w:lineRule="exact"/>
        <w:ind w:right="84"/>
        <w:jc w:val="left"/>
      </w:pPr>
      <w:r>
        <w:rPr/>
        <w:t>州市余杭供电局等客户。</w:t>
      </w:r>
    </w:p>
    <w:p>
      <w:pPr>
        <w:spacing w:after="0" w:line="284" w:lineRule="exact"/>
        <w:jc w:val="left"/>
        <w:sectPr>
          <w:pgSz w:w="11910" w:h="16840"/>
          <w:pgMar w:header="720" w:footer="721" w:top="1100" w:bottom="920" w:left="1220" w:right="1080"/>
        </w:sectPr>
      </w:pPr>
    </w:p>
    <w:p>
      <w:pPr>
        <w:spacing w:line="240" w:lineRule="auto" w:before="1"/>
        <w:rPr>
          <w:rFonts w:ascii="宋体" w:hAnsi="宋体" w:cs="宋体" w:eastAsia="宋体" w:hint="default"/>
          <w:sz w:val="20"/>
          <w:szCs w:val="20"/>
        </w:rPr>
      </w:pPr>
    </w:p>
    <w:p>
      <w:pPr>
        <w:pStyle w:val="BodyText"/>
        <w:spacing w:line="237" w:lineRule="auto" w:before="28"/>
        <w:ind w:right="220" w:firstLine="480"/>
        <w:jc w:val="both"/>
      </w:pPr>
      <w:r>
        <w:rPr>
          <w:spacing w:val="-4"/>
        </w:rPr>
        <w:t>在国际软件业务领域，报告期内，在国际金融危机带来的压力和挑战下，公司密切跟</w:t>
      </w:r>
      <w:r>
        <w:rPr/>
        <w:t> </w:t>
      </w:r>
      <w:r>
        <w:rPr>
          <w:spacing w:val="-4"/>
        </w:rPr>
        <w:t>进市场需求的变化，加大重点市场开拓力度，合理调整资源配置，充分利用收购兼并，形</w:t>
      </w:r>
      <w:r>
        <w:rPr>
          <w:spacing w:val="-83"/>
        </w:rPr>
        <w:t> </w:t>
      </w:r>
      <w:r>
        <w:rPr>
          <w:spacing w:val="-83"/>
        </w:rPr>
      </w:r>
      <w:r>
        <w:rPr>
          <w:spacing w:val="-4"/>
        </w:rPr>
        <w:t>成公司全球化的交付中心的布局，这些措施有力推动了汽车电子、智能手机、信息家电等</w:t>
      </w:r>
      <w:r>
        <w:rPr>
          <w:spacing w:val="-84"/>
        </w:rPr>
        <w:t> </w:t>
      </w:r>
      <w:r>
        <w:rPr>
          <w:spacing w:val="-84"/>
        </w:rPr>
      </w:r>
      <w:r>
        <w:rPr>
          <w:spacing w:val="-3"/>
        </w:rPr>
        <w:t>核心业务领域的快速发展。2009年，公司努力克服国际金融危机带来的影响，在巩固和提</w:t>
      </w:r>
      <w:r>
        <w:rPr>
          <w:spacing w:val="-117"/>
        </w:rPr>
        <w:t> </w:t>
      </w:r>
      <w:r>
        <w:rPr>
          <w:spacing w:val="-117"/>
        </w:rPr>
      </w:r>
      <w:r>
        <w:rPr>
          <w:spacing w:val="-4"/>
        </w:rPr>
        <w:t>高日本市场的优势地位的同时，欧美市场取得了突破，报告期内，公司国际软件业务实现</w:t>
      </w:r>
      <w:r>
        <w:rPr>
          <w:spacing w:val="-84"/>
        </w:rPr>
        <w:t> </w:t>
      </w:r>
      <w:r>
        <w:rPr>
          <w:spacing w:val="-84"/>
        </w:rPr>
      </w:r>
      <w:r>
        <w:rPr/>
        <w:t>收入20,148万美元，比上年同期增长10.7%。</w:t>
      </w:r>
    </w:p>
    <w:p>
      <w:pPr>
        <w:pStyle w:val="BodyText"/>
        <w:spacing w:line="237" w:lineRule="auto"/>
        <w:ind w:right="219" w:firstLine="480"/>
        <w:jc w:val="both"/>
      </w:pPr>
      <w:r>
        <w:rPr/>
        <w:t>在BPO业务领域，公司与老客户的合作更加紧密，合作规模不断扩大, 同时公司也积 </w:t>
      </w:r>
      <w:r>
        <w:rPr>
          <w:spacing w:val="-3"/>
        </w:rPr>
        <w:t>极开拓国内市场及日本、欧美等国际市场，并组织积累英、日、韩、马来语等多语言和IT</w:t>
      </w:r>
      <w:r>
        <w:rPr/>
        <w:t> </w:t>
      </w:r>
      <w:r>
        <w:rPr>
          <w:spacing w:val="-9"/>
        </w:rPr>
        <w:t>技术相结合的服务能力。报告期内，公司呼叫中心第四次被中国呼叫中心行业机构授予“中</w:t>
      </w:r>
      <w:r>
        <w:rPr>
          <w:spacing w:val="-118"/>
        </w:rPr>
        <w:t> </w:t>
      </w:r>
      <w:r>
        <w:rPr>
          <w:spacing w:val="-118"/>
        </w:rPr>
      </w:r>
      <w:r>
        <w:rPr/>
        <w:t>国最佳呼叫中心”的荣誉。</w:t>
      </w:r>
    </w:p>
    <w:p>
      <w:pPr>
        <w:pStyle w:val="BodyText"/>
        <w:spacing w:line="310" w:lineRule="exact" w:before="30"/>
        <w:ind w:left="620" w:right="204" w:hanging="480"/>
        <w:jc w:val="left"/>
      </w:pPr>
      <w:r>
        <w:rPr/>
        <w:t>（2）医疗系统业务 </w:t>
      </w:r>
      <w:r>
        <w:rPr>
          <w:spacing w:val="-3"/>
        </w:rPr>
        <w:t>2009年，公司对医疗业务进行了重组梳理和整合，形成了医疗设备、医疗IT和健康服</w:t>
      </w:r>
    </w:p>
    <w:p>
      <w:pPr>
        <w:pStyle w:val="BodyText"/>
        <w:spacing w:line="310" w:lineRule="exact" w:before="2"/>
        <w:ind w:right="220"/>
        <w:jc w:val="both"/>
      </w:pPr>
      <w:r>
        <w:rPr>
          <w:spacing w:val="-4"/>
        </w:rPr>
        <w:t>务三项业务布局。报告期内，东软医疗继续深入推进国际与国内市场并举的策略，保证业</w:t>
      </w:r>
      <w:r>
        <w:rPr>
          <w:spacing w:val="-84"/>
        </w:rPr>
        <w:t> </w:t>
      </w:r>
      <w:r>
        <w:rPr>
          <w:spacing w:val="-84"/>
        </w:rPr>
      </w:r>
      <w:r>
        <w:rPr/>
        <w:t>务的持续发展。</w:t>
      </w:r>
    </w:p>
    <w:p>
      <w:pPr>
        <w:pStyle w:val="BodyText"/>
        <w:spacing w:line="282" w:lineRule="exact"/>
        <w:ind w:right="84" w:firstLine="480"/>
        <w:jc w:val="left"/>
      </w:pPr>
      <w:r>
        <w:rPr>
          <w:spacing w:val="-4"/>
        </w:rPr>
        <w:t>在医疗设备领域，报告期内，公司在新产品研发方面取得了一系列突破，公司自主开</w:t>
      </w:r>
    </w:p>
    <w:p>
      <w:pPr>
        <w:pStyle w:val="BodyText"/>
        <w:spacing w:line="237" w:lineRule="auto" w:before="1"/>
        <w:ind w:right="220"/>
        <w:jc w:val="both"/>
      </w:pPr>
      <w:r>
        <w:rPr>
          <w:spacing w:val="-3"/>
        </w:rPr>
        <w:t>发的核医学影像设备PET（正电子发射断层扫描装置）研制成功并获得美国FDA认证，填补</w:t>
      </w:r>
      <w:r>
        <w:rPr>
          <w:spacing w:val="-114"/>
        </w:rPr>
        <w:t> </w:t>
      </w:r>
      <w:r>
        <w:rPr>
          <w:spacing w:val="-114"/>
        </w:rPr>
      </w:r>
      <w:r>
        <w:rPr>
          <w:spacing w:val="-3"/>
        </w:rPr>
        <w:t>了国内空白；泌尿CAD软件获得美国FDA认证，填补了我国医用软件领域的空白；公司相继</w:t>
      </w:r>
      <w:r>
        <w:rPr>
          <w:spacing w:val="-114"/>
        </w:rPr>
        <w:t> </w:t>
      </w:r>
      <w:r>
        <w:rPr>
          <w:spacing w:val="-114"/>
        </w:rPr>
      </w:r>
      <w:r>
        <w:rPr/>
        <w:t>推出的NeuViz16层螺旋CT、1.5TMRI（磁共振）、直线加速器等新产品，为今后医疗业务 的快速发展奠定了基础。</w:t>
      </w:r>
    </w:p>
    <w:p>
      <w:pPr>
        <w:pStyle w:val="BodyText"/>
        <w:spacing w:line="237" w:lineRule="auto"/>
        <w:ind w:right="84" w:firstLine="480"/>
        <w:jc w:val="left"/>
      </w:pPr>
      <w:r>
        <w:rPr>
          <w:spacing w:val="-3"/>
        </w:rPr>
        <w:t>在医疗IT领域，公司成功签订了中国人民解放军307医院、广州医学院第一附属医院、</w:t>
      </w:r>
      <w:r>
        <w:rPr/>
        <w:t> </w:t>
      </w:r>
      <w:r>
        <w:rPr>
          <w:spacing w:val="-4"/>
        </w:rPr>
        <w:t>无锡市医院管理中心等大型医院的数字化医院建设项目。由公司和中国人民解放军总医院</w:t>
      </w:r>
      <w:r>
        <w:rPr>
          <w:spacing w:val="-82"/>
        </w:rPr>
        <w:t> </w:t>
      </w:r>
      <w:r>
        <w:rPr>
          <w:spacing w:val="-82"/>
        </w:rPr>
      </w:r>
      <w:r>
        <w:rPr/>
        <w:t>联合开发的援助都江堰市的4套远程会诊系统顺利启用，成功应用于四川地震灾后重建工 作中。同时，公司率先针对国家新医改政策发布了“医药卫生全面解决方案”。</w:t>
      </w:r>
    </w:p>
    <w:p>
      <w:pPr>
        <w:pStyle w:val="BodyText"/>
        <w:spacing w:line="310" w:lineRule="exact" w:before="30"/>
        <w:ind w:right="220" w:firstLine="480"/>
        <w:jc w:val="both"/>
      </w:pPr>
      <w:r>
        <w:rPr>
          <w:spacing w:val="-4"/>
        </w:rPr>
        <w:t>在健康服务领域，公司推出了面向基层医疗机构、家庭、个人的健康管理解决方案和</w:t>
      </w:r>
      <w:r>
        <w:rPr/>
        <w:t> </w:t>
      </w:r>
      <w:r>
        <w:rPr>
          <w:spacing w:val="-4"/>
        </w:rPr>
        <w:t>服务平台“熙康”业务，并与沈阳盛京医院合作成立盛京熙康健康管理中心，建立了公司</w:t>
      </w:r>
      <w:r>
        <w:rPr>
          <w:spacing w:val="-84"/>
        </w:rPr>
        <w:t> </w:t>
      </w:r>
      <w:r>
        <w:rPr>
          <w:spacing w:val="-84"/>
        </w:rPr>
      </w:r>
      <w:r>
        <w:rPr/>
        <w:t>在健康管理服务领域的产业布局。</w:t>
      </w:r>
    </w:p>
    <w:p>
      <w:pPr>
        <w:pStyle w:val="BodyText"/>
        <w:spacing w:line="310" w:lineRule="exact" w:before="2"/>
        <w:ind w:right="204" w:firstLine="480"/>
        <w:jc w:val="left"/>
      </w:pPr>
      <w:r>
        <w:rPr>
          <w:spacing w:val="-3"/>
        </w:rPr>
        <w:t>报告期内，公司医疗业务实现收入63,342万元，比上年同期下降5.6%，主要原因是国</w:t>
      </w:r>
      <w:r>
        <w:rPr/>
        <w:t> 内业务的合同执行进度放缓，国内销售收入同比下降。同时出口实现收入1,887万美元，</w:t>
      </w:r>
    </w:p>
    <w:p>
      <w:pPr>
        <w:spacing w:line="310" w:lineRule="exact" w:before="2"/>
        <w:ind w:left="140" w:right="6191" w:firstLine="0"/>
        <w:jc w:val="left"/>
        <w:rPr>
          <w:rFonts w:ascii="宋体" w:hAnsi="宋体" w:cs="宋体" w:eastAsia="宋体" w:hint="default"/>
          <w:sz w:val="24"/>
          <w:szCs w:val="24"/>
        </w:rPr>
      </w:pPr>
      <w:r>
        <w:rPr>
          <w:rFonts w:ascii="宋体" w:hAnsi="宋体" w:cs="宋体" w:eastAsia="宋体" w:hint="default"/>
          <w:sz w:val="24"/>
          <w:szCs w:val="24"/>
        </w:rPr>
        <w:t>同比增长10.6%。 </w:t>
      </w:r>
      <w:r>
        <w:rPr>
          <w:rFonts w:ascii="宋体" w:hAnsi="宋体" w:cs="宋体" w:eastAsia="宋体" w:hint="default"/>
          <w:b/>
          <w:bCs/>
          <w:sz w:val="24"/>
          <w:szCs w:val="24"/>
        </w:rPr>
        <w:t>3、在经营中出现的困难与挑战</w:t>
      </w:r>
      <w:r>
        <w:rPr>
          <w:rFonts w:ascii="宋体" w:hAnsi="宋体" w:cs="宋体" w:eastAsia="宋体" w:hint="default"/>
          <w:sz w:val="24"/>
          <w:szCs w:val="24"/>
        </w:rPr>
      </w:r>
    </w:p>
    <w:p>
      <w:pPr>
        <w:pStyle w:val="BodyText"/>
        <w:spacing w:line="282" w:lineRule="exact"/>
        <w:ind w:left="620" w:right="84"/>
        <w:jc w:val="left"/>
      </w:pPr>
      <w:r>
        <w:rPr/>
        <w:t>2009</w:t>
      </w:r>
      <w:r>
        <w:rPr>
          <w:spacing w:val="-60"/>
        </w:rPr>
        <w:t> </w:t>
      </w:r>
      <w:r>
        <w:rPr/>
        <w:t>年，公司在保持业务稳健发展的同时，也面临着一些困难和挑战。</w:t>
      </w:r>
    </w:p>
    <w:p>
      <w:pPr>
        <w:pStyle w:val="BodyText"/>
        <w:spacing w:line="237" w:lineRule="auto" w:before="1"/>
        <w:ind w:right="84" w:firstLine="480"/>
        <w:jc w:val="left"/>
      </w:pPr>
      <w:r>
        <w:rPr>
          <w:spacing w:val="-4"/>
        </w:rPr>
        <w:t>从公司外部看，受到国际金融危机的影响，欧美、日本等跨国公司纷纷通过削减研发</w:t>
      </w:r>
      <w:r>
        <w:rPr/>
        <w:t> </w:t>
      </w:r>
      <w:r>
        <w:rPr>
          <w:spacing w:val="-4"/>
        </w:rPr>
        <w:t>预算等方式压缩成本和费用，同时，海外市场对消费产品的需求不足，公司的国际软件业</w:t>
      </w:r>
      <w:r>
        <w:rPr>
          <w:spacing w:val="-84"/>
        </w:rPr>
        <w:t> </w:t>
      </w:r>
      <w:r>
        <w:rPr>
          <w:spacing w:val="-84"/>
        </w:rPr>
      </w:r>
      <w:r>
        <w:rPr>
          <w:spacing w:val="-4"/>
        </w:rPr>
        <w:t>务拓展及医疗设备的国际销售面临着困难和挑战。报告期内，公司加强对国际重点区域和</w:t>
      </w:r>
      <w:r>
        <w:rPr>
          <w:spacing w:val="-82"/>
        </w:rPr>
        <w:t> </w:t>
      </w:r>
      <w:r>
        <w:rPr>
          <w:spacing w:val="-82"/>
        </w:rPr>
      </w:r>
      <w:r>
        <w:rPr>
          <w:spacing w:val="-4"/>
        </w:rPr>
        <w:t>客户的市场机会的前置分析和研究，在业务的深度和广度上开拓市场，合理配置资源，在</w:t>
      </w:r>
      <w:r>
        <w:rPr>
          <w:spacing w:val="-84"/>
        </w:rPr>
        <w:t> </w:t>
      </w:r>
      <w:r>
        <w:rPr>
          <w:spacing w:val="-84"/>
        </w:rPr>
      </w:r>
      <w:r>
        <w:rPr>
          <w:spacing w:val="-6"/>
        </w:rPr>
        <w:t>产品工程领域形成突破。同时，公司积极实施国际并购策略，推进公司的全球化组织布局，</w:t>
      </w:r>
      <w:r>
        <w:rPr/>
        <w:t> </w:t>
      </w:r>
      <w:r>
        <w:rPr>
          <w:spacing w:val="-4"/>
        </w:rPr>
        <w:t>在欧洲设立全资子公司，持续加强东软日本、东软美国子公司的综合资源投入，在国际市</w:t>
      </w:r>
      <w:r>
        <w:rPr>
          <w:spacing w:val="-84"/>
        </w:rPr>
        <w:t> </w:t>
      </w:r>
      <w:r>
        <w:rPr>
          <w:spacing w:val="-84"/>
        </w:rPr>
      </w:r>
      <w:r>
        <w:rPr/>
        <w:t>场通过收购兼并与现有业务形成互动，在中国加强重点区域的大客户组织建设和基地投 入，促进了公司业务的稳健发展。</w:t>
      </w:r>
    </w:p>
    <w:p>
      <w:pPr>
        <w:pStyle w:val="BodyText"/>
        <w:spacing w:line="237" w:lineRule="auto" w:before="1"/>
        <w:ind w:right="84" w:firstLine="480"/>
        <w:jc w:val="left"/>
      </w:pPr>
      <w:r>
        <w:rPr>
          <w:spacing w:val="-4"/>
        </w:rPr>
        <w:t>在公司内部，金融危机下保持并提升公司盈利能力尤为重要。为此，公司通过优化业</w:t>
      </w:r>
      <w:r>
        <w:rPr/>
        <w:t> </w:t>
      </w:r>
      <w:r>
        <w:rPr>
          <w:spacing w:val="-6"/>
        </w:rPr>
        <w:t>务和组织结构，提升业务创新与运营效率，推动公司策略的深化执行，加大市场开拓力度，</w:t>
      </w:r>
      <w:r>
        <w:rPr/>
        <w:t> </w:t>
      </w:r>
      <w:r>
        <w:rPr>
          <w:spacing w:val="-3"/>
        </w:rPr>
        <w:t>加强预算管理和成本费用控制，积极开展收购兼并，保证了公司2009年度收入和利润的稳</w:t>
      </w:r>
      <w:r>
        <w:rPr>
          <w:spacing w:val="-115"/>
        </w:rPr>
        <w:t> </w:t>
      </w:r>
      <w:r>
        <w:rPr>
          <w:spacing w:val="-115"/>
        </w:rPr>
      </w:r>
      <w:r>
        <w:rPr/>
        <w:t>步增长。</w:t>
      </w:r>
    </w:p>
    <w:p>
      <w:pPr>
        <w:pStyle w:val="Heading7"/>
        <w:spacing w:line="311" w:lineRule="exact"/>
        <w:ind w:right="0"/>
        <w:jc w:val="both"/>
        <w:rPr>
          <w:rFonts w:ascii="宋体" w:hAnsi="宋体" w:cs="宋体" w:eastAsia="宋体" w:hint="default"/>
          <w:b w:val="0"/>
          <w:bCs w:val="0"/>
        </w:rPr>
      </w:pPr>
      <w:r>
        <w:rPr>
          <w:rFonts w:ascii="宋体" w:hAnsi="宋体" w:cs="宋体" w:eastAsia="宋体" w:hint="default"/>
        </w:rPr>
        <w:t>4、技术创新情况</w:t>
      </w:r>
      <w:r>
        <w:rPr>
          <w:rFonts w:ascii="宋体" w:hAnsi="宋体" w:cs="宋体" w:eastAsia="宋体" w:hint="default"/>
          <w:b w:val="0"/>
          <w:bCs w:val="0"/>
        </w:rPr>
      </w:r>
    </w:p>
    <w:p>
      <w:pPr>
        <w:spacing w:after="0" w:line="311" w:lineRule="exact"/>
        <w:jc w:val="both"/>
        <w:rPr>
          <w:rFonts w:ascii="宋体" w:hAnsi="宋体" w:cs="宋体" w:eastAsia="宋体" w:hint="default"/>
        </w:rPr>
        <w:sectPr>
          <w:pgSz w:w="11910" w:h="16840"/>
          <w:pgMar w:header="720" w:footer="721" w:top="1100" w:bottom="920" w:left="1220" w:right="1080"/>
        </w:sectPr>
      </w:pPr>
    </w:p>
    <w:p>
      <w:pPr>
        <w:spacing w:line="240" w:lineRule="auto" w:before="1"/>
        <w:rPr>
          <w:rFonts w:ascii="宋体" w:hAnsi="宋体" w:cs="宋体" w:eastAsia="宋体" w:hint="default"/>
          <w:b/>
          <w:bCs/>
          <w:sz w:val="20"/>
          <w:szCs w:val="20"/>
        </w:rPr>
      </w:pPr>
    </w:p>
    <w:p>
      <w:pPr>
        <w:pStyle w:val="BodyText"/>
        <w:spacing w:line="237" w:lineRule="auto" w:before="28"/>
        <w:ind w:right="114" w:firstLine="420"/>
        <w:jc w:val="left"/>
      </w:pPr>
      <w:r>
        <w:rPr>
          <w:spacing w:val="-5"/>
        </w:rPr>
        <w:t>作为一家以软件技术为核心的公司，公司始终坚持“开放式创新”战略，自成立以来，</w:t>
      </w:r>
      <w:r>
        <w:rPr/>
        <w:t> 公司重视对研发的投入，平均每年都要把营业收入的</w:t>
      </w:r>
      <w:r>
        <w:rPr>
          <w:spacing w:val="-59"/>
        </w:rPr>
        <w:t> </w:t>
      </w:r>
      <w:r>
        <w:rPr/>
        <w:t>5%至</w:t>
      </w:r>
      <w:r>
        <w:rPr>
          <w:spacing w:val="-59"/>
        </w:rPr>
        <w:t> </w:t>
      </w:r>
      <w:r>
        <w:rPr/>
        <w:t>10%投入到面向未来的新业务/</w:t>
      </w:r>
      <w:r>
        <w:rPr/>
        <w:t> 产品、新技术、新方法中去，有力推动了业务创新。</w:t>
      </w:r>
    </w:p>
    <w:p>
      <w:pPr>
        <w:pStyle w:val="BodyText"/>
        <w:spacing w:line="312" w:lineRule="exact" w:before="27"/>
        <w:ind w:right="222" w:firstLine="420"/>
        <w:jc w:val="left"/>
      </w:pPr>
      <w:r>
        <w:rPr/>
        <w:t>2009 年，公司继续深化实施东软解决方案高效性策略</w:t>
      </w:r>
      <w:r>
        <w:rPr>
          <w:spacing w:val="-58"/>
        </w:rPr>
        <w:t> </w:t>
      </w:r>
      <w:r>
        <w:rPr/>
        <w:t>NeuSA™，落实东软“开放式创</w:t>
      </w:r>
      <w:r>
        <w:rPr/>
        <w:t> 新”战略，持续提升公司两级研发体系的创新能力与规模化的全球交付能力。</w:t>
      </w:r>
    </w:p>
    <w:p>
      <w:pPr>
        <w:pStyle w:val="BodyText"/>
        <w:spacing w:line="281" w:lineRule="exact"/>
        <w:ind w:left="560" w:right="104"/>
        <w:jc w:val="left"/>
      </w:pPr>
      <w:r>
        <w:rPr/>
        <w:t>面对中国政府</w:t>
      </w:r>
      <w:r>
        <w:rPr>
          <w:spacing w:val="-59"/>
        </w:rPr>
        <w:t> </w:t>
      </w:r>
      <w:r>
        <w:rPr/>
        <w:t>4</w:t>
      </w:r>
      <w:r>
        <w:rPr>
          <w:spacing w:val="-59"/>
        </w:rPr>
        <w:t> </w:t>
      </w:r>
      <w:r>
        <w:rPr>
          <w:spacing w:val="-4"/>
        </w:rPr>
        <w:t>万亿扩大内需新政、新型医疗体制改革、3G</w:t>
      </w:r>
      <w:r>
        <w:rPr>
          <w:spacing w:val="-59"/>
        </w:rPr>
        <w:t> </w:t>
      </w:r>
      <w:r>
        <w:rPr>
          <w:spacing w:val="-4"/>
        </w:rPr>
        <w:t>建设、智能电网以及上市</w:t>
      </w:r>
    </w:p>
    <w:p>
      <w:pPr>
        <w:pStyle w:val="BodyText"/>
        <w:spacing w:line="237" w:lineRule="auto" w:before="1"/>
        <w:ind w:right="104"/>
        <w:jc w:val="left"/>
      </w:pPr>
      <w:r>
        <w:rPr>
          <w:spacing w:val="-6"/>
        </w:rPr>
        <w:t>公司《企业内部控制基本规范》的实施等带来的新一轮市场机会，公司投入在交通、医疗、</w:t>
      </w:r>
      <w:r>
        <w:rPr/>
        <w:t> </w:t>
      </w:r>
      <w:r>
        <w:rPr>
          <w:spacing w:val="-4"/>
        </w:rPr>
        <w:t>电信、电力行业以及在业务监察、风险控制、数字安防领域的下一代核心业务解决方案的</w:t>
      </w:r>
      <w:r>
        <w:rPr>
          <w:spacing w:val="-84"/>
        </w:rPr>
        <w:t> </w:t>
      </w:r>
      <w:r>
        <w:rPr>
          <w:spacing w:val="-84"/>
        </w:rPr>
      </w:r>
      <w:r>
        <w:rPr/>
        <w:t>研发。</w:t>
      </w:r>
    </w:p>
    <w:p>
      <w:pPr>
        <w:pStyle w:val="BodyText"/>
        <w:spacing w:line="237" w:lineRule="auto"/>
        <w:ind w:right="104" w:firstLine="420"/>
        <w:jc w:val="left"/>
      </w:pPr>
      <w:r>
        <w:rPr/>
        <w:t>在支撑平台方面，投入业务基础平台（UniEAP</w:t>
      </w:r>
      <w:r>
        <w:rPr>
          <w:spacing w:val="24"/>
        </w:rPr>
        <w:t> </w:t>
      </w:r>
      <w:r>
        <w:rPr/>
        <w:t>v4.0）、云管理平台、云安全网关、</w:t>
      </w:r>
      <w:r>
        <w:rPr/>
        <w:t> </w:t>
      </w:r>
      <w:r>
        <w:rPr>
          <w:spacing w:val="-6"/>
        </w:rPr>
        <w:t>管理服务平台、移动企业应用支撑平台的研发；在关键技术方面，重点开展极限事务处理、</w:t>
      </w:r>
      <w:r>
        <w:rPr/>
        <w:t> 数据并行处理、嵌入式/桌面计算（基于多核的并行程序设计模式）的研究与积累。公司 </w:t>
      </w:r>
      <w:r>
        <w:rPr>
          <w:spacing w:val="-4"/>
        </w:rPr>
        <w:t>开发出易用性好、具有成本优势的个人健康设备以及个人医疗仪器集成解决方案，突破了</w:t>
      </w:r>
      <w:r>
        <w:rPr>
          <w:spacing w:val="-82"/>
        </w:rPr>
        <w:t> </w:t>
      </w:r>
      <w:r>
        <w:rPr>
          <w:spacing w:val="-82"/>
        </w:rPr>
      </w:r>
      <w:r>
        <w:rPr/>
        <w:t>超大规模多租户</w:t>
      </w:r>
      <w:r>
        <w:rPr>
          <w:spacing w:val="-59"/>
        </w:rPr>
        <w:t> </w:t>
      </w:r>
      <w:r>
        <w:rPr/>
        <w:t>SaaS</w:t>
      </w:r>
      <w:r>
        <w:rPr>
          <w:spacing w:val="-59"/>
        </w:rPr>
        <w:t> </w:t>
      </w:r>
      <w:r>
        <w:rPr/>
        <w:t>核心业务应用关键支撑技术，推出东软的第一个云应用服务“熙康</w:t>
      </w:r>
      <w:r>
        <w:rPr/>
        <w:t> </w:t>
      </w:r>
      <w:r>
        <w:rPr>
          <w:spacing w:val="-12"/>
        </w:rPr>
        <w:t>健康管理服务”，并于</w:t>
      </w:r>
      <w:r>
        <w:rPr>
          <w:spacing w:val="-60"/>
        </w:rPr>
        <w:t> </w:t>
      </w:r>
      <w:r>
        <w:rPr/>
        <w:t>2009</w:t>
      </w:r>
      <w:r>
        <w:rPr>
          <w:spacing w:val="-60"/>
        </w:rPr>
        <w:t> </w:t>
      </w:r>
      <w:r>
        <w:rPr/>
        <w:t>年</w:t>
      </w:r>
      <w:r>
        <w:rPr>
          <w:spacing w:val="-60"/>
        </w:rPr>
        <w:t> </w:t>
      </w:r>
      <w:r>
        <w:rPr/>
        <w:t>11</w:t>
      </w:r>
      <w:r>
        <w:rPr>
          <w:spacing w:val="-60"/>
        </w:rPr>
        <w:t> </w:t>
      </w:r>
      <w:r>
        <w:rPr/>
        <w:t>月作为中国第一个面向大众的健康管理云服务业务投入</w:t>
      </w:r>
      <w:r>
        <w:rPr/>
        <w:t> 商业运营。</w:t>
      </w:r>
    </w:p>
    <w:p>
      <w:pPr>
        <w:pStyle w:val="BodyText"/>
        <w:spacing w:line="310" w:lineRule="exact"/>
        <w:ind w:left="620" w:right="104"/>
        <w:jc w:val="left"/>
      </w:pPr>
      <w:r>
        <w:rPr/>
        <w:t>截至目前，公司共申请专利</w:t>
      </w:r>
      <w:r>
        <w:rPr>
          <w:spacing w:val="-60"/>
        </w:rPr>
        <w:t> </w:t>
      </w:r>
      <w:r>
        <w:rPr/>
        <w:t>169</w:t>
      </w:r>
      <w:r>
        <w:rPr>
          <w:spacing w:val="-60"/>
        </w:rPr>
        <w:t> </w:t>
      </w:r>
      <w:r>
        <w:rPr/>
        <w:t>项，获得专利权</w:t>
      </w:r>
      <w:r>
        <w:rPr>
          <w:spacing w:val="-60"/>
        </w:rPr>
        <w:t> </w:t>
      </w:r>
      <w:r>
        <w:rPr/>
        <w:t>66</w:t>
      </w:r>
      <w:r>
        <w:rPr>
          <w:spacing w:val="-60"/>
        </w:rPr>
        <w:t> </w:t>
      </w:r>
      <w:r>
        <w:rPr/>
        <w:t>项，获得软件著作权</w:t>
      </w:r>
      <w:r>
        <w:rPr>
          <w:spacing w:val="-60"/>
        </w:rPr>
        <w:t> </w:t>
      </w:r>
      <w:r>
        <w:rPr/>
        <w:t>217</w:t>
      </w:r>
      <w:r>
        <w:rPr>
          <w:spacing w:val="-60"/>
        </w:rPr>
        <w:t> </w:t>
      </w:r>
      <w:r>
        <w:rPr/>
        <w:t>项，登</w:t>
      </w:r>
    </w:p>
    <w:p>
      <w:pPr>
        <w:pStyle w:val="BodyText"/>
        <w:spacing w:line="237" w:lineRule="auto" w:before="1"/>
        <w:ind w:right="239"/>
        <w:jc w:val="both"/>
      </w:pPr>
      <w:r>
        <w:rPr/>
        <w:t>记软件产品</w:t>
      </w:r>
      <w:r>
        <w:rPr>
          <w:spacing w:val="-56"/>
        </w:rPr>
        <w:t> </w:t>
      </w:r>
      <w:r>
        <w:rPr/>
        <w:t>194</w:t>
      </w:r>
      <w:r>
        <w:rPr>
          <w:spacing w:val="-56"/>
        </w:rPr>
        <w:t> </w:t>
      </w:r>
      <w:r>
        <w:rPr>
          <w:spacing w:val="-4"/>
        </w:rPr>
        <w:t>项。上述自有知识产权有力地保护了公司的核心技术，对公司保持国内市</w:t>
      </w:r>
      <w:r>
        <w:rPr/>
        <w:t> </w:t>
      </w:r>
      <w:r>
        <w:rPr>
          <w:spacing w:val="-9"/>
        </w:rPr>
        <w:t>场领先地位、积极开拓国际市场、打造自身核心竞争力起到了重要的保障和推动作用。2009</w:t>
      </w:r>
      <w:r>
        <w:rPr>
          <w:spacing w:val="-99"/>
        </w:rPr>
        <w:t> </w:t>
      </w:r>
      <w:r>
        <w:rPr>
          <w:spacing w:val="-99"/>
        </w:rPr>
      </w:r>
      <w:r>
        <w:rPr>
          <w:spacing w:val="-10"/>
        </w:rPr>
        <w:t>年，公司 </w:t>
      </w:r>
      <w:r>
        <w:rPr/>
        <w:t>6</w:t>
      </w:r>
      <w:r>
        <w:rPr>
          <w:spacing w:val="-88"/>
        </w:rPr>
        <w:t> </w:t>
      </w:r>
      <w:r>
        <w:rPr>
          <w:spacing w:val="-3"/>
        </w:rPr>
        <w:t>家子公司通过了国家高新技术企业认定，目前，公司通过高新技术企业认定的</w:t>
      </w:r>
    </w:p>
    <w:p>
      <w:pPr>
        <w:pStyle w:val="BodyText"/>
        <w:spacing w:line="310" w:lineRule="exact" w:before="30"/>
        <w:ind w:left="560" w:right="238" w:hanging="420"/>
        <w:jc w:val="left"/>
      </w:pPr>
      <w:r>
        <w:rPr/>
        <w:t>单位达到</w:t>
      </w:r>
      <w:r>
        <w:rPr>
          <w:spacing w:val="-60"/>
        </w:rPr>
        <w:t> </w:t>
      </w:r>
      <w:r>
        <w:rPr/>
        <w:t>15</w:t>
      </w:r>
      <w:r>
        <w:rPr>
          <w:spacing w:val="-60"/>
        </w:rPr>
        <w:t> </w:t>
      </w:r>
      <w:r>
        <w:rPr/>
        <w:t>家，涵盖了公司主要的业务单元。</w:t>
      </w:r>
      <w:r>
        <w:rPr/>
        <w:t> </w:t>
      </w:r>
      <w:r>
        <w:rPr>
          <w:spacing w:val="-2"/>
        </w:rPr>
        <w:t>公司在国内率先建设在软件架构方向的企业国家重点实验室：“软件架构新技术国家</w:t>
      </w:r>
    </w:p>
    <w:p>
      <w:pPr>
        <w:pStyle w:val="BodyText"/>
        <w:spacing w:line="282" w:lineRule="exact"/>
        <w:ind w:right="104"/>
        <w:jc w:val="left"/>
      </w:pPr>
      <w:r>
        <w:rPr>
          <w:spacing w:val="-4"/>
        </w:rPr>
        <w:t>重点实验室”，围绕“软件架构定义及描述方法、主技术架构和面向特定应用场景的参考</w:t>
      </w:r>
    </w:p>
    <w:p>
      <w:pPr>
        <w:pStyle w:val="BodyText"/>
        <w:spacing w:line="310" w:lineRule="exact" w:before="31"/>
        <w:ind w:right="104"/>
        <w:jc w:val="left"/>
      </w:pPr>
      <w:r>
        <w:rPr>
          <w:spacing w:val="-6"/>
        </w:rPr>
        <w:t>架构、企业应用软件产品线开发方法、企业应用统一架构平台、软件架构评估及验证方法”</w:t>
      </w:r>
      <w:r>
        <w:rPr/>
        <w:t> </w:t>
      </w:r>
      <w:r>
        <w:rPr>
          <w:spacing w:val="-4"/>
        </w:rPr>
        <w:t>五个研究方向开展工作，这是国家科技部通过的第一个在软件架构方向上建设的国家重点</w:t>
      </w:r>
      <w:r>
        <w:rPr>
          <w:spacing w:val="-82"/>
        </w:rPr>
        <w:t> </w:t>
      </w:r>
      <w:r>
        <w:rPr>
          <w:spacing w:val="-82"/>
        </w:rPr>
      </w:r>
      <w:r>
        <w:rPr/>
        <w:t>实验室。</w:t>
      </w:r>
    </w:p>
    <w:p>
      <w:pPr>
        <w:pStyle w:val="Heading7"/>
        <w:spacing w:line="282" w:lineRule="exact"/>
        <w:ind w:right="5247"/>
        <w:jc w:val="left"/>
        <w:rPr>
          <w:rFonts w:ascii="宋体" w:hAnsi="宋体" w:cs="宋体" w:eastAsia="宋体" w:hint="default"/>
          <w:b w:val="0"/>
          <w:bCs w:val="0"/>
        </w:rPr>
      </w:pPr>
      <w:r>
        <w:rPr>
          <w:rFonts w:ascii="宋体" w:hAnsi="宋体" w:cs="宋体" w:eastAsia="宋体" w:hint="default"/>
        </w:rPr>
        <w:t>5、对公司未来的展望</w:t>
      </w:r>
      <w:r>
        <w:rPr>
          <w:rFonts w:ascii="宋体" w:hAnsi="宋体" w:cs="宋体" w:eastAsia="宋体" w:hint="default"/>
          <w:b w:val="0"/>
          <w:bCs w:val="0"/>
        </w:rPr>
      </w:r>
    </w:p>
    <w:p>
      <w:pPr>
        <w:pStyle w:val="BodyText"/>
        <w:spacing w:line="237" w:lineRule="auto" w:before="1"/>
        <w:ind w:right="108" w:firstLine="480"/>
        <w:jc w:val="left"/>
      </w:pPr>
      <w:r>
        <w:rPr/>
        <w:t>公司于</w:t>
      </w:r>
      <w:r>
        <w:rPr>
          <w:spacing w:val="-60"/>
        </w:rPr>
        <w:t> </w:t>
      </w:r>
      <w:r>
        <w:rPr/>
        <w:t>1996</w:t>
      </w:r>
      <w:r>
        <w:rPr>
          <w:spacing w:val="-60"/>
        </w:rPr>
        <w:t> </w:t>
      </w:r>
      <w:r>
        <w:rPr/>
        <w:t>年上市，是中国第一家上市的软件企业，是中国目前最大的离岸软件外</w:t>
      </w:r>
      <w:r>
        <w:rPr/>
        <w:t> 包提供商。公司是中国第一家通过</w:t>
      </w:r>
      <w:r>
        <w:rPr>
          <w:spacing w:val="-60"/>
        </w:rPr>
        <w:t> </w:t>
      </w:r>
      <w:r>
        <w:rPr/>
        <w:t>CMM5</w:t>
      </w:r>
      <w:r>
        <w:rPr>
          <w:spacing w:val="-60"/>
        </w:rPr>
        <w:t> </w:t>
      </w:r>
      <w:r>
        <w:rPr/>
        <w:t>和</w:t>
      </w:r>
      <w:r>
        <w:rPr>
          <w:spacing w:val="-60"/>
        </w:rPr>
        <w:t> </w:t>
      </w:r>
      <w:r>
        <w:rPr/>
        <w:t>CMMI5</w:t>
      </w:r>
      <w:r>
        <w:rPr>
          <w:spacing w:val="-60"/>
        </w:rPr>
        <w:t> </w:t>
      </w:r>
      <w:r>
        <w:rPr/>
        <w:t>级认证的软件企业，也是中国第一家通</w:t>
      </w:r>
      <w:r>
        <w:rPr/>
        <w:t> 过</w:t>
      </w:r>
      <w:r>
        <w:rPr>
          <w:spacing w:val="-60"/>
        </w:rPr>
        <w:t> </w:t>
      </w:r>
      <w:r>
        <w:rPr/>
        <w:t>SEI</w:t>
      </w:r>
      <w:r>
        <w:rPr>
          <w:spacing w:val="-59"/>
        </w:rPr>
        <w:t> </w:t>
      </w:r>
      <w:r>
        <w:rPr/>
        <w:t>PCMM</w:t>
      </w:r>
      <w:r>
        <w:rPr>
          <w:spacing w:val="-59"/>
        </w:rPr>
        <w:t> </w:t>
      </w:r>
      <w:r>
        <w:rPr/>
        <w:t>ML3</w:t>
      </w:r>
      <w:r>
        <w:rPr>
          <w:spacing w:val="-60"/>
        </w:rPr>
        <w:t> </w:t>
      </w:r>
      <w:r>
        <w:rPr/>
        <w:t>的企业。目前，公司拥有员工</w:t>
      </w:r>
      <w:r>
        <w:rPr>
          <w:spacing w:val="-60"/>
        </w:rPr>
        <w:t> </w:t>
      </w:r>
      <w:r>
        <w:rPr/>
        <w:t>15,760</w:t>
      </w:r>
      <w:r>
        <w:rPr>
          <w:spacing w:val="-60"/>
        </w:rPr>
        <w:t> </w:t>
      </w:r>
      <w:r>
        <w:rPr/>
        <w:t>名，在中国建立了</w:t>
      </w:r>
      <w:r>
        <w:rPr>
          <w:spacing w:val="-60"/>
        </w:rPr>
        <w:t> </w:t>
      </w:r>
      <w:r>
        <w:rPr/>
        <w:t>6</w:t>
      </w:r>
      <w:r>
        <w:rPr>
          <w:spacing w:val="-60"/>
        </w:rPr>
        <w:t> </w:t>
      </w:r>
      <w:r>
        <w:rPr/>
        <w:t>个软件研发基</w:t>
      </w:r>
      <w:r>
        <w:rPr/>
        <w:t> </w:t>
      </w:r>
      <w:r>
        <w:rPr>
          <w:spacing w:val="-14"/>
        </w:rPr>
        <w:t>地，8</w:t>
      </w:r>
      <w:r>
        <w:rPr>
          <w:spacing w:val="-60"/>
        </w:rPr>
        <w:t> </w:t>
      </w:r>
      <w:r>
        <w:rPr>
          <w:spacing w:val="-5"/>
        </w:rPr>
        <w:t>个区域总部，16</w:t>
      </w:r>
      <w:r>
        <w:rPr>
          <w:spacing w:val="-60"/>
        </w:rPr>
        <w:t> </w:t>
      </w:r>
      <w:r>
        <w:rPr>
          <w:spacing w:val="-3"/>
        </w:rPr>
        <w:t>个软件开发与技术支持中心，在</w:t>
      </w:r>
      <w:r>
        <w:rPr>
          <w:spacing w:val="-60"/>
        </w:rPr>
        <w:t> </w:t>
      </w:r>
      <w:r>
        <w:rPr/>
        <w:t>40</w:t>
      </w:r>
      <w:r>
        <w:rPr>
          <w:spacing w:val="-60"/>
        </w:rPr>
        <w:t> </w:t>
      </w:r>
      <w:r>
        <w:rPr/>
        <w:t>多个城市建立营销与服务网络。</w:t>
      </w:r>
      <w:r>
        <w:rPr/>
        <w:t> </w:t>
      </w:r>
      <w:r>
        <w:rPr>
          <w:spacing w:val="-4"/>
        </w:rPr>
        <w:t>公司以软件技术为核心，通过软件与服务的结合，软件与制造的结合，技术与行业管理能</w:t>
      </w:r>
      <w:r>
        <w:rPr>
          <w:spacing w:val="-84"/>
        </w:rPr>
        <w:t> </w:t>
      </w:r>
      <w:r>
        <w:rPr>
          <w:spacing w:val="-84"/>
        </w:rPr>
      </w:r>
      <w:r>
        <w:rPr/>
        <w:t>力的结合，提供行业解决方案和产品工程解决方案以及相关产品与服务。</w:t>
      </w:r>
    </w:p>
    <w:p>
      <w:pPr>
        <w:pStyle w:val="BodyText"/>
        <w:spacing w:line="312" w:lineRule="exact" w:before="27"/>
        <w:ind w:right="224" w:firstLine="480"/>
        <w:jc w:val="left"/>
      </w:pPr>
      <w:r>
        <w:rPr/>
        <w:t>2010 年以及未来几年，尽管金融危机的不利影响仍将持续，但国内外的多方面积极 因素将推动软件产业继续增长。</w:t>
      </w:r>
    </w:p>
    <w:p>
      <w:pPr>
        <w:pStyle w:val="BodyText"/>
        <w:spacing w:line="281" w:lineRule="exact"/>
        <w:ind w:right="104" w:firstLine="480"/>
        <w:jc w:val="left"/>
      </w:pPr>
      <w:r>
        <w:rPr>
          <w:spacing w:val="-4"/>
        </w:rPr>
        <w:t>从国际市场看，金融危机正在使全球软件产业的格局进行重新调整，在世界经济逐步</w:t>
      </w:r>
    </w:p>
    <w:p>
      <w:pPr>
        <w:pStyle w:val="BodyText"/>
        <w:spacing w:line="237" w:lineRule="auto" w:before="1"/>
        <w:ind w:right="239"/>
        <w:jc w:val="both"/>
      </w:pPr>
      <w:r>
        <w:rPr>
          <w:spacing w:val="-4"/>
        </w:rPr>
        <w:t>摆脱萧条和衰退的“后危机时代”，许多跨国公司为了压缩成本、分散风险，有意愿将软</w:t>
      </w:r>
      <w:r>
        <w:rPr>
          <w:spacing w:val="-84"/>
        </w:rPr>
        <w:t> </w:t>
      </w:r>
      <w:r>
        <w:rPr>
          <w:spacing w:val="-84"/>
        </w:rPr>
      </w:r>
      <w:r>
        <w:rPr>
          <w:spacing w:val="-4"/>
        </w:rPr>
        <w:t>件外包服务和研发中心转向市场空间充足并有望最早走出经济危机的中国，这将加快中国</w:t>
      </w:r>
      <w:r>
        <w:rPr>
          <w:spacing w:val="-82"/>
        </w:rPr>
        <w:t> </w:t>
      </w:r>
      <w:r>
        <w:rPr>
          <w:spacing w:val="-82"/>
        </w:rPr>
      </w:r>
      <w:r>
        <w:rPr>
          <w:spacing w:val="-4"/>
        </w:rPr>
        <w:t>软件产业的内涵升级，推动软件产业向研发、设计及全生命周期解决方案发展，为软件企</w:t>
      </w:r>
      <w:r>
        <w:rPr>
          <w:spacing w:val="-84"/>
        </w:rPr>
        <w:t> </w:t>
      </w:r>
      <w:r>
        <w:rPr>
          <w:spacing w:val="-84"/>
        </w:rPr>
      </w:r>
      <w:r>
        <w:rPr/>
        <w:t>业的发展提供了更多的机会。</w:t>
      </w:r>
    </w:p>
    <w:p>
      <w:pPr>
        <w:pStyle w:val="BodyText"/>
        <w:spacing w:line="237" w:lineRule="auto"/>
        <w:ind w:right="104" w:firstLine="480"/>
        <w:jc w:val="left"/>
      </w:pPr>
      <w:r>
        <w:rPr>
          <w:spacing w:val="-4"/>
        </w:rPr>
        <w:t>从国内市场看，中国经济正处于产业转型升级的关键时期，政府相继出台的铁路、电</w:t>
      </w:r>
      <w:r>
        <w:rPr/>
        <w:t> </w:t>
      </w:r>
      <w:r>
        <w:rPr>
          <w:spacing w:val="-7"/>
        </w:rPr>
        <w:t>力、环保等一系列拉动内需的投资举措，以及“制造业与信息化融合”、“农村信息化”、</w:t>
      </w:r>
      <w:r>
        <w:rPr>
          <w:spacing w:val="-84"/>
        </w:rPr>
        <w:t> </w:t>
      </w:r>
      <w:r>
        <w:rPr>
          <w:spacing w:val="-84"/>
        </w:rPr>
      </w:r>
      <w:r>
        <w:rPr/>
        <w:t>“新医改”和</w:t>
      </w:r>
      <w:r>
        <w:rPr>
          <w:spacing w:val="-59"/>
        </w:rPr>
        <w:t> </w:t>
      </w:r>
      <w:r>
        <w:rPr/>
        <w:t>3G</w:t>
      </w:r>
      <w:r>
        <w:rPr>
          <w:spacing w:val="-59"/>
        </w:rPr>
        <w:t> </w:t>
      </w:r>
      <w:r>
        <w:rPr/>
        <w:t>通信建设等新业务领域，将进一步带动国内市场对软件与信息的需求，</w:t>
      </w:r>
      <w:r>
        <w:rPr/>
        <w:t> 将推动软件企业进入新的增长周期。这些持续增长的</w:t>
      </w:r>
      <w:r>
        <w:rPr>
          <w:spacing w:val="-59"/>
        </w:rPr>
        <w:t> </w:t>
      </w:r>
      <w:r>
        <w:rPr/>
        <w:t>IT</w:t>
      </w:r>
      <w:r>
        <w:rPr>
          <w:spacing w:val="-59"/>
        </w:rPr>
        <w:t> </w:t>
      </w:r>
      <w:r>
        <w:rPr/>
        <w:t>需求，将为软件企业带来更多的</w:t>
      </w:r>
      <w:r>
        <w:rPr/>
        <w:t> 机会。</w:t>
      </w:r>
    </w:p>
    <w:p>
      <w:pPr>
        <w:spacing w:after="0" w:line="237" w:lineRule="auto"/>
        <w:jc w:val="left"/>
        <w:sectPr>
          <w:pgSz w:w="11910" w:h="16840"/>
          <w:pgMar w:header="720" w:footer="721" w:top="1100" w:bottom="920" w:left="1220" w:right="1060"/>
        </w:sectPr>
      </w:pPr>
    </w:p>
    <w:p>
      <w:pPr>
        <w:spacing w:line="240" w:lineRule="auto" w:before="1"/>
        <w:rPr>
          <w:rFonts w:ascii="宋体" w:hAnsi="宋体" w:cs="宋体" w:eastAsia="宋体" w:hint="default"/>
          <w:sz w:val="20"/>
          <w:szCs w:val="20"/>
        </w:rPr>
      </w:pPr>
    </w:p>
    <w:p>
      <w:pPr>
        <w:pStyle w:val="BodyText"/>
        <w:spacing w:line="312" w:lineRule="exact" w:before="26"/>
        <w:ind w:left="1140" w:right="260"/>
        <w:jc w:val="left"/>
      </w:pPr>
      <w:r>
        <w:rPr/>
        <w:t>在机遇面前，公司也面临着一些困难和挑战：</w:t>
      </w:r>
    </w:p>
    <w:p>
      <w:pPr>
        <w:pStyle w:val="BodyText"/>
        <w:spacing w:line="237" w:lineRule="auto" w:before="1"/>
        <w:ind w:left="660" w:right="260" w:firstLine="480"/>
        <w:jc w:val="left"/>
      </w:pPr>
      <w:r>
        <w:rPr>
          <w:spacing w:val="-4"/>
        </w:rPr>
        <w:t>（1）国际经济环境更为复杂，一些潜在的金融风险和因素都可能重新带来新的冲击，</w:t>
      </w:r>
      <w:r>
        <w:rPr/>
        <w:t> </w:t>
      </w:r>
      <w:r>
        <w:rPr>
          <w:spacing w:val="-4"/>
        </w:rPr>
        <w:t>对国际软件业务外包存在不利影响。另外，国际软件企业加紧对国内市场的争夺，竞争将</w:t>
      </w:r>
      <w:r>
        <w:rPr>
          <w:spacing w:val="-84"/>
        </w:rPr>
        <w:t> </w:t>
      </w:r>
      <w:r>
        <w:rPr>
          <w:spacing w:val="-84"/>
        </w:rPr>
      </w:r>
      <w:r>
        <w:rPr/>
        <w:t>进一步升级。</w:t>
      </w:r>
    </w:p>
    <w:p>
      <w:pPr>
        <w:pStyle w:val="BodyText"/>
        <w:spacing w:line="310" w:lineRule="exact" w:before="30"/>
        <w:ind w:left="660" w:right="680" w:firstLine="480"/>
        <w:jc w:val="both"/>
      </w:pPr>
      <w:r>
        <w:rPr>
          <w:spacing w:val="-5"/>
        </w:rPr>
        <w:t>（2）中国经济企稳回升的基础还不牢固，内生动力不足，尤其是 </w:t>
      </w:r>
      <w:r>
        <w:rPr/>
        <w:t>IT</w:t>
      </w:r>
      <w:r>
        <w:rPr>
          <w:spacing w:val="-92"/>
        </w:rPr>
        <w:t> </w:t>
      </w:r>
      <w:r>
        <w:rPr/>
        <w:t>行业需求不足的</w:t>
      </w:r>
      <w:r>
        <w:rPr/>
        <w:t> </w:t>
      </w:r>
      <w:r>
        <w:rPr>
          <w:spacing w:val="-4"/>
        </w:rPr>
        <w:t>问题持续存在，导致软件市场的潜在需求转化为现实需求的动力不足。同时，人民币升值</w:t>
      </w:r>
      <w:r>
        <w:rPr>
          <w:spacing w:val="-84"/>
        </w:rPr>
        <w:t> </w:t>
      </w:r>
      <w:r>
        <w:rPr>
          <w:spacing w:val="-84"/>
        </w:rPr>
      </w:r>
      <w:r>
        <w:rPr/>
        <w:t>预期，以及人力资源成本的上涨，将增加软件企业的运营成本。</w:t>
      </w:r>
    </w:p>
    <w:p>
      <w:pPr>
        <w:pStyle w:val="BodyText"/>
        <w:spacing w:line="310" w:lineRule="exact" w:before="2"/>
        <w:ind w:left="660" w:right="681" w:firstLine="480"/>
        <w:jc w:val="both"/>
      </w:pPr>
      <w:r>
        <w:rPr/>
        <w:t>（3）随着公司国际并购策略的有效实施，需要公司进一步提高收购兼并过程中的整 合能力，海外公司的运营管理能力，并推动国际业务与国内业务的协调快速发展。</w:t>
      </w:r>
    </w:p>
    <w:p>
      <w:pPr>
        <w:spacing w:line="240" w:lineRule="auto" w:before="12"/>
        <w:rPr>
          <w:rFonts w:ascii="宋体" w:hAnsi="宋体" w:cs="宋体" w:eastAsia="宋体" w:hint="default"/>
          <w:sz w:val="23"/>
          <w:szCs w:val="23"/>
        </w:rPr>
      </w:pPr>
    </w:p>
    <w:p>
      <w:pPr>
        <w:pStyle w:val="BodyText"/>
        <w:spacing w:line="310" w:lineRule="exact"/>
        <w:ind w:left="660" w:right="753" w:firstLine="480"/>
        <w:jc w:val="both"/>
      </w:pP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年是公司为未来继续高速成长夯实基础的一年。面对社会经济的复杂性和不确 定性带来的困难与挑战，为保证公司业务健康、稳定、快速发展，公司制定如下计划：</w:t>
      </w:r>
    </w:p>
    <w:p>
      <w:pPr>
        <w:pStyle w:val="BodyText"/>
        <w:spacing w:line="310" w:lineRule="exact" w:before="2"/>
        <w:ind w:left="660" w:right="681" w:firstLine="480"/>
        <w:jc w:val="both"/>
      </w:pPr>
      <w:r>
        <w:rPr/>
        <w:t>（</w:t>
      </w:r>
      <w:r>
        <w:rPr>
          <w:rFonts w:ascii="Times New Roman" w:hAnsi="Times New Roman" w:cs="Times New Roman" w:eastAsia="Times New Roman" w:hint="default"/>
        </w:rPr>
        <w:t>1</w:t>
      </w:r>
      <w:r>
        <w:rPr/>
        <w:t>）以更加积极的态度和持续的创业激情加快公司全球化发展进程，加大中国和海 外市场新业务的拓展，推动商业模式创新，积极开展咨询服务业务，寻求区域</w:t>
      </w:r>
      <w:r>
        <w:rPr>
          <w:spacing w:val="-60"/>
        </w:rPr>
        <w:t> </w:t>
      </w:r>
      <w:r>
        <w:rPr>
          <w:rFonts w:ascii="Times New Roman" w:hAnsi="Times New Roman" w:cs="Times New Roman" w:eastAsia="Times New Roman" w:hint="default"/>
        </w:rPr>
        <w:t>IT</w:t>
      </w:r>
      <w:r>
        <w:rPr>
          <w:rFonts w:ascii="Times New Roman" w:hAnsi="Times New Roman" w:cs="Times New Roman" w:eastAsia="Times New Roman" w:hint="default"/>
          <w:spacing w:val="-13"/>
        </w:rPr>
        <w:t> </w:t>
      </w:r>
      <w:r>
        <w:rPr/>
        <w:t>市场整 合机会，进一步提高公司核心竞争能力；</w:t>
      </w:r>
    </w:p>
    <w:p>
      <w:pPr>
        <w:pStyle w:val="BodyText"/>
        <w:spacing w:line="310" w:lineRule="exact" w:before="2"/>
        <w:ind w:left="660" w:right="681" w:firstLine="480"/>
        <w:jc w:val="both"/>
      </w:pPr>
      <w:r>
        <w:rPr/>
        <w:t>（</w:t>
      </w:r>
      <w:r>
        <w:rPr>
          <w:rFonts w:ascii="Times New Roman" w:hAnsi="Times New Roman" w:cs="Times New Roman" w:eastAsia="Times New Roman" w:hint="default"/>
        </w:rPr>
        <w:t>2</w:t>
      </w:r>
      <w:r>
        <w:rPr/>
        <w:t>）加强业务规划和研发投入，提升综合竞争能力，积极通过业务并购与重组，实 现业务的高成长。</w:t>
      </w:r>
    </w:p>
    <w:p>
      <w:pPr>
        <w:pStyle w:val="BodyText"/>
        <w:spacing w:line="225" w:lineRule="auto"/>
        <w:ind w:left="660" w:right="681" w:firstLine="480"/>
        <w:jc w:val="both"/>
      </w:pPr>
      <w:r>
        <w:rPr/>
        <w:t>（</w:t>
      </w:r>
      <w:r>
        <w:rPr>
          <w:rFonts w:ascii="Times New Roman" w:hAnsi="Times New Roman" w:cs="Times New Roman" w:eastAsia="Times New Roman" w:hint="default"/>
        </w:rPr>
        <w:t>3</w:t>
      </w:r>
      <w:r>
        <w:rPr/>
        <w:t>）加强解决方案业务销售和服务网络建设，在重点业务领域深入挖掘已有核心客 户的业务需求，扩大业务规模和关联业务，获取规模化利润。</w:t>
      </w:r>
    </w:p>
    <w:p>
      <w:pPr>
        <w:pStyle w:val="BodyText"/>
        <w:spacing w:line="312" w:lineRule="exact" w:before="29"/>
        <w:ind w:left="660" w:right="681" w:firstLine="480"/>
        <w:jc w:val="both"/>
      </w:pPr>
      <w:r>
        <w:rPr/>
        <w:t>（</w:t>
      </w:r>
      <w:r>
        <w:rPr>
          <w:rFonts w:ascii="Times New Roman" w:hAnsi="Times New Roman" w:cs="Times New Roman" w:eastAsia="Times New Roman" w:hint="default"/>
        </w:rPr>
        <w:t>4</w:t>
      </w:r>
      <w:r>
        <w:rPr/>
        <w:t>）在国际市场，进一步提升东软的品牌影响力，积极拓展高端客户，构建可持续 发展的战略联盟关系，形成国际与国内业务的有效互动。</w:t>
      </w:r>
    </w:p>
    <w:p>
      <w:pPr>
        <w:pStyle w:val="BodyText"/>
        <w:spacing w:line="225" w:lineRule="auto"/>
        <w:ind w:left="660" w:right="681" w:firstLine="480"/>
        <w:jc w:val="both"/>
      </w:pPr>
      <w:r>
        <w:rPr/>
        <w:t>（</w:t>
      </w:r>
      <w:r>
        <w:rPr>
          <w:rFonts w:ascii="Times New Roman" w:hAnsi="Times New Roman" w:cs="Times New Roman" w:eastAsia="Times New Roman" w:hint="default"/>
        </w:rPr>
        <w:t>5</w:t>
      </w:r>
      <w:r>
        <w:rPr/>
        <w:t>）加大医疗设备新产品的营销力度，积极拓展市场，迅速提高市场占有率。在医 疗</w:t>
      </w:r>
      <w:r>
        <w:rPr>
          <w:spacing w:val="-60"/>
        </w:rPr>
        <w:t> </w:t>
      </w:r>
      <w:r>
        <w:rPr>
          <w:rFonts w:ascii="Times New Roman" w:hAnsi="Times New Roman" w:cs="Times New Roman" w:eastAsia="Times New Roman" w:hint="default"/>
        </w:rPr>
        <w:t>IT</w:t>
      </w:r>
      <w:r>
        <w:rPr>
          <w:rFonts w:ascii="Times New Roman" w:hAnsi="Times New Roman" w:cs="Times New Roman" w:eastAsia="Times New Roman" w:hint="default"/>
          <w:spacing w:val="-13"/>
        </w:rPr>
        <w:t> </w:t>
      </w:r>
      <w:r>
        <w:rPr/>
        <w:t>和健康服务方面，不断提升技术能力和创新速度，形成新的业务突破。</w:t>
      </w:r>
    </w:p>
    <w:p>
      <w:pPr>
        <w:spacing w:line="240" w:lineRule="auto" w:before="10"/>
        <w:rPr>
          <w:rFonts w:ascii="宋体" w:hAnsi="宋体" w:cs="宋体" w:eastAsia="宋体" w:hint="default"/>
          <w:sz w:val="19"/>
          <w:szCs w:val="19"/>
        </w:rPr>
      </w:pPr>
    </w:p>
    <w:p>
      <w:pPr>
        <w:pStyle w:val="BodyText"/>
        <w:spacing w:line="312" w:lineRule="exact"/>
        <w:ind w:left="1140" w:right="260"/>
        <w:jc w:val="left"/>
      </w:pPr>
      <w:r>
        <w:rPr/>
        <w:t>根据预测，2010</w:t>
      </w:r>
      <w:r>
        <w:rPr>
          <w:spacing w:val="-48"/>
        </w:rPr>
        <w:t> </w:t>
      </w:r>
      <w:r>
        <w:rPr/>
        <w:t>年公司计划实现营业收入</w:t>
      </w:r>
      <w:r>
        <w:rPr>
          <w:spacing w:val="-48"/>
        </w:rPr>
        <w:t> </w:t>
      </w:r>
      <w:r>
        <w:rPr/>
        <w:t>50.03</w:t>
      </w:r>
      <w:r>
        <w:rPr>
          <w:spacing w:val="-48"/>
        </w:rPr>
        <w:t> </w:t>
      </w:r>
      <w:r>
        <w:rPr/>
        <w:t>亿元，营业成本</w:t>
      </w:r>
      <w:r>
        <w:rPr>
          <w:spacing w:val="-48"/>
        </w:rPr>
        <w:t> </w:t>
      </w:r>
      <w:r>
        <w:rPr/>
        <w:t>34.95</w:t>
      </w:r>
      <w:r>
        <w:rPr>
          <w:spacing w:val="-48"/>
        </w:rPr>
        <w:t> </w:t>
      </w:r>
      <w:r>
        <w:rPr/>
        <w:t>亿元，期间</w:t>
      </w:r>
    </w:p>
    <w:p>
      <w:pPr>
        <w:pStyle w:val="BodyText"/>
        <w:spacing w:line="311" w:lineRule="exact"/>
        <w:ind w:left="660" w:right="260"/>
        <w:jc w:val="left"/>
      </w:pPr>
      <w:r>
        <w:rPr/>
        <w:t>费用</w:t>
      </w:r>
      <w:r>
        <w:rPr>
          <w:spacing w:val="-58"/>
        </w:rPr>
        <w:t> </w:t>
      </w:r>
      <w:r>
        <w:rPr/>
        <w:t>10.25</w:t>
      </w:r>
      <w:r>
        <w:rPr>
          <w:spacing w:val="-58"/>
        </w:rPr>
        <w:t> </w:t>
      </w:r>
      <w:r>
        <w:rPr>
          <w:spacing w:val="-8"/>
        </w:rPr>
        <w:t>亿元。为完成上述</w:t>
      </w:r>
      <w:r>
        <w:rPr>
          <w:spacing w:val="-58"/>
        </w:rPr>
        <w:t> </w:t>
      </w:r>
      <w:r>
        <w:rPr/>
        <w:t>2010</w:t>
      </w:r>
      <w:r>
        <w:rPr>
          <w:spacing w:val="-58"/>
        </w:rPr>
        <w:t> </w:t>
      </w:r>
      <w:r>
        <w:rPr>
          <w:spacing w:val="-6"/>
        </w:rPr>
        <w:t>年度经营计划，公司预计</w:t>
      </w:r>
      <w:r>
        <w:rPr>
          <w:spacing w:val="-58"/>
        </w:rPr>
        <w:t> </w:t>
      </w:r>
      <w:r>
        <w:rPr/>
        <w:t>2010</w:t>
      </w:r>
      <w:r>
        <w:rPr>
          <w:spacing w:val="-58"/>
        </w:rPr>
        <w:t> </w:t>
      </w:r>
      <w:r>
        <w:rPr/>
        <w:t>年的日常经营及基本建</w:t>
      </w:r>
    </w:p>
    <w:p>
      <w:pPr>
        <w:pStyle w:val="BodyText"/>
        <w:spacing w:line="312" w:lineRule="exact"/>
        <w:ind w:left="660" w:right="260"/>
        <w:jc w:val="left"/>
      </w:pPr>
      <w:r>
        <w:rPr/>
        <w:t>设资金需求为人民币</w:t>
      </w:r>
      <w:r>
        <w:rPr>
          <w:spacing w:val="-60"/>
        </w:rPr>
        <w:t> </w:t>
      </w:r>
      <w:r>
        <w:rPr/>
        <w:t>16</w:t>
      </w:r>
      <w:r>
        <w:rPr>
          <w:spacing w:val="-60"/>
        </w:rPr>
        <w:t> </w:t>
      </w:r>
      <w:r>
        <w:rPr/>
        <w:t>亿元，资金来源主要为自有资金和银行贷款。</w:t>
      </w:r>
    </w:p>
    <w:p>
      <w:pPr>
        <w:spacing w:line="240" w:lineRule="auto" w:before="9"/>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1910" w:h="16840"/>
          <w:pgMar w:header="720" w:footer="721" w:top="1100" w:bottom="920" w:left="700" w:right="620"/>
        </w:sectPr>
      </w:pPr>
    </w:p>
    <w:p>
      <w:pPr>
        <w:pStyle w:val="Heading7"/>
        <w:spacing w:line="312" w:lineRule="exact" w:before="26"/>
        <w:ind w:left="660" w:right="-20"/>
        <w:jc w:val="left"/>
        <w:rPr>
          <w:rFonts w:ascii="宋体" w:hAnsi="宋体" w:cs="宋体" w:eastAsia="宋体" w:hint="default"/>
          <w:b w:val="0"/>
          <w:bCs w:val="0"/>
        </w:rPr>
      </w:pPr>
      <w:r>
        <w:rPr>
          <w:rFonts w:ascii="宋体" w:hAnsi="宋体" w:cs="宋体" w:eastAsia="宋体" w:hint="default"/>
        </w:rPr>
        <w:t>6、公司主营业务及其经营状况</w:t>
      </w:r>
      <w:r>
        <w:rPr>
          <w:rFonts w:ascii="宋体" w:hAnsi="宋体" w:cs="宋体" w:eastAsia="宋体" w:hint="default"/>
          <w:b w:val="0"/>
          <w:bCs w:val="0"/>
        </w:rPr>
      </w:r>
    </w:p>
    <w:p>
      <w:pPr>
        <w:pStyle w:val="BodyText"/>
        <w:spacing w:line="312" w:lineRule="exact"/>
        <w:ind w:left="660" w:right="-20"/>
        <w:jc w:val="left"/>
      </w:pPr>
      <w:r>
        <w:rPr/>
        <w:t>（1）主营业务分行业、产品情况表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0"/>
        <w:rPr>
          <w:rFonts w:ascii="宋体" w:hAnsi="宋体" w:cs="宋体" w:eastAsia="宋体" w:hint="default"/>
          <w:sz w:val="29"/>
          <w:szCs w:val="29"/>
        </w:rPr>
      </w:pPr>
    </w:p>
    <w:p>
      <w:pPr>
        <w:spacing w:before="0"/>
        <w:ind w:left="66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3"/>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700" w:right="620"/>
          <w:cols w:num="2" w:equalWidth="0">
            <w:col w:w="4381" w:space="2865"/>
            <w:col w:w="3344"/>
          </w:cols>
        </w:sectPr>
      </w:pPr>
    </w:p>
    <w:p>
      <w:pPr>
        <w:spacing w:line="240" w:lineRule="auto" w:before="7"/>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1709"/>
        <w:gridCol w:w="1386"/>
        <w:gridCol w:w="1386"/>
        <w:gridCol w:w="1006"/>
        <w:gridCol w:w="1579"/>
        <w:gridCol w:w="1552"/>
        <w:gridCol w:w="1729"/>
      </w:tblGrid>
      <w:tr>
        <w:trPr>
          <w:trHeight w:val="482" w:hRule="exact"/>
        </w:trPr>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b/>
                <w:bCs/>
                <w:sz w:val="18"/>
                <w:szCs w:val="18"/>
              </w:rPr>
              <w:t>分行业</w:t>
            </w:r>
            <w:r>
              <w:rPr>
                <w:rFonts w:ascii="宋体" w:hAnsi="宋体" w:cs="宋体" w:eastAsia="宋体" w:hint="default"/>
                <w:sz w:val="18"/>
                <w:szCs w:val="18"/>
              </w:rPr>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323" w:right="0"/>
              <w:jc w:val="left"/>
              <w:rPr>
                <w:rFonts w:ascii="宋体" w:hAnsi="宋体" w:cs="宋体" w:eastAsia="宋体" w:hint="default"/>
                <w:sz w:val="18"/>
                <w:szCs w:val="18"/>
              </w:rPr>
            </w:pPr>
            <w:r>
              <w:rPr>
                <w:rFonts w:ascii="宋体" w:hAnsi="宋体" w:cs="宋体" w:eastAsia="宋体" w:hint="default"/>
                <w:b/>
                <w:bCs/>
                <w:sz w:val="18"/>
                <w:szCs w:val="18"/>
              </w:rPr>
              <w:t>营业收入</w:t>
            </w:r>
            <w:r>
              <w:rPr>
                <w:rFonts w:ascii="宋体" w:hAnsi="宋体" w:cs="宋体" w:eastAsia="宋体" w:hint="default"/>
                <w:sz w:val="18"/>
                <w:szCs w:val="18"/>
              </w:rPr>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323" w:right="0"/>
              <w:jc w:val="left"/>
              <w:rPr>
                <w:rFonts w:ascii="宋体" w:hAnsi="宋体" w:cs="宋体" w:eastAsia="宋体" w:hint="default"/>
                <w:sz w:val="18"/>
                <w:szCs w:val="18"/>
              </w:rPr>
            </w:pPr>
            <w:r>
              <w:rPr>
                <w:rFonts w:ascii="宋体" w:hAnsi="宋体" w:cs="宋体" w:eastAsia="宋体" w:hint="default"/>
                <w:b/>
                <w:bCs/>
                <w:sz w:val="18"/>
                <w:szCs w:val="18"/>
              </w:rPr>
              <w:t>营业成本</w:t>
            </w:r>
            <w:r>
              <w:rPr>
                <w:rFonts w:ascii="宋体" w:hAnsi="宋体" w:cs="宋体" w:eastAsia="宋体" w:hint="default"/>
                <w:sz w:val="18"/>
                <w:szCs w:val="18"/>
              </w:rPr>
            </w:r>
          </w:p>
        </w:tc>
        <w:tc>
          <w:tcPr>
            <w:tcW w:w="10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营业利润</w:t>
            </w:r>
            <w:r>
              <w:rPr>
                <w:rFonts w:ascii="宋体" w:hAnsi="宋体" w:cs="宋体" w:eastAsia="宋体" w:hint="default"/>
                <w:sz w:val="18"/>
                <w:szCs w:val="18"/>
              </w:rPr>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b/>
                <w:bCs/>
                <w:w w:val="99"/>
                <w:sz w:val="18"/>
                <w:szCs w:val="18"/>
              </w:rPr>
              <w:t>率</w:t>
            </w:r>
            <w:r>
              <w:rPr>
                <w:rFonts w:ascii="宋体" w:hAnsi="宋体" w:cs="宋体" w:eastAsia="宋体" w:hint="default"/>
                <w:sz w:val="18"/>
                <w:szCs w:val="18"/>
              </w:rPr>
            </w:r>
          </w:p>
        </w:tc>
        <w:tc>
          <w:tcPr>
            <w:tcW w:w="1579"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b/>
                <w:bCs/>
                <w:sz w:val="18"/>
                <w:szCs w:val="18"/>
              </w:rPr>
              <w:t>营业收入比上年</w:t>
            </w:r>
            <w:r>
              <w:rPr>
                <w:rFonts w:ascii="宋体" w:hAnsi="宋体" w:cs="宋体" w:eastAsia="宋体" w:hint="default"/>
                <w:sz w:val="18"/>
                <w:szCs w:val="18"/>
              </w:rPr>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b/>
                <w:bCs/>
                <w:sz w:val="18"/>
                <w:szCs w:val="18"/>
              </w:rPr>
              <w:t>增减</w:t>
            </w:r>
            <w:r>
              <w:rPr>
                <w:rFonts w:ascii="宋体" w:hAnsi="宋体" w:cs="宋体" w:eastAsia="宋体" w:hint="default"/>
                <w:sz w:val="18"/>
                <w:szCs w:val="18"/>
              </w:rPr>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营业成本比上年</w:t>
            </w:r>
            <w:r>
              <w:rPr>
                <w:rFonts w:ascii="宋体" w:hAnsi="宋体" w:cs="宋体" w:eastAsia="宋体" w:hint="default"/>
                <w:sz w:val="18"/>
                <w:szCs w:val="18"/>
              </w:rPr>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b/>
                <w:bCs/>
                <w:sz w:val="18"/>
                <w:szCs w:val="18"/>
              </w:rPr>
              <w:t>增减</w:t>
            </w:r>
            <w:r>
              <w:rPr>
                <w:rFonts w:ascii="宋体" w:hAnsi="宋体" w:cs="宋体" w:eastAsia="宋体" w:hint="default"/>
                <w:sz w:val="18"/>
                <w:szCs w:val="18"/>
              </w:rPr>
            </w:r>
          </w:p>
        </w:tc>
        <w:tc>
          <w:tcPr>
            <w:tcW w:w="1729"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营业利润率比上年</w:t>
            </w:r>
            <w:r>
              <w:rPr>
                <w:rFonts w:ascii="宋体" w:hAnsi="宋体" w:cs="宋体" w:eastAsia="宋体" w:hint="default"/>
                <w:sz w:val="18"/>
                <w:szCs w:val="18"/>
              </w:rPr>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b/>
                <w:bCs/>
                <w:sz w:val="18"/>
                <w:szCs w:val="18"/>
              </w:rPr>
              <w:t>增减</w:t>
            </w:r>
            <w:r>
              <w:rPr>
                <w:rFonts w:ascii="宋体" w:hAnsi="宋体" w:cs="宋体" w:eastAsia="宋体" w:hint="default"/>
                <w:sz w:val="18"/>
                <w:szCs w:val="18"/>
              </w:rPr>
            </w:r>
          </w:p>
        </w:tc>
      </w:tr>
      <w:tr>
        <w:trPr>
          <w:trHeight w:val="355" w:hRule="exact"/>
        </w:trPr>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软件及系统集成</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3,426,948,772</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2,273,625,818</w:t>
            </w:r>
          </w:p>
        </w:tc>
        <w:tc>
          <w:tcPr>
            <w:tcW w:w="10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sz w:val="18"/>
              </w:rPr>
              <w:t>33.7%</w:t>
            </w:r>
          </w:p>
        </w:tc>
        <w:tc>
          <w:tcPr>
            <w:tcW w:w="15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7"/>
              <w:jc w:val="right"/>
              <w:rPr>
                <w:rFonts w:ascii="宋体" w:hAnsi="宋体" w:cs="宋体" w:eastAsia="宋体" w:hint="default"/>
                <w:sz w:val="18"/>
                <w:szCs w:val="18"/>
              </w:rPr>
            </w:pPr>
            <w:r>
              <w:rPr>
                <w:rFonts w:ascii="宋体"/>
                <w:sz w:val="18"/>
              </w:rPr>
              <w:t>16.8%</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19.6%</w:t>
            </w:r>
          </w:p>
        </w:tc>
        <w:tc>
          <w:tcPr>
            <w:tcW w:w="17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7"/>
                <w:sz w:val="18"/>
                <w:szCs w:val="18"/>
              </w:rPr>
              <w:t> </w:t>
            </w:r>
            <w:r>
              <w:rPr>
                <w:rFonts w:ascii="Arial" w:hAnsi="Arial" w:cs="Arial" w:eastAsia="Arial" w:hint="default"/>
                <w:sz w:val="18"/>
                <w:szCs w:val="18"/>
              </w:rPr>
              <w:t>1.5</w:t>
            </w:r>
            <w:r>
              <w:rPr>
                <w:rFonts w:ascii="Arial" w:hAnsi="Arial" w:cs="Arial" w:eastAsia="Arial" w:hint="default"/>
                <w:spacing w:val="-12"/>
                <w:sz w:val="18"/>
                <w:szCs w:val="18"/>
              </w:rPr>
              <w:t> </w:t>
            </w:r>
            <w:r>
              <w:rPr>
                <w:rFonts w:ascii="宋体" w:hAnsi="宋体" w:cs="宋体" w:eastAsia="宋体" w:hint="default"/>
                <w:sz w:val="18"/>
                <w:szCs w:val="18"/>
              </w:rPr>
              <w:t>个百分点</w:t>
            </w:r>
          </w:p>
        </w:tc>
      </w:tr>
      <w:tr>
        <w:trPr>
          <w:trHeight w:val="355" w:hRule="exact"/>
        </w:trPr>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医疗系统</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633,417,848</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391,131,709</w:t>
            </w:r>
          </w:p>
        </w:tc>
        <w:tc>
          <w:tcPr>
            <w:tcW w:w="10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sz w:val="18"/>
              </w:rPr>
              <w:t>38.3%</w:t>
            </w:r>
          </w:p>
        </w:tc>
        <w:tc>
          <w:tcPr>
            <w:tcW w:w="15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7"/>
              <w:jc w:val="right"/>
              <w:rPr>
                <w:rFonts w:ascii="宋体" w:hAnsi="宋体" w:cs="宋体" w:eastAsia="宋体" w:hint="default"/>
                <w:sz w:val="18"/>
                <w:szCs w:val="18"/>
              </w:rPr>
            </w:pPr>
            <w:r>
              <w:rPr>
                <w:rFonts w:ascii="宋体"/>
                <w:sz w:val="18"/>
              </w:rPr>
              <w:t>-5.6%</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-3.3%</w:t>
            </w:r>
          </w:p>
        </w:tc>
        <w:tc>
          <w:tcPr>
            <w:tcW w:w="17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7"/>
                <w:sz w:val="18"/>
                <w:szCs w:val="18"/>
              </w:rPr>
              <w:t> </w:t>
            </w:r>
            <w:r>
              <w:rPr>
                <w:rFonts w:ascii="Arial" w:hAnsi="Arial" w:cs="Arial" w:eastAsia="Arial" w:hint="default"/>
                <w:sz w:val="18"/>
                <w:szCs w:val="18"/>
              </w:rPr>
              <w:t>1.4</w:t>
            </w:r>
            <w:r>
              <w:rPr>
                <w:rFonts w:ascii="Arial" w:hAnsi="Arial" w:cs="Arial" w:eastAsia="Arial" w:hint="default"/>
                <w:spacing w:val="-12"/>
                <w:sz w:val="18"/>
                <w:szCs w:val="18"/>
              </w:rPr>
              <w:t> </w:t>
            </w:r>
            <w:r>
              <w:rPr>
                <w:rFonts w:ascii="宋体" w:hAnsi="宋体" w:cs="宋体" w:eastAsia="宋体" w:hint="default"/>
                <w:sz w:val="18"/>
                <w:szCs w:val="18"/>
              </w:rPr>
              <w:t>个百分点</w:t>
            </w:r>
          </w:p>
        </w:tc>
      </w:tr>
      <w:tr>
        <w:trPr>
          <w:trHeight w:val="354" w:hRule="exact"/>
        </w:trPr>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其中：关联交易</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467,471,892</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299,858,231</w:t>
            </w:r>
          </w:p>
        </w:tc>
        <w:tc>
          <w:tcPr>
            <w:tcW w:w="10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sz w:val="18"/>
              </w:rPr>
              <w:t>35.9%</w:t>
            </w:r>
          </w:p>
        </w:tc>
        <w:tc>
          <w:tcPr>
            <w:tcW w:w="15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7"/>
              <w:jc w:val="right"/>
              <w:rPr>
                <w:rFonts w:ascii="宋体" w:hAnsi="宋体" w:cs="宋体" w:eastAsia="宋体" w:hint="default"/>
                <w:sz w:val="18"/>
                <w:szCs w:val="18"/>
              </w:rPr>
            </w:pPr>
            <w:r>
              <w:rPr>
                <w:rFonts w:ascii="宋体"/>
                <w:sz w:val="18"/>
              </w:rPr>
              <w:t>-14.3%</w:t>
            </w:r>
          </w:p>
        </w:tc>
        <w:tc>
          <w:tcPr>
            <w:tcW w:w="15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-11.1%</w:t>
            </w:r>
          </w:p>
        </w:tc>
        <w:tc>
          <w:tcPr>
            <w:tcW w:w="17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7"/>
                <w:sz w:val="18"/>
                <w:szCs w:val="18"/>
              </w:rPr>
              <w:t> </w:t>
            </w:r>
            <w:r>
              <w:rPr>
                <w:rFonts w:ascii="Arial" w:hAnsi="Arial" w:cs="Arial" w:eastAsia="Arial" w:hint="default"/>
                <w:sz w:val="18"/>
                <w:szCs w:val="18"/>
              </w:rPr>
              <w:t>2.2</w:t>
            </w:r>
            <w:r>
              <w:rPr>
                <w:rFonts w:ascii="Arial" w:hAnsi="Arial" w:cs="Arial" w:eastAsia="Arial" w:hint="default"/>
                <w:spacing w:val="-12"/>
                <w:sz w:val="18"/>
                <w:szCs w:val="18"/>
              </w:rPr>
              <w:t> </w:t>
            </w:r>
            <w:r>
              <w:rPr>
                <w:rFonts w:ascii="宋体" w:hAnsi="宋体" w:cs="宋体" w:eastAsia="宋体" w:hint="default"/>
                <w:sz w:val="18"/>
                <w:szCs w:val="18"/>
              </w:rPr>
              <w:t>个百分点</w:t>
            </w:r>
          </w:p>
        </w:tc>
      </w:tr>
      <w:tr>
        <w:trPr>
          <w:trHeight w:val="440" w:hRule="exact"/>
        </w:trPr>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关联交易定价原则</w:t>
            </w:r>
          </w:p>
        </w:tc>
        <w:tc>
          <w:tcPr>
            <w:tcW w:w="8638" w:type="dxa"/>
            <w:gridSpan w:val="6"/>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按照市场价格协议定价</w:t>
            </w:r>
          </w:p>
        </w:tc>
      </w:tr>
    </w:tbl>
    <w:p>
      <w:pPr>
        <w:pStyle w:val="BodyText"/>
        <w:spacing w:line="273" w:lineRule="exact"/>
        <w:ind w:left="660" w:right="260"/>
        <w:jc w:val="left"/>
      </w:pPr>
      <w:r>
        <w:rPr/>
        <w:t>变动情况说明：</w:t>
      </w:r>
    </w:p>
    <w:p>
      <w:pPr>
        <w:pStyle w:val="BodyText"/>
        <w:spacing w:line="312" w:lineRule="exact" w:before="29"/>
        <w:ind w:left="660" w:right="664" w:firstLine="480"/>
        <w:jc w:val="left"/>
      </w:pPr>
      <w:r>
        <w:rPr/>
        <w:t>1、 报告期内软件及系统集成毛利率较上年同期减少1.5个百分点，主要由于报告期 内业务受市场竞争因素及金融危机影响毛利率有所降低、以及国内业务结构变化所致；</w:t>
      </w:r>
    </w:p>
    <w:p>
      <w:pPr>
        <w:pStyle w:val="BodyText"/>
        <w:spacing w:line="281" w:lineRule="exact"/>
        <w:ind w:left="660" w:right="260" w:firstLine="480"/>
        <w:jc w:val="left"/>
      </w:pPr>
      <w:r>
        <w:rPr/>
        <w:t>2、 报告期内医疗系统业务毛利率较上年同期减少1.4个百分点，主要由于上年同期</w:t>
      </w:r>
    </w:p>
    <w:p>
      <w:pPr>
        <w:pStyle w:val="BodyText"/>
        <w:spacing w:line="312" w:lineRule="exact" w:before="29"/>
        <w:ind w:left="660" w:right="260"/>
        <w:jc w:val="left"/>
      </w:pPr>
      <w:r>
        <w:rPr>
          <w:spacing w:val="-4"/>
        </w:rPr>
        <w:t>收到销售返点冲减部分成本，以及本期产品结构变化、国内外市场竞争等因素使毛利率下</w:t>
      </w:r>
      <w:r>
        <w:rPr>
          <w:spacing w:val="-82"/>
        </w:rPr>
        <w:t> </w:t>
      </w:r>
      <w:r>
        <w:rPr>
          <w:spacing w:val="-82"/>
        </w:rPr>
      </w:r>
      <w:r>
        <w:rPr/>
        <w:t>降。</w:t>
      </w:r>
    </w:p>
    <w:p>
      <w:pPr>
        <w:spacing w:after="0" w:line="312" w:lineRule="exact"/>
        <w:jc w:val="left"/>
        <w:sectPr>
          <w:type w:val="continuous"/>
          <w:pgSz w:w="11910" w:h="16840"/>
          <w:pgMar w:top="1600" w:bottom="280" w:left="700" w:right="620"/>
        </w:sectPr>
      </w:pPr>
    </w:p>
    <w:p>
      <w:pPr>
        <w:spacing w:line="240" w:lineRule="auto" w:before="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720" w:footer="721" w:top="1100" w:bottom="920" w:left="700" w:right="620"/>
        </w:sectPr>
      </w:pPr>
    </w:p>
    <w:p>
      <w:pPr>
        <w:pStyle w:val="BodyText"/>
        <w:spacing w:line="240" w:lineRule="auto" w:before="26"/>
        <w:ind w:left="660" w:right="-20"/>
        <w:jc w:val="left"/>
      </w:pPr>
      <w:r>
        <w:rPr/>
        <w:t>（2）主营业务分地区情况表</w:t>
      </w:r>
    </w:p>
    <w:p>
      <w:pPr>
        <w:spacing w:line="240" w:lineRule="auto" w:before="0"/>
        <w:rPr>
          <w:rFonts w:ascii="宋体" w:hAnsi="宋体" w:cs="宋体" w:eastAsia="宋体" w:hint="default"/>
          <w:sz w:val="26"/>
          <w:szCs w:val="26"/>
        </w:rPr>
      </w:pPr>
      <w:r>
        <w:rPr/>
        <w:br w:type="column"/>
      </w:r>
      <w:r>
        <w:rPr>
          <w:rFonts w:ascii="宋体"/>
          <w:sz w:val="26"/>
        </w:rPr>
      </w:r>
    </w:p>
    <w:p>
      <w:pPr>
        <w:spacing w:before="0"/>
        <w:ind w:left="66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3"/>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700" w:right="620"/>
          <w:cols w:num="2" w:equalWidth="0">
            <w:col w:w="3661" w:space="3585"/>
            <w:col w:w="3344"/>
          </w:cols>
        </w:sectPr>
      </w:pPr>
    </w:p>
    <w:p>
      <w:pPr>
        <w:spacing w:line="240" w:lineRule="auto" w:before="7"/>
        <w:rPr>
          <w:rFonts w:ascii="宋体" w:hAnsi="宋体" w:cs="宋体" w:eastAsia="宋体" w:hint="default"/>
          <w:sz w:val="2"/>
          <w:szCs w:val="2"/>
        </w:rPr>
      </w:pPr>
    </w:p>
    <w:tbl>
      <w:tblPr>
        <w:tblW w:w="0" w:type="auto"/>
        <w:jc w:val="left"/>
        <w:tblInd w:w="645" w:type="dxa"/>
        <w:tblLayout w:type="fixed"/>
        <w:tblCellMar>
          <w:top w:w="0" w:type="dxa"/>
          <w:left w:w="0" w:type="dxa"/>
          <w:bottom w:w="0" w:type="dxa"/>
          <w:right w:w="0" w:type="dxa"/>
        </w:tblCellMar>
        <w:tblLook w:val="01E0"/>
      </w:tblPr>
      <w:tblGrid>
        <w:gridCol w:w="2808"/>
        <w:gridCol w:w="3100"/>
        <w:gridCol w:w="3392"/>
      </w:tblGrid>
      <w:tr>
        <w:trPr>
          <w:trHeight w:val="521" w:hRule="exact"/>
        </w:trPr>
        <w:tc>
          <w:tcPr>
            <w:tcW w:w="28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1"/>
              <w:ind w:right="0"/>
              <w:jc w:val="center"/>
              <w:rPr>
                <w:rFonts w:ascii="宋体" w:hAnsi="宋体" w:cs="宋体" w:eastAsia="宋体" w:hint="default"/>
                <w:sz w:val="21"/>
                <w:szCs w:val="21"/>
              </w:rPr>
            </w:pPr>
            <w:r>
              <w:rPr>
                <w:rFonts w:ascii="宋体" w:hAnsi="宋体" w:cs="宋体" w:eastAsia="宋体" w:hint="default"/>
                <w:b/>
                <w:bCs/>
                <w:sz w:val="21"/>
                <w:szCs w:val="21"/>
              </w:rPr>
              <w:t>地区</w:t>
            </w:r>
            <w:r>
              <w:rPr>
                <w:rFonts w:ascii="宋体" w:hAnsi="宋体" w:cs="宋体" w:eastAsia="宋体" w:hint="default"/>
                <w:sz w:val="21"/>
                <w:szCs w:val="21"/>
              </w:rPr>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1"/>
              <w:ind w:right="1"/>
              <w:jc w:val="center"/>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33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1"/>
              <w:ind w:left="424" w:right="0"/>
              <w:jc w:val="left"/>
              <w:rPr>
                <w:rFonts w:ascii="宋体" w:hAnsi="宋体" w:cs="宋体" w:eastAsia="宋体" w:hint="default"/>
                <w:sz w:val="21"/>
                <w:szCs w:val="21"/>
              </w:rPr>
            </w:pPr>
            <w:r>
              <w:rPr>
                <w:rFonts w:ascii="宋体" w:hAnsi="宋体" w:cs="宋体" w:eastAsia="宋体" w:hint="default"/>
                <w:b/>
                <w:bCs/>
                <w:sz w:val="21"/>
                <w:szCs w:val="21"/>
              </w:rPr>
              <w:t>营业收入比上年增减（％）</w:t>
            </w:r>
            <w:r>
              <w:rPr>
                <w:rFonts w:ascii="宋体" w:hAnsi="宋体" w:cs="宋体" w:eastAsia="宋体" w:hint="default"/>
                <w:sz w:val="21"/>
                <w:szCs w:val="21"/>
              </w:rPr>
            </w:r>
          </w:p>
        </w:tc>
      </w:tr>
      <w:tr>
        <w:trPr>
          <w:trHeight w:val="287" w:hRule="exact"/>
        </w:trPr>
        <w:tc>
          <w:tcPr>
            <w:tcW w:w="28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境内</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0"/>
              <w:jc w:val="center"/>
              <w:rPr>
                <w:rFonts w:ascii="宋体" w:hAnsi="宋体" w:cs="宋体" w:eastAsia="宋体" w:hint="default"/>
                <w:sz w:val="18"/>
                <w:szCs w:val="18"/>
              </w:rPr>
            </w:pPr>
            <w:r>
              <w:rPr>
                <w:rFonts w:ascii="宋体"/>
                <w:sz w:val="18"/>
              </w:rPr>
              <w:t>2,871,903,108</w:t>
            </w:r>
          </w:p>
        </w:tc>
        <w:tc>
          <w:tcPr>
            <w:tcW w:w="3392"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7"/>
              <w:jc w:val="right"/>
              <w:rPr>
                <w:rFonts w:ascii="宋体" w:hAnsi="宋体" w:cs="宋体" w:eastAsia="宋体" w:hint="default"/>
                <w:sz w:val="18"/>
                <w:szCs w:val="18"/>
              </w:rPr>
            </w:pPr>
            <w:r>
              <w:rPr>
                <w:rFonts w:ascii="宋体"/>
                <w:sz w:val="18"/>
              </w:rPr>
              <w:t>15.9%</w:t>
            </w:r>
          </w:p>
        </w:tc>
      </w:tr>
      <w:tr>
        <w:trPr>
          <w:trHeight w:val="288" w:hRule="exact"/>
        </w:trPr>
        <w:tc>
          <w:tcPr>
            <w:tcW w:w="28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境外</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0"/>
              <w:jc w:val="center"/>
              <w:rPr>
                <w:rFonts w:ascii="宋体" w:hAnsi="宋体" w:cs="宋体" w:eastAsia="宋体" w:hint="default"/>
                <w:sz w:val="18"/>
                <w:szCs w:val="18"/>
              </w:rPr>
            </w:pPr>
            <w:r>
              <w:rPr>
                <w:rFonts w:ascii="宋体"/>
                <w:sz w:val="18"/>
              </w:rPr>
              <w:t>1,294,152,285</w:t>
            </w:r>
          </w:p>
        </w:tc>
        <w:tc>
          <w:tcPr>
            <w:tcW w:w="3392"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7"/>
              <w:jc w:val="right"/>
              <w:rPr>
                <w:rFonts w:ascii="宋体" w:hAnsi="宋体" w:cs="宋体" w:eastAsia="宋体" w:hint="default"/>
                <w:sz w:val="18"/>
                <w:szCs w:val="18"/>
              </w:rPr>
            </w:pPr>
            <w:r>
              <w:rPr>
                <w:rFonts w:ascii="宋体"/>
                <w:sz w:val="18"/>
              </w:rPr>
              <w:t>4.9%</w:t>
            </w:r>
          </w:p>
        </w:tc>
      </w:tr>
    </w:tbl>
    <w:p>
      <w:pPr>
        <w:spacing w:line="240" w:lineRule="auto" w:before="10"/>
        <w:rPr>
          <w:rFonts w:ascii="宋体" w:hAnsi="宋体" w:cs="宋体" w:eastAsia="宋体" w:hint="default"/>
          <w:sz w:val="18"/>
          <w:szCs w:val="18"/>
        </w:rPr>
      </w:pPr>
    </w:p>
    <w:p>
      <w:pPr>
        <w:pStyle w:val="BodyText"/>
        <w:spacing w:line="313" w:lineRule="exact" w:before="26"/>
        <w:ind w:left="660" w:right="260"/>
        <w:jc w:val="left"/>
      </w:pPr>
      <w:r>
        <w:rPr/>
        <w:t>变动情况说明：</w:t>
      </w:r>
    </w:p>
    <w:p>
      <w:pPr>
        <w:pStyle w:val="BodyText"/>
        <w:spacing w:line="237" w:lineRule="auto" w:before="1"/>
        <w:ind w:left="660" w:right="675" w:firstLine="480"/>
        <w:jc w:val="both"/>
      </w:pPr>
      <w:r>
        <w:rPr>
          <w:spacing w:val="2"/>
        </w:rPr>
        <w:t>报告期内公司境内营业收入较上年同期上升</w:t>
      </w:r>
      <w:r>
        <w:rPr>
          <w:spacing w:val="20"/>
        </w:rPr>
        <w:t> </w:t>
      </w:r>
      <w:r>
        <w:rPr>
          <w:spacing w:val="2"/>
        </w:rPr>
        <w:t>15.9%，境外营业收入较上年同期上升</w:t>
      </w:r>
      <w:r>
        <w:rPr>
          <w:spacing w:val="3"/>
        </w:rPr>
        <w:t> </w:t>
      </w:r>
      <w:r>
        <w:rPr>
          <w:spacing w:val="-3"/>
        </w:rPr>
        <w:t>4.9%，由于公司不断扩大业务规模，境内系统集成业务、纯软件业务及境外的国际软件业</w:t>
      </w:r>
      <w:r>
        <w:rPr>
          <w:spacing w:val="-117"/>
        </w:rPr>
        <w:t> </w:t>
      </w:r>
      <w:r>
        <w:rPr>
          <w:spacing w:val="-117"/>
        </w:rPr>
      </w:r>
      <w:r>
        <w:rPr/>
        <w:t>务增长所致。</w:t>
      </w:r>
    </w:p>
    <w:p>
      <w:pPr>
        <w:spacing w:line="240" w:lineRule="auto" w:before="8"/>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type w:val="continuous"/>
          <w:pgSz w:w="11910" w:h="16840"/>
          <w:pgMar w:top="1600" w:bottom="280" w:left="700" w:right="620"/>
        </w:sectPr>
      </w:pPr>
    </w:p>
    <w:p>
      <w:pPr>
        <w:pStyle w:val="BodyText"/>
        <w:spacing w:line="240" w:lineRule="auto" w:before="26"/>
        <w:ind w:left="660" w:right="-20"/>
        <w:jc w:val="left"/>
      </w:pPr>
      <w:r>
        <w:rPr/>
        <w:t>（3）对公司净利润影响达到</w:t>
      </w:r>
      <w:r>
        <w:rPr>
          <w:spacing w:val="-60"/>
        </w:rPr>
        <w:t> </w:t>
      </w:r>
      <w:r>
        <w:rPr/>
        <w:t>10%以上公司</w:t>
      </w:r>
    </w:p>
    <w:p>
      <w:pPr>
        <w:spacing w:line="240" w:lineRule="auto" w:before="2"/>
        <w:rPr>
          <w:rFonts w:ascii="宋体" w:hAnsi="宋体" w:cs="宋体" w:eastAsia="宋体" w:hint="default"/>
          <w:sz w:val="26"/>
          <w:szCs w:val="26"/>
        </w:rPr>
      </w:pPr>
      <w:r>
        <w:rPr/>
        <w:br w:type="column"/>
      </w:r>
      <w:r>
        <w:rPr>
          <w:rFonts w:ascii="宋体"/>
          <w:sz w:val="26"/>
        </w:rPr>
      </w:r>
    </w:p>
    <w:p>
      <w:pPr>
        <w:tabs>
          <w:tab w:pos="1605" w:val="left" w:leader="none"/>
        </w:tabs>
        <w:spacing w:before="0"/>
        <w:ind w:left="660" w:right="0" w:firstLine="0"/>
        <w:jc w:val="lef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after="0"/>
        <w:jc w:val="left"/>
        <w:rPr>
          <w:rFonts w:ascii="宋体" w:hAnsi="宋体" w:cs="宋体" w:eastAsia="宋体" w:hint="default"/>
          <w:sz w:val="21"/>
          <w:szCs w:val="21"/>
        </w:rPr>
        <w:sectPr>
          <w:type w:val="continuous"/>
          <w:pgSz w:w="11910" w:h="16840"/>
          <w:pgMar w:top="1600" w:bottom="280" w:left="700" w:right="620"/>
          <w:cols w:num="2" w:equalWidth="0">
            <w:col w:w="5041" w:space="2102"/>
            <w:col w:w="3447"/>
          </w:cols>
        </w:sectPr>
      </w:pPr>
    </w:p>
    <w:p>
      <w:pPr>
        <w:spacing w:line="240" w:lineRule="auto" w:before="7"/>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1308"/>
        <w:gridCol w:w="757"/>
        <w:gridCol w:w="1190"/>
        <w:gridCol w:w="1134"/>
        <w:gridCol w:w="1366"/>
        <w:gridCol w:w="1163"/>
        <w:gridCol w:w="1189"/>
        <w:gridCol w:w="1093"/>
        <w:gridCol w:w="1152"/>
      </w:tblGrid>
      <w:tr>
        <w:trPr>
          <w:trHeight w:val="570" w:hRule="exact"/>
        </w:trPr>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1"/>
              <w:ind w:left="468" w:right="194" w:hanging="272"/>
              <w:jc w:val="left"/>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b/>
                <w:bCs/>
                <w:spacing w:val="1"/>
                <w:w w:val="99"/>
                <w:sz w:val="18"/>
                <w:szCs w:val="18"/>
              </w:rPr>
              <w:t> </w:t>
            </w:r>
            <w:r>
              <w:rPr>
                <w:rFonts w:ascii="宋体" w:hAnsi="宋体" w:cs="宋体" w:eastAsia="宋体" w:hint="default"/>
                <w:b/>
                <w:bCs/>
                <w:sz w:val="18"/>
                <w:szCs w:val="18"/>
              </w:rPr>
              <w:t>名称</w:t>
            </w:r>
            <w:r>
              <w:rPr>
                <w:rFonts w:ascii="宋体" w:hAnsi="宋体" w:cs="宋体" w:eastAsia="宋体" w:hint="default"/>
                <w:sz w:val="18"/>
                <w:szCs w:val="18"/>
              </w:rPr>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1"/>
              <w:ind w:left="193" w:right="189"/>
              <w:jc w:val="left"/>
              <w:rPr>
                <w:rFonts w:ascii="宋体" w:hAnsi="宋体" w:cs="宋体" w:eastAsia="宋体" w:hint="default"/>
                <w:sz w:val="18"/>
                <w:szCs w:val="18"/>
              </w:rPr>
            </w:pPr>
            <w:r>
              <w:rPr>
                <w:rFonts w:ascii="宋体" w:hAnsi="宋体" w:cs="宋体" w:eastAsia="宋体" w:hint="default"/>
                <w:b/>
                <w:bCs/>
                <w:sz w:val="18"/>
                <w:szCs w:val="18"/>
              </w:rPr>
              <w:t>经营</w:t>
            </w:r>
            <w:r>
              <w:rPr>
                <w:rFonts w:ascii="宋体" w:hAnsi="宋体" w:cs="宋体" w:eastAsia="宋体" w:hint="default"/>
                <w:b/>
                <w:bCs/>
                <w:spacing w:val="1"/>
                <w:w w:val="99"/>
                <w:sz w:val="18"/>
                <w:szCs w:val="18"/>
              </w:rPr>
              <w:t> </w:t>
            </w:r>
            <w:r>
              <w:rPr>
                <w:rFonts w:ascii="宋体" w:hAnsi="宋体" w:cs="宋体" w:eastAsia="宋体" w:hint="default"/>
                <w:b/>
                <w:bCs/>
                <w:sz w:val="18"/>
                <w:szCs w:val="18"/>
              </w:rPr>
              <w:t>范围</w:t>
            </w:r>
            <w:r>
              <w:rPr>
                <w:rFonts w:ascii="宋体" w:hAnsi="宋体" w:cs="宋体" w:eastAsia="宋体" w:hint="default"/>
                <w:sz w:val="18"/>
                <w:szCs w:val="18"/>
              </w:rPr>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0"/>
              <w:jc w:val="center"/>
              <w:rPr>
                <w:rFonts w:ascii="宋体" w:hAnsi="宋体" w:cs="宋体" w:eastAsia="宋体" w:hint="default"/>
                <w:sz w:val="18"/>
                <w:szCs w:val="18"/>
              </w:rPr>
            </w:pPr>
            <w:r>
              <w:rPr>
                <w:rFonts w:ascii="宋体" w:hAnsi="宋体" w:cs="宋体" w:eastAsia="宋体" w:hint="default"/>
                <w:b/>
                <w:bCs/>
                <w:sz w:val="18"/>
                <w:szCs w:val="18"/>
              </w:rPr>
              <w:t>注册资本</w:t>
            </w:r>
            <w:r>
              <w:rPr>
                <w:rFonts w:ascii="宋体" w:hAnsi="宋体" w:cs="宋体" w:eastAsia="宋体" w:hint="default"/>
                <w:sz w:val="18"/>
                <w:szCs w:val="18"/>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1"/>
              <w:ind w:left="200" w:right="107" w:hanging="90"/>
              <w:jc w:val="left"/>
              <w:rPr>
                <w:rFonts w:ascii="宋体" w:hAnsi="宋体" w:cs="宋体" w:eastAsia="宋体" w:hint="default"/>
                <w:sz w:val="18"/>
                <w:szCs w:val="18"/>
              </w:rPr>
            </w:pPr>
            <w:r>
              <w:rPr>
                <w:rFonts w:ascii="宋体" w:hAnsi="宋体" w:cs="宋体" w:eastAsia="宋体" w:hint="default"/>
                <w:b/>
                <w:bCs/>
                <w:sz w:val="18"/>
                <w:szCs w:val="18"/>
              </w:rPr>
              <w:t>本公司直接</w:t>
            </w:r>
            <w:r>
              <w:rPr>
                <w:rFonts w:ascii="宋体" w:hAnsi="宋体" w:cs="宋体" w:eastAsia="宋体" w:hint="default"/>
                <w:b/>
                <w:bCs/>
                <w:spacing w:val="1"/>
                <w:w w:val="99"/>
                <w:sz w:val="18"/>
                <w:szCs w:val="18"/>
              </w:rPr>
              <w:t> </w:t>
            </w:r>
            <w:r>
              <w:rPr>
                <w:rFonts w:ascii="宋体" w:hAnsi="宋体" w:cs="宋体" w:eastAsia="宋体" w:hint="default"/>
                <w:b/>
                <w:bCs/>
                <w:sz w:val="18"/>
                <w:szCs w:val="18"/>
              </w:rPr>
              <w:t>持股比例</w:t>
            </w:r>
            <w:r>
              <w:rPr>
                <w:rFonts w:ascii="宋体" w:hAnsi="宋体" w:cs="宋体" w:eastAsia="宋体" w:hint="default"/>
                <w:sz w:val="18"/>
                <w:szCs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0"/>
              <w:jc w:val="center"/>
              <w:rPr>
                <w:rFonts w:ascii="宋体" w:hAnsi="宋体" w:cs="宋体" w:eastAsia="宋体" w:hint="default"/>
                <w:sz w:val="18"/>
                <w:szCs w:val="18"/>
              </w:rPr>
            </w:pPr>
            <w:r>
              <w:rPr>
                <w:rFonts w:ascii="宋体" w:hAnsi="宋体" w:cs="宋体" w:eastAsia="宋体" w:hint="default"/>
                <w:b/>
                <w:bCs/>
                <w:sz w:val="18"/>
                <w:szCs w:val="18"/>
              </w:rPr>
              <w:t>期末总资产</w:t>
            </w:r>
            <w:r>
              <w:rPr>
                <w:rFonts w:ascii="宋体" w:hAnsi="宋体" w:cs="宋体" w:eastAsia="宋体" w:hint="default"/>
                <w:sz w:val="18"/>
                <w:szCs w:val="18"/>
              </w:rPr>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123" w:right="0"/>
              <w:jc w:val="left"/>
              <w:rPr>
                <w:rFonts w:ascii="宋体" w:hAnsi="宋体" w:cs="宋体" w:eastAsia="宋体" w:hint="default"/>
                <w:sz w:val="18"/>
                <w:szCs w:val="18"/>
              </w:rPr>
            </w:pPr>
            <w:r>
              <w:rPr>
                <w:rFonts w:ascii="宋体" w:hAnsi="宋体" w:cs="宋体" w:eastAsia="宋体" w:hint="default"/>
                <w:b/>
                <w:bCs/>
                <w:sz w:val="18"/>
                <w:szCs w:val="18"/>
              </w:rPr>
              <w:t>期末净资产</w:t>
            </w:r>
            <w:r>
              <w:rPr>
                <w:rFonts w:ascii="宋体" w:hAnsi="宋体" w:cs="宋体" w:eastAsia="宋体" w:hint="default"/>
                <w:sz w:val="18"/>
                <w:szCs w:val="18"/>
              </w:rPr>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1"/>
              <w:jc w:val="center"/>
              <w:rPr>
                <w:rFonts w:ascii="宋体" w:hAnsi="宋体" w:cs="宋体" w:eastAsia="宋体" w:hint="default"/>
                <w:sz w:val="18"/>
                <w:szCs w:val="18"/>
              </w:rPr>
            </w:pPr>
            <w:r>
              <w:rPr>
                <w:rFonts w:ascii="宋体" w:hAnsi="宋体" w:cs="宋体" w:eastAsia="宋体" w:hint="default"/>
                <w:b/>
                <w:bCs/>
                <w:sz w:val="18"/>
                <w:szCs w:val="18"/>
              </w:rPr>
              <w:t>营业收入</w:t>
            </w:r>
            <w:r>
              <w:rPr>
                <w:rFonts w:ascii="宋体" w:hAnsi="宋体" w:cs="宋体" w:eastAsia="宋体" w:hint="default"/>
                <w:sz w:val="18"/>
                <w:szCs w:val="18"/>
              </w:rPr>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1"/>
              <w:jc w:val="center"/>
              <w:rPr>
                <w:rFonts w:ascii="宋体" w:hAnsi="宋体" w:cs="宋体" w:eastAsia="宋体" w:hint="default"/>
                <w:sz w:val="18"/>
                <w:szCs w:val="18"/>
              </w:rPr>
            </w:pPr>
            <w:r>
              <w:rPr>
                <w:rFonts w:ascii="宋体" w:hAnsi="宋体" w:cs="宋体" w:eastAsia="宋体" w:hint="default"/>
                <w:b/>
                <w:bCs/>
                <w:sz w:val="18"/>
                <w:szCs w:val="18"/>
              </w:rPr>
              <w:t>营业利润</w:t>
            </w:r>
            <w:r>
              <w:rPr>
                <w:rFonts w:ascii="宋体" w:hAnsi="宋体" w:cs="宋体" w:eastAsia="宋体" w:hint="default"/>
                <w:sz w:val="18"/>
                <w:szCs w:val="18"/>
              </w:rPr>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116"/>
              <w:jc w:val="right"/>
              <w:rPr>
                <w:rFonts w:ascii="宋体" w:hAnsi="宋体" w:cs="宋体" w:eastAsia="宋体" w:hint="default"/>
                <w:sz w:val="18"/>
                <w:szCs w:val="18"/>
              </w:rPr>
            </w:pPr>
            <w:r>
              <w:rPr>
                <w:rFonts w:ascii="宋体" w:hAnsi="宋体" w:cs="宋体" w:eastAsia="宋体" w:hint="default"/>
                <w:b/>
                <w:bCs/>
                <w:w w:val="95"/>
                <w:sz w:val="18"/>
                <w:szCs w:val="18"/>
              </w:rPr>
              <w:t>当期净利润</w:t>
            </w:r>
            <w:r>
              <w:rPr>
                <w:rFonts w:ascii="宋体" w:hAnsi="宋体" w:cs="宋体" w:eastAsia="宋体" w:hint="default"/>
                <w:sz w:val="18"/>
                <w:szCs w:val="18"/>
              </w:rPr>
            </w:r>
          </w:p>
        </w:tc>
      </w:tr>
      <w:tr>
        <w:trPr>
          <w:trHeight w:val="478" w:hRule="exact"/>
        </w:trPr>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沈阳东软医疗</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系统有限公司</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经营医</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疗系统</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74" w:right="0"/>
              <w:jc w:val="center"/>
              <w:rPr>
                <w:rFonts w:ascii="宋体" w:hAnsi="宋体" w:cs="宋体" w:eastAsia="宋体" w:hint="default"/>
                <w:sz w:val="18"/>
                <w:szCs w:val="18"/>
              </w:rPr>
            </w:pPr>
            <w:r>
              <w:rPr>
                <w:rFonts w:ascii="宋体"/>
                <w:sz w:val="18"/>
              </w:rPr>
              <w:t>78,000,000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661" w:right="0"/>
              <w:jc w:val="left"/>
              <w:rPr>
                <w:rFonts w:ascii="宋体" w:hAnsi="宋体" w:cs="宋体" w:eastAsia="宋体" w:hint="default"/>
                <w:sz w:val="18"/>
                <w:szCs w:val="18"/>
              </w:rPr>
            </w:pPr>
            <w:r>
              <w:rPr>
                <w:rFonts w:ascii="宋体"/>
                <w:sz w:val="18"/>
              </w:rPr>
              <w:t>100%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 w:right="0"/>
              <w:jc w:val="center"/>
              <w:rPr>
                <w:rFonts w:ascii="宋体" w:hAnsi="宋体" w:cs="宋体" w:eastAsia="宋体" w:hint="default"/>
                <w:sz w:val="18"/>
                <w:szCs w:val="18"/>
              </w:rPr>
            </w:pPr>
            <w:r>
              <w:rPr>
                <w:rFonts w:ascii="宋体"/>
                <w:sz w:val="18"/>
              </w:rPr>
              <w:t>1,040,856,867</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81" w:right="0"/>
              <w:jc w:val="left"/>
              <w:rPr>
                <w:rFonts w:ascii="宋体" w:hAnsi="宋体" w:cs="宋体" w:eastAsia="宋体" w:hint="default"/>
                <w:sz w:val="18"/>
                <w:szCs w:val="18"/>
              </w:rPr>
            </w:pPr>
            <w:r>
              <w:rPr>
                <w:rFonts w:ascii="宋体"/>
                <w:sz w:val="18"/>
              </w:rPr>
              <w:t>682,346,399</w:t>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sz w:val="18"/>
              </w:rPr>
              <w:t>646,495,681</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 w:right="0"/>
              <w:jc w:val="center"/>
              <w:rPr>
                <w:rFonts w:ascii="宋体" w:hAnsi="宋体" w:cs="宋体" w:eastAsia="宋体" w:hint="default"/>
                <w:sz w:val="18"/>
                <w:szCs w:val="18"/>
              </w:rPr>
            </w:pPr>
            <w:r>
              <w:rPr>
                <w:rFonts w:ascii="宋体"/>
                <w:sz w:val="18"/>
              </w:rPr>
              <w:t>79,126,871</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19"/>
              <w:jc w:val="right"/>
              <w:rPr>
                <w:rFonts w:ascii="宋体" w:hAnsi="宋体" w:cs="宋体" w:eastAsia="宋体" w:hint="default"/>
                <w:sz w:val="18"/>
                <w:szCs w:val="18"/>
              </w:rPr>
            </w:pPr>
            <w:r>
              <w:rPr>
                <w:rFonts w:ascii="宋体"/>
                <w:sz w:val="18"/>
              </w:rPr>
              <w:t>73,432,689</w:t>
            </w:r>
          </w:p>
        </w:tc>
      </w:tr>
    </w:tbl>
    <w:p>
      <w:pPr>
        <w:spacing w:line="240" w:lineRule="auto" w:before="10"/>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type w:val="continuous"/>
          <w:pgSz w:w="11910" w:h="16840"/>
          <w:pgMar w:top="1600" w:bottom="280" w:left="700" w:right="620"/>
        </w:sectPr>
      </w:pPr>
    </w:p>
    <w:p>
      <w:pPr>
        <w:pStyle w:val="BodyText"/>
        <w:spacing w:line="240" w:lineRule="auto" w:before="26"/>
        <w:ind w:left="660" w:right="-20"/>
        <w:jc w:val="left"/>
      </w:pPr>
      <w:r>
        <w:rPr/>
        <w:t>（4）其他主要公司</w:t>
      </w:r>
    </w:p>
    <w:p>
      <w:pPr>
        <w:spacing w:line="240" w:lineRule="auto" w:before="0"/>
        <w:rPr>
          <w:rFonts w:ascii="宋体" w:hAnsi="宋体" w:cs="宋体" w:eastAsia="宋体" w:hint="default"/>
          <w:sz w:val="26"/>
          <w:szCs w:val="26"/>
        </w:rPr>
      </w:pPr>
      <w:r>
        <w:rPr/>
        <w:br w:type="column"/>
      </w:r>
      <w:r>
        <w:rPr>
          <w:rFonts w:ascii="宋体"/>
          <w:sz w:val="26"/>
        </w:rPr>
      </w:r>
    </w:p>
    <w:p>
      <w:pPr>
        <w:tabs>
          <w:tab w:pos="1605" w:val="left" w:leader="none"/>
        </w:tabs>
        <w:spacing w:before="0"/>
        <w:ind w:left="660" w:right="0" w:firstLine="0"/>
        <w:jc w:val="lef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after="0"/>
        <w:jc w:val="left"/>
        <w:rPr>
          <w:rFonts w:ascii="宋体" w:hAnsi="宋体" w:cs="宋体" w:eastAsia="宋体" w:hint="default"/>
          <w:sz w:val="21"/>
          <w:szCs w:val="21"/>
        </w:rPr>
        <w:sectPr>
          <w:type w:val="continuous"/>
          <w:pgSz w:w="11910" w:h="16840"/>
          <w:pgMar w:top="1600" w:bottom="280" w:left="700" w:right="620"/>
          <w:cols w:num="2" w:equalWidth="0">
            <w:col w:w="2701" w:space="4442"/>
            <w:col w:w="3447"/>
          </w:cols>
        </w:sectPr>
      </w:pP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2527"/>
        <w:gridCol w:w="1655"/>
        <w:gridCol w:w="1345"/>
        <w:gridCol w:w="958"/>
        <w:gridCol w:w="1270"/>
        <w:gridCol w:w="1271"/>
        <w:gridCol w:w="1270"/>
      </w:tblGrid>
      <w:tr>
        <w:trPr>
          <w:trHeight w:val="710" w:hRule="exact"/>
        </w:trPr>
        <w:tc>
          <w:tcPr>
            <w:tcW w:w="2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626" w:right="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tc>
        <w:tc>
          <w:tcPr>
            <w:tcW w:w="1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460" w:right="0"/>
              <w:jc w:val="left"/>
              <w:rPr>
                <w:rFonts w:ascii="宋体" w:hAnsi="宋体" w:cs="宋体" w:eastAsia="宋体" w:hint="default"/>
                <w:sz w:val="18"/>
                <w:szCs w:val="18"/>
              </w:rPr>
            </w:pPr>
            <w:r>
              <w:rPr>
                <w:rFonts w:ascii="宋体" w:hAnsi="宋体" w:cs="宋体" w:eastAsia="宋体" w:hint="default"/>
                <w:b/>
                <w:bCs/>
                <w:sz w:val="18"/>
                <w:szCs w:val="18"/>
              </w:rPr>
              <w:t>经营范围</w:t>
            </w:r>
            <w:r>
              <w:rPr>
                <w:rFonts w:ascii="宋体" w:hAnsi="宋体" w:cs="宋体" w:eastAsia="宋体" w:hint="default"/>
                <w:sz w:val="18"/>
                <w:szCs w:val="18"/>
              </w:rPr>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305" w:right="0"/>
              <w:jc w:val="left"/>
              <w:rPr>
                <w:rFonts w:ascii="宋体" w:hAnsi="宋体" w:cs="宋体" w:eastAsia="宋体" w:hint="default"/>
                <w:sz w:val="18"/>
                <w:szCs w:val="18"/>
              </w:rPr>
            </w:pPr>
            <w:r>
              <w:rPr>
                <w:rFonts w:ascii="宋体" w:hAnsi="宋体" w:cs="宋体" w:eastAsia="宋体" w:hint="default"/>
                <w:b/>
                <w:bCs/>
                <w:sz w:val="18"/>
                <w:szCs w:val="18"/>
              </w:rPr>
              <w:t>注册资本</w:t>
            </w:r>
            <w:r>
              <w:rPr>
                <w:rFonts w:ascii="宋体" w:hAnsi="宋体" w:cs="宋体" w:eastAsia="宋体" w:hint="default"/>
                <w:sz w:val="18"/>
                <w:szCs w:val="18"/>
              </w:rPr>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01" w:right="0" w:hanging="89"/>
              <w:jc w:val="left"/>
              <w:rPr>
                <w:rFonts w:ascii="宋体" w:hAnsi="宋体" w:cs="宋体" w:eastAsia="宋体" w:hint="default"/>
                <w:sz w:val="18"/>
                <w:szCs w:val="18"/>
              </w:rPr>
            </w:pPr>
            <w:r>
              <w:rPr>
                <w:rFonts w:ascii="宋体" w:hAnsi="宋体" w:cs="宋体" w:eastAsia="宋体" w:hint="default"/>
                <w:b/>
                <w:bCs/>
                <w:sz w:val="18"/>
                <w:szCs w:val="18"/>
              </w:rPr>
              <w:t>本公司直</w:t>
            </w:r>
            <w:r>
              <w:rPr>
                <w:rFonts w:ascii="宋体" w:hAnsi="宋体" w:cs="宋体" w:eastAsia="宋体" w:hint="default"/>
                <w:sz w:val="18"/>
                <w:szCs w:val="18"/>
              </w:rPr>
            </w:r>
          </w:p>
          <w:p>
            <w:pPr>
              <w:pStyle w:val="TableParagraph"/>
              <w:spacing w:line="232" w:lineRule="exact" w:before="24"/>
              <w:ind w:left="292" w:right="200" w:hanging="92"/>
              <w:jc w:val="left"/>
              <w:rPr>
                <w:rFonts w:ascii="宋体" w:hAnsi="宋体" w:cs="宋体" w:eastAsia="宋体" w:hint="default"/>
                <w:sz w:val="18"/>
                <w:szCs w:val="18"/>
              </w:rPr>
            </w:pPr>
            <w:r>
              <w:rPr>
                <w:rFonts w:ascii="宋体" w:hAnsi="宋体" w:cs="宋体" w:eastAsia="宋体" w:hint="default"/>
                <w:b/>
                <w:bCs/>
                <w:sz w:val="18"/>
                <w:szCs w:val="18"/>
              </w:rPr>
              <w:t>接持股</w:t>
            </w:r>
            <w:r>
              <w:rPr>
                <w:rFonts w:ascii="宋体" w:hAnsi="宋体" w:cs="宋体" w:eastAsia="宋体" w:hint="default"/>
                <w:b/>
                <w:bCs/>
                <w:spacing w:val="1"/>
                <w:w w:val="99"/>
                <w:sz w:val="18"/>
                <w:szCs w:val="18"/>
              </w:rPr>
              <w:t> </w:t>
            </w:r>
            <w:r>
              <w:rPr>
                <w:rFonts w:ascii="宋体" w:hAnsi="宋体" w:cs="宋体" w:eastAsia="宋体" w:hint="default"/>
                <w:b/>
                <w:bCs/>
                <w:sz w:val="18"/>
                <w:szCs w:val="18"/>
              </w:rPr>
              <w:t>比例</w:t>
            </w:r>
            <w:r>
              <w:rPr>
                <w:rFonts w:ascii="宋体" w:hAnsi="宋体" w:cs="宋体" w:eastAsia="宋体" w:hint="default"/>
                <w:sz w:val="18"/>
                <w:szCs w:val="18"/>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77" w:right="0"/>
              <w:jc w:val="left"/>
              <w:rPr>
                <w:rFonts w:ascii="宋体" w:hAnsi="宋体" w:cs="宋体" w:eastAsia="宋体" w:hint="default"/>
                <w:sz w:val="18"/>
                <w:szCs w:val="18"/>
              </w:rPr>
            </w:pPr>
            <w:r>
              <w:rPr>
                <w:rFonts w:ascii="宋体" w:hAnsi="宋体" w:cs="宋体" w:eastAsia="宋体" w:hint="default"/>
                <w:b/>
                <w:bCs/>
                <w:sz w:val="18"/>
                <w:szCs w:val="18"/>
              </w:rPr>
              <w:t>期末总资产</w:t>
            </w:r>
            <w:r>
              <w:rPr>
                <w:rFonts w:ascii="宋体" w:hAnsi="宋体" w:cs="宋体" w:eastAsia="宋体" w:hint="default"/>
                <w:sz w:val="18"/>
                <w:szCs w:val="18"/>
              </w:rPr>
            </w:r>
          </w:p>
        </w:tc>
        <w:tc>
          <w:tcPr>
            <w:tcW w:w="1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77" w:right="0"/>
              <w:jc w:val="left"/>
              <w:rPr>
                <w:rFonts w:ascii="宋体" w:hAnsi="宋体" w:cs="宋体" w:eastAsia="宋体" w:hint="default"/>
                <w:sz w:val="18"/>
                <w:szCs w:val="18"/>
              </w:rPr>
            </w:pPr>
            <w:r>
              <w:rPr>
                <w:rFonts w:ascii="宋体" w:hAnsi="宋体" w:cs="宋体" w:eastAsia="宋体" w:hint="default"/>
                <w:b/>
                <w:bCs/>
                <w:sz w:val="18"/>
                <w:szCs w:val="18"/>
              </w:rPr>
              <w:t>期末净资产</w:t>
            </w:r>
            <w:r>
              <w:rPr>
                <w:rFonts w:ascii="宋体" w:hAnsi="宋体" w:cs="宋体" w:eastAsia="宋体" w:hint="default"/>
                <w:sz w:val="18"/>
                <w:szCs w:val="18"/>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77" w:right="0"/>
              <w:jc w:val="left"/>
              <w:rPr>
                <w:rFonts w:ascii="宋体" w:hAnsi="宋体" w:cs="宋体" w:eastAsia="宋体" w:hint="default"/>
                <w:sz w:val="18"/>
                <w:szCs w:val="18"/>
              </w:rPr>
            </w:pPr>
            <w:r>
              <w:rPr>
                <w:rFonts w:ascii="宋体" w:hAnsi="宋体" w:cs="宋体" w:eastAsia="宋体" w:hint="default"/>
                <w:b/>
                <w:bCs/>
                <w:sz w:val="18"/>
                <w:szCs w:val="18"/>
              </w:rPr>
              <w:t>当期净利润</w:t>
            </w:r>
            <w:r>
              <w:rPr>
                <w:rFonts w:ascii="宋体" w:hAnsi="宋体" w:cs="宋体" w:eastAsia="宋体" w:hint="default"/>
                <w:sz w:val="18"/>
                <w:szCs w:val="18"/>
              </w:rPr>
            </w:r>
          </w:p>
        </w:tc>
      </w:tr>
      <w:tr>
        <w:trPr>
          <w:trHeight w:val="557" w:hRule="exact"/>
        </w:trPr>
        <w:tc>
          <w:tcPr>
            <w:tcW w:w="2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2" w:right="0"/>
              <w:jc w:val="left"/>
              <w:rPr>
                <w:rFonts w:ascii="宋体" w:hAnsi="宋体" w:cs="宋体" w:eastAsia="宋体" w:hint="default"/>
                <w:sz w:val="18"/>
                <w:szCs w:val="18"/>
              </w:rPr>
            </w:pPr>
            <w:r>
              <w:rPr>
                <w:rFonts w:ascii="宋体" w:hAnsi="宋体" w:cs="宋体" w:eastAsia="宋体" w:hint="default"/>
                <w:sz w:val="18"/>
                <w:szCs w:val="18"/>
              </w:rPr>
              <w:t>东软集团（大连）有限公司</w:t>
            </w:r>
          </w:p>
        </w:tc>
        <w:tc>
          <w:tcPr>
            <w:tcW w:w="1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101"/>
              <w:jc w:val="left"/>
              <w:rPr>
                <w:rFonts w:ascii="宋体" w:hAnsi="宋体" w:cs="宋体" w:eastAsia="宋体" w:hint="default"/>
                <w:sz w:val="18"/>
                <w:szCs w:val="18"/>
              </w:rPr>
            </w:pPr>
            <w:r>
              <w:rPr>
                <w:rFonts w:ascii="宋体" w:hAnsi="宋体" w:cs="宋体" w:eastAsia="宋体" w:hint="default"/>
                <w:sz w:val="18"/>
                <w:szCs w:val="18"/>
              </w:rPr>
              <w:t>经营计算机软、硬 件</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01"/>
              <w:jc w:val="right"/>
              <w:rPr>
                <w:rFonts w:ascii="宋体" w:hAnsi="宋体" w:cs="宋体" w:eastAsia="宋体" w:hint="default"/>
                <w:sz w:val="18"/>
                <w:szCs w:val="18"/>
              </w:rPr>
            </w:pPr>
            <w:r>
              <w:rPr>
                <w:rFonts w:ascii="宋体"/>
                <w:sz w:val="18"/>
              </w:rPr>
              <w:t>100,000,000</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01"/>
              <w:jc w:val="right"/>
              <w:rPr>
                <w:rFonts w:ascii="宋体" w:hAnsi="宋体" w:cs="宋体" w:eastAsia="宋体" w:hint="default"/>
                <w:sz w:val="18"/>
                <w:szCs w:val="18"/>
              </w:rPr>
            </w:pPr>
            <w:r>
              <w:rPr>
                <w:rFonts w:ascii="宋体"/>
                <w:sz w:val="18"/>
              </w:rPr>
              <w:t>100%</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66" w:right="0"/>
              <w:jc w:val="left"/>
              <w:rPr>
                <w:rFonts w:ascii="宋体" w:hAnsi="宋体" w:cs="宋体" w:eastAsia="宋体" w:hint="default"/>
                <w:sz w:val="18"/>
                <w:szCs w:val="18"/>
              </w:rPr>
            </w:pPr>
            <w:r>
              <w:rPr>
                <w:rFonts w:ascii="宋体"/>
                <w:sz w:val="18"/>
              </w:rPr>
              <w:t>694,061,047</w:t>
            </w:r>
          </w:p>
        </w:tc>
        <w:tc>
          <w:tcPr>
            <w:tcW w:w="1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02"/>
              <w:jc w:val="right"/>
              <w:rPr>
                <w:rFonts w:ascii="宋体" w:hAnsi="宋体" w:cs="宋体" w:eastAsia="宋体" w:hint="default"/>
                <w:sz w:val="18"/>
                <w:szCs w:val="18"/>
              </w:rPr>
            </w:pPr>
            <w:r>
              <w:rPr>
                <w:rFonts w:ascii="宋体"/>
                <w:sz w:val="18"/>
              </w:rPr>
              <w:t>110,283,376</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01"/>
              <w:jc w:val="right"/>
              <w:rPr>
                <w:rFonts w:ascii="宋体" w:hAnsi="宋体" w:cs="宋体" w:eastAsia="宋体" w:hint="default"/>
                <w:sz w:val="18"/>
                <w:szCs w:val="18"/>
              </w:rPr>
            </w:pPr>
            <w:r>
              <w:rPr>
                <w:rFonts w:ascii="宋体"/>
                <w:sz w:val="18"/>
              </w:rPr>
              <w:t>16,709,617</w:t>
            </w:r>
          </w:p>
        </w:tc>
      </w:tr>
      <w:tr>
        <w:trPr>
          <w:trHeight w:val="478" w:hRule="exact"/>
        </w:trPr>
        <w:tc>
          <w:tcPr>
            <w:tcW w:w="2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沈阳东软信息技术有限公司</w:t>
            </w:r>
          </w:p>
        </w:tc>
        <w:tc>
          <w:tcPr>
            <w:tcW w:w="165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经营计算机软、硬</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件</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310,000,000</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100%</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66" w:right="0"/>
              <w:jc w:val="left"/>
              <w:rPr>
                <w:rFonts w:ascii="宋体" w:hAnsi="宋体" w:cs="宋体" w:eastAsia="宋体" w:hint="default"/>
                <w:sz w:val="18"/>
                <w:szCs w:val="18"/>
              </w:rPr>
            </w:pPr>
            <w:r>
              <w:rPr>
                <w:rFonts w:ascii="宋体"/>
                <w:sz w:val="18"/>
              </w:rPr>
              <w:t>966,355,444</w:t>
            </w:r>
          </w:p>
        </w:tc>
        <w:tc>
          <w:tcPr>
            <w:tcW w:w="1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sz w:val="18"/>
              </w:rPr>
              <w:t>372,640,024</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21,904,838</w:t>
            </w:r>
          </w:p>
        </w:tc>
      </w:tr>
      <w:tr>
        <w:trPr>
          <w:trHeight w:val="476" w:hRule="exact"/>
        </w:trPr>
        <w:tc>
          <w:tcPr>
            <w:tcW w:w="2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东软（日本）有限公司</w:t>
            </w:r>
          </w:p>
        </w:tc>
        <w:tc>
          <w:tcPr>
            <w:tcW w:w="165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经营计算机软、硬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件</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13,511,889</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100%</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66" w:right="0"/>
              <w:jc w:val="left"/>
              <w:rPr>
                <w:rFonts w:ascii="宋体" w:hAnsi="宋体" w:cs="宋体" w:eastAsia="宋体" w:hint="default"/>
                <w:sz w:val="18"/>
                <w:szCs w:val="18"/>
              </w:rPr>
            </w:pPr>
            <w:r>
              <w:rPr>
                <w:rFonts w:ascii="宋体"/>
                <w:sz w:val="18"/>
              </w:rPr>
              <w:t>179,440,948</w:t>
            </w:r>
          </w:p>
        </w:tc>
        <w:tc>
          <w:tcPr>
            <w:tcW w:w="1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sz w:val="18"/>
              </w:rPr>
              <w:t>71,068,171</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14,140,858</w:t>
            </w:r>
          </w:p>
        </w:tc>
      </w:tr>
      <w:tr>
        <w:trPr>
          <w:trHeight w:val="542" w:hRule="exact"/>
        </w:trPr>
        <w:tc>
          <w:tcPr>
            <w:tcW w:w="2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103" w:right="0"/>
              <w:jc w:val="left"/>
              <w:rPr>
                <w:rFonts w:ascii="宋体" w:hAnsi="宋体" w:cs="宋体" w:eastAsia="宋体" w:hint="default"/>
                <w:sz w:val="18"/>
                <w:szCs w:val="18"/>
              </w:rPr>
            </w:pPr>
            <w:r>
              <w:rPr>
                <w:rFonts w:ascii="宋体" w:hAnsi="宋体" w:cs="宋体" w:eastAsia="宋体" w:hint="default"/>
                <w:sz w:val="18"/>
                <w:szCs w:val="18"/>
              </w:rPr>
              <w:t>东软（香港）有限公司</w:t>
            </w:r>
          </w:p>
        </w:tc>
        <w:tc>
          <w:tcPr>
            <w:tcW w:w="1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101"/>
              <w:jc w:val="left"/>
              <w:rPr>
                <w:rFonts w:ascii="宋体" w:hAnsi="宋体" w:cs="宋体" w:eastAsia="宋体" w:hint="default"/>
                <w:sz w:val="18"/>
                <w:szCs w:val="18"/>
              </w:rPr>
            </w:pPr>
            <w:r>
              <w:rPr>
                <w:rFonts w:ascii="宋体" w:hAnsi="宋体" w:cs="宋体" w:eastAsia="宋体" w:hint="default"/>
                <w:sz w:val="18"/>
                <w:szCs w:val="18"/>
              </w:rPr>
              <w:t>计算机软件开发、 销售、咨询</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宋体" w:hAnsi="宋体" w:cs="宋体" w:eastAsia="宋体" w:hint="default"/>
                <w:sz w:val="18"/>
                <w:szCs w:val="18"/>
              </w:rPr>
            </w:pPr>
            <w:r>
              <w:rPr>
                <w:rFonts w:ascii="宋体"/>
                <w:sz w:val="18"/>
              </w:rPr>
              <w:t>7,037,915</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宋体" w:hAnsi="宋体" w:cs="宋体" w:eastAsia="宋体" w:hint="default"/>
                <w:sz w:val="18"/>
                <w:szCs w:val="18"/>
              </w:rPr>
            </w:pPr>
            <w:r>
              <w:rPr>
                <w:rFonts w:ascii="宋体"/>
                <w:sz w:val="18"/>
              </w:rPr>
              <w:t>100%</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166" w:right="0"/>
              <w:jc w:val="left"/>
              <w:rPr>
                <w:rFonts w:ascii="宋体" w:hAnsi="宋体" w:cs="宋体" w:eastAsia="宋体" w:hint="default"/>
                <w:sz w:val="18"/>
                <w:szCs w:val="18"/>
              </w:rPr>
            </w:pPr>
            <w:r>
              <w:rPr>
                <w:rFonts w:ascii="宋体"/>
                <w:sz w:val="18"/>
              </w:rPr>
              <w:t>103,346,951</w:t>
            </w:r>
          </w:p>
        </w:tc>
        <w:tc>
          <w:tcPr>
            <w:tcW w:w="1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2"/>
              <w:jc w:val="right"/>
              <w:rPr>
                <w:rFonts w:ascii="宋体" w:hAnsi="宋体" w:cs="宋体" w:eastAsia="宋体" w:hint="default"/>
                <w:sz w:val="18"/>
                <w:szCs w:val="18"/>
              </w:rPr>
            </w:pPr>
            <w:r>
              <w:rPr>
                <w:rFonts w:ascii="宋体"/>
                <w:sz w:val="18"/>
              </w:rPr>
              <w:t>96,090,979</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宋体" w:hAnsi="宋体" w:cs="宋体" w:eastAsia="宋体" w:hint="default"/>
                <w:sz w:val="18"/>
                <w:szCs w:val="18"/>
              </w:rPr>
            </w:pPr>
            <w:r>
              <w:rPr>
                <w:rFonts w:ascii="宋体"/>
                <w:sz w:val="18"/>
              </w:rPr>
              <w:t>5,790,052</w:t>
            </w:r>
          </w:p>
        </w:tc>
      </w:tr>
      <w:tr>
        <w:trPr>
          <w:trHeight w:val="478" w:hRule="exact"/>
        </w:trPr>
        <w:tc>
          <w:tcPr>
            <w:tcW w:w="252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大连东软金融信息技术有限</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65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经营计算机软、硬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件</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24,834,412</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69%</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66" w:right="0"/>
              <w:jc w:val="left"/>
              <w:rPr>
                <w:rFonts w:ascii="宋体" w:hAnsi="宋体" w:cs="宋体" w:eastAsia="宋体" w:hint="default"/>
                <w:sz w:val="18"/>
                <w:szCs w:val="18"/>
              </w:rPr>
            </w:pPr>
            <w:r>
              <w:rPr>
                <w:rFonts w:ascii="宋体"/>
                <w:sz w:val="18"/>
              </w:rPr>
              <w:t>694,061,047</w:t>
            </w:r>
          </w:p>
        </w:tc>
        <w:tc>
          <w:tcPr>
            <w:tcW w:w="12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sz w:val="18"/>
              </w:rPr>
              <w:t>110,283,376</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16,709,617</w:t>
            </w:r>
          </w:p>
        </w:tc>
      </w:tr>
    </w:tbl>
    <w:p>
      <w:pPr>
        <w:spacing w:line="240" w:lineRule="auto" w:before="10"/>
        <w:rPr>
          <w:rFonts w:ascii="宋体" w:hAnsi="宋体" w:cs="宋体" w:eastAsia="宋体" w:hint="default"/>
          <w:sz w:val="18"/>
          <w:szCs w:val="18"/>
        </w:rPr>
      </w:pPr>
    </w:p>
    <w:p>
      <w:pPr>
        <w:pStyle w:val="BodyText"/>
        <w:spacing w:line="310" w:lineRule="exact" w:before="58"/>
        <w:ind w:left="660" w:right="664"/>
        <w:jc w:val="left"/>
      </w:pPr>
      <w:r>
        <w:rPr>
          <w:spacing w:val="-2"/>
        </w:rPr>
        <w:t>注：报告期内，公司未有来源于单个参股公司的投资收益对公司净利润影响达到</w:t>
      </w:r>
      <w:r>
        <w:rPr>
          <w:spacing w:val="-50"/>
        </w:rPr>
        <w:t> </w:t>
      </w:r>
      <w:r>
        <w:rPr/>
        <w:t>10%以上</w:t>
      </w:r>
      <w:r>
        <w:rPr/>
        <w:t> 的情况。</w:t>
      </w:r>
    </w:p>
    <w:p>
      <w:pPr>
        <w:spacing w:line="240" w:lineRule="auto" w:before="7"/>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type w:val="continuous"/>
          <w:pgSz w:w="11910" w:h="16840"/>
          <w:pgMar w:top="1600" w:bottom="280" w:left="700" w:right="620"/>
        </w:sectPr>
      </w:pPr>
    </w:p>
    <w:p>
      <w:pPr>
        <w:pStyle w:val="BodyText"/>
        <w:spacing w:line="240" w:lineRule="auto" w:before="26"/>
        <w:ind w:left="780" w:right="-20"/>
        <w:jc w:val="left"/>
      </w:pPr>
      <w:r>
        <w:rPr/>
        <w:t>（5）主要供应商、客户情况</w:t>
      </w:r>
    </w:p>
    <w:p>
      <w:pPr>
        <w:spacing w:line="240" w:lineRule="auto" w:before="0"/>
        <w:rPr>
          <w:rFonts w:ascii="宋体" w:hAnsi="宋体" w:cs="宋体" w:eastAsia="宋体" w:hint="default"/>
          <w:sz w:val="26"/>
          <w:szCs w:val="26"/>
        </w:rPr>
      </w:pPr>
      <w:r>
        <w:rPr/>
        <w:br w:type="column"/>
      </w:r>
      <w:r>
        <w:rPr>
          <w:rFonts w:ascii="宋体"/>
          <w:sz w:val="26"/>
        </w:rPr>
      </w:r>
    </w:p>
    <w:p>
      <w:pPr>
        <w:tabs>
          <w:tab w:pos="1726" w:val="left" w:leader="none"/>
        </w:tabs>
        <w:spacing w:before="0"/>
        <w:ind w:left="780" w:right="0" w:firstLine="0"/>
        <w:jc w:val="lef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after="0"/>
        <w:jc w:val="left"/>
        <w:rPr>
          <w:rFonts w:ascii="宋体" w:hAnsi="宋体" w:cs="宋体" w:eastAsia="宋体" w:hint="default"/>
          <w:sz w:val="21"/>
          <w:szCs w:val="21"/>
        </w:rPr>
        <w:sectPr>
          <w:type w:val="continuous"/>
          <w:pgSz w:w="11910" w:h="16840"/>
          <w:pgMar w:top="1600" w:bottom="280" w:left="700" w:right="620"/>
          <w:cols w:num="2" w:equalWidth="0">
            <w:col w:w="3781" w:space="3241"/>
            <w:col w:w="3568"/>
          </w:cols>
        </w:sectPr>
      </w:pPr>
    </w:p>
    <w:p>
      <w:pPr>
        <w:spacing w:line="240" w:lineRule="auto" w:before="7"/>
        <w:rPr>
          <w:rFonts w:ascii="宋体" w:hAnsi="宋体" w:cs="宋体" w:eastAsia="宋体" w:hint="default"/>
          <w:sz w:val="2"/>
          <w:szCs w:val="2"/>
        </w:rPr>
      </w:pPr>
    </w:p>
    <w:tbl>
      <w:tblPr>
        <w:tblW w:w="0" w:type="auto"/>
        <w:jc w:val="left"/>
        <w:tblInd w:w="654" w:type="dxa"/>
        <w:tblLayout w:type="fixed"/>
        <w:tblCellMar>
          <w:top w:w="0" w:type="dxa"/>
          <w:left w:w="0" w:type="dxa"/>
          <w:bottom w:w="0" w:type="dxa"/>
          <w:right w:w="0" w:type="dxa"/>
        </w:tblCellMar>
        <w:tblLook w:val="01E0"/>
      </w:tblPr>
      <w:tblGrid>
        <w:gridCol w:w="3395"/>
        <w:gridCol w:w="1872"/>
        <w:gridCol w:w="2585"/>
        <w:gridCol w:w="1392"/>
      </w:tblGrid>
      <w:tr>
        <w:trPr>
          <w:trHeight w:val="370"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
              <w:jc w:val="center"/>
              <w:rPr>
                <w:rFonts w:ascii="宋体" w:hAnsi="宋体" w:cs="宋体" w:eastAsia="宋体" w:hint="default"/>
                <w:sz w:val="18"/>
                <w:szCs w:val="18"/>
              </w:rPr>
            </w:pPr>
            <w:r>
              <w:rPr>
                <w:rFonts w:ascii="宋体" w:hAnsi="宋体" w:cs="宋体" w:eastAsia="宋体" w:hint="default"/>
                <w:sz w:val="18"/>
                <w:szCs w:val="18"/>
              </w:rPr>
              <w:t>前五名供应商采购金额合计</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sz w:val="18"/>
              </w:rPr>
              <w:t>619,655,795</w:t>
            </w:r>
          </w:p>
        </w:tc>
        <w:tc>
          <w:tcPr>
            <w:tcW w:w="2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
              <w:jc w:val="center"/>
              <w:rPr>
                <w:rFonts w:ascii="宋体" w:hAnsi="宋体" w:cs="宋体" w:eastAsia="宋体" w:hint="default"/>
                <w:sz w:val="18"/>
                <w:szCs w:val="18"/>
              </w:rPr>
            </w:pPr>
            <w:r>
              <w:rPr>
                <w:rFonts w:ascii="宋体" w:hAnsi="宋体" w:cs="宋体" w:eastAsia="宋体" w:hint="default"/>
                <w:sz w:val="18"/>
                <w:szCs w:val="18"/>
              </w:rPr>
              <w:t>占采购总额比重（</w:t>
            </w:r>
            <w:r>
              <w:rPr>
                <w:rFonts w:ascii="Arial" w:hAnsi="Arial" w:cs="Arial" w:eastAsia="Arial" w:hint="default"/>
                <w:sz w:val="18"/>
                <w:szCs w:val="18"/>
              </w:rPr>
              <w:t>%</w:t>
            </w:r>
            <w:r>
              <w:rPr>
                <w:rFonts w:ascii="宋体" w:hAnsi="宋体" w:cs="宋体" w:eastAsia="宋体" w:hint="default"/>
                <w:sz w:val="18"/>
                <w:szCs w:val="18"/>
              </w:rPr>
              <w:t>）</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sz w:val="18"/>
              </w:rPr>
              <w:t>48.4%</w:t>
            </w:r>
          </w:p>
        </w:tc>
      </w:tr>
      <w:tr>
        <w:trPr>
          <w:trHeight w:val="371"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
              <w:jc w:val="center"/>
              <w:rPr>
                <w:rFonts w:ascii="宋体" w:hAnsi="宋体" w:cs="宋体" w:eastAsia="宋体" w:hint="default"/>
                <w:sz w:val="18"/>
                <w:szCs w:val="18"/>
              </w:rPr>
            </w:pPr>
            <w:r>
              <w:rPr>
                <w:rFonts w:ascii="宋体" w:hAnsi="宋体" w:cs="宋体" w:eastAsia="宋体" w:hint="default"/>
                <w:sz w:val="18"/>
                <w:szCs w:val="18"/>
              </w:rPr>
              <w:t>前五名销售客户销售金额合计</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sz w:val="18"/>
              </w:rPr>
              <w:t>741,493,483</w:t>
            </w:r>
          </w:p>
        </w:tc>
        <w:tc>
          <w:tcPr>
            <w:tcW w:w="2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
              <w:jc w:val="center"/>
              <w:rPr>
                <w:rFonts w:ascii="宋体" w:hAnsi="宋体" w:cs="宋体" w:eastAsia="宋体" w:hint="default"/>
                <w:sz w:val="18"/>
                <w:szCs w:val="18"/>
              </w:rPr>
            </w:pPr>
            <w:r>
              <w:rPr>
                <w:rFonts w:ascii="宋体" w:hAnsi="宋体" w:cs="宋体" w:eastAsia="宋体" w:hint="default"/>
                <w:sz w:val="18"/>
                <w:szCs w:val="18"/>
              </w:rPr>
              <w:t>占销售总额比重（</w:t>
            </w:r>
            <w:r>
              <w:rPr>
                <w:rFonts w:ascii="Arial" w:hAnsi="Arial" w:cs="Arial" w:eastAsia="Arial" w:hint="default"/>
                <w:sz w:val="18"/>
                <w:szCs w:val="18"/>
              </w:rPr>
              <w:t>%</w:t>
            </w:r>
            <w:r>
              <w:rPr>
                <w:rFonts w:ascii="宋体" w:hAnsi="宋体" w:cs="宋体" w:eastAsia="宋体" w:hint="default"/>
                <w:sz w:val="18"/>
                <w:szCs w:val="18"/>
              </w:rPr>
              <w:t>）</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sz w:val="18"/>
              </w:rPr>
              <w:t>17.8%</w:t>
            </w:r>
          </w:p>
        </w:tc>
      </w:tr>
    </w:tbl>
    <w:p>
      <w:pPr>
        <w:spacing w:line="240" w:lineRule="auto" w:before="10"/>
        <w:rPr>
          <w:rFonts w:ascii="宋体" w:hAnsi="宋体" w:cs="宋体" w:eastAsia="宋体" w:hint="default"/>
          <w:sz w:val="18"/>
          <w:szCs w:val="18"/>
        </w:rPr>
      </w:pPr>
    </w:p>
    <w:p>
      <w:pPr>
        <w:spacing w:line="312" w:lineRule="exact" w:before="56"/>
        <w:ind w:left="1140" w:right="260" w:hanging="480"/>
        <w:jc w:val="left"/>
        <w:rPr>
          <w:rFonts w:ascii="宋体" w:hAnsi="宋体" w:cs="宋体" w:eastAsia="宋体" w:hint="default"/>
          <w:sz w:val="24"/>
          <w:szCs w:val="24"/>
        </w:rPr>
      </w:pPr>
      <w:r>
        <w:rPr>
          <w:rFonts w:ascii="宋体" w:hAnsi="宋体" w:cs="宋体" w:eastAsia="宋体" w:hint="default"/>
          <w:b/>
          <w:bCs/>
          <w:sz w:val="24"/>
          <w:szCs w:val="24"/>
        </w:rPr>
        <w:t>7、同公允价值计量相关的内部控制制度情况</w:t>
      </w:r>
      <w:r>
        <w:rPr>
          <w:rFonts w:ascii="宋体" w:hAnsi="宋体" w:cs="宋体" w:eastAsia="宋体" w:hint="default"/>
          <w:b/>
          <w:bCs/>
          <w:w w:val="99"/>
          <w:sz w:val="24"/>
          <w:szCs w:val="24"/>
        </w:rPr>
        <w:t> </w:t>
      </w:r>
      <w:r>
        <w:rPr>
          <w:rFonts w:ascii="宋体" w:hAnsi="宋体" w:cs="宋体" w:eastAsia="宋体" w:hint="default"/>
          <w:spacing w:val="-4"/>
          <w:sz w:val="24"/>
          <w:szCs w:val="24"/>
        </w:rPr>
        <w:t>公司根据《企业会计准则》及《企业内部控制基本规范》的规定，制定了公允价值相</w:t>
      </w:r>
    </w:p>
    <w:p>
      <w:pPr>
        <w:pStyle w:val="BodyText"/>
        <w:spacing w:line="281" w:lineRule="exact"/>
        <w:ind w:left="660" w:right="0"/>
        <w:jc w:val="both"/>
      </w:pPr>
      <w:r>
        <w:rPr>
          <w:spacing w:val="-4"/>
        </w:rPr>
        <w:t>关的内部控制制度，对公允价值的使用、取得、计量、披露都作了明确的规定。财务核算</w:t>
      </w:r>
    </w:p>
    <w:p>
      <w:pPr>
        <w:pStyle w:val="BodyText"/>
        <w:spacing w:line="237" w:lineRule="auto" w:before="1"/>
        <w:ind w:left="660" w:right="679"/>
        <w:jc w:val="both"/>
      </w:pPr>
      <w:r>
        <w:rPr>
          <w:spacing w:val="-4"/>
        </w:rPr>
        <w:t>方面，公司严格按照企业会计准则的相关规定进行核算与披露；在内部审核方面，公司指</w:t>
      </w:r>
      <w:r>
        <w:rPr>
          <w:spacing w:val="-84"/>
        </w:rPr>
        <w:t> </w:t>
      </w:r>
      <w:r>
        <w:rPr>
          <w:spacing w:val="-84"/>
        </w:rPr>
      </w:r>
      <w:r>
        <w:rPr>
          <w:spacing w:val="-4"/>
        </w:rPr>
        <w:t>派专业人员对公允价值的使用范围及取得途径进行复核，并对制度的遵循性进行内部审计</w:t>
      </w:r>
      <w:r>
        <w:rPr>
          <w:spacing w:val="-82"/>
        </w:rPr>
        <w:t> </w:t>
      </w:r>
      <w:r>
        <w:rPr>
          <w:spacing w:val="-82"/>
        </w:rPr>
      </w:r>
      <w:r>
        <w:rPr/>
        <w:t>监督检查。</w:t>
      </w:r>
    </w:p>
    <w:p>
      <w:pPr>
        <w:spacing w:after="0" w:line="237" w:lineRule="auto"/>
        <w:jc w:val="both"/>
        <w:sectPr>
          <w:type w:val="continuous"/>
          <w:pgSz w:w="11910" w:h="16840"/>
          <w:pgMar w:top="1600" w:bottom="280" w:left="700" w:right="620"/>
        </w:sectPr>
      </w:pPr>
    </w:p>
    <w:p>
      <w:pPr>
        <w:spacing w:line="240" w:lineRule="auto" w:before="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720" w:footer="721" w:top="1100" w:bottom="920" w:left="880" w:right="820"/>
        </w:sectPr>
      </w:pPr>
    </w:p>
    <w:p>
      <w:pPr>
        <w:pStyle w:val="BodyText"/>
        <w:spacing w:line="240" w:lineRule="auto" w:before="26"/>
        <w:ind w:left="960" w:right="-20"/>
        <w:jc w:val="left"/>
      </w:pPr>
      <w:r>
        <w:rPr/>
        <w:t>与公允价值计量相关的项目：</w:t>
      </w:r>
    </w:p>
    <w:p>
      <w:pPr>
        <w:spacing w:line="240" w:lineRule="auto" w:before="0"/>
        <w:rPr>
          <w:rFonts w:ascii="宋体" w:hAnsi="宋体" w:cs="宋体" w:eastAsia="宋体" w:hint="default"/>
          <w:sz w:val="26"/>
          <w:szCs w:val="26"/>
        </w:rPr>
      </w:pPr>
      <w:r>
        <w:rPr/>
        <w:br w:type="column"/>
      </w:r>
      <w:r>
        <w:rPr>
          <w:rFonts w:ascii="宋体"/>
          <w:sz w:val="26"/>
        </w:rPr>
      </w:r>
    </w:p>
    <w:p>
      <w:pPr>
        <w:spacing w:before="0"/>
        <w:ind w:left="960" w:right="0" w:firstLine="0"/>
        <w:jc w:val="left"/>
        <w:rPr>
          <w:rFonts w:ascii="宋体" w:hAnsi="宋体" w:cs="宋体" w:eastAsia="宋体" w:hint="default"/>
          <w:sz w:val="21"/>
          <w:szCs w:val="21"/>
        </w:rPr>
      </w:pPr>
      <w:r>
        <w:rPr>
          <w:rFonts w:ascii="宋体" w:hAnsi="宋体" w:cs="宋体" w:eastAsia="宋体" w:hint="default"/>
          <w:sz w:val="21"/>
          <w:szCs w:val="21"/>
        </w:rPr>
        <w:t>单位：万元</w:t>
      </w:r>
    </w:p>
    <w:p>
      <w:pPr>
        <w:spacing w:after="0"/>
        <w:jc w:val="left"/>
        <w:rPr>
          <w:rFonts w:ascii="宋体" w:hAnsi="宋体" w:cs="宋体" w:eastAsia="宋体" w:hint="default"/>
          <w:sz w:val="21"/>
          <w:szCs w:val="21"/>
        </w:rPr>
        <w:sectPr>
          <w:type w:val="continuous"/>
          <w:pgSz w:w="11910" w:h="16840"/>
          <w:pgMar w:top="1600" w:bottom="280" w:left="880" w:right="820"/>
          <w:cols w:num="2" w:equalWidth="0">
            <w:col w:w="4081" w:space="3631"/>
            <w:col w:w="2498"/>
          </w:cols>
        </w:sectPr>
      </w:pPr>
    </w:p>
    <w:p>
      <w:pPr>
        <w:spacing w:line="240" w:lineRule="auto" w:before="7"/>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2771"/>
        <w:gridCol w:w="1218"/>
        <w:gridCol w:w="1495"/>
        <w:gridCol w:w="1796"/>
        <w:gridCol w:w="1402"/>
        <w:gridCol w:w="1294"/>
      </w:tblGrid>
      <w:tr>
        <w:trPr>
          <w:trHeight w:val="833" w:hRule="exact"/>
        </w:trPr>
        <w:tc>
          <w:tcPr>
            <w:tcW w:w="2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项目(1)</w:t>
            </w:r>
            <w:r>
              <w:rPr>
                <w:rFonts w:ascii="宋体" w:hAnsi="宋体" w:cs="宋体" w:eastAsia="宋体" w:hint="default"/>
                <w:sz w:val="21"/>
                <w:szCs w:val="21"/>
              </w:rPr>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441" w:right="178" w:hanging="263"/>
              <w:jc w:val="left"/>
              <w:rPr>
                <w:rFonts w:ascii="宋体" w:hAnsi="宋体" w:cs="宋体" w:eastAsia="宋体" w:hint="default"/>
                <w:sz w:val="21"/>
                <w:szCs w:val="21"/>
              </w:rPr>
            </w:pPr>
            <w:r>
              <w:rPr>
                <w:rFonts w:ascii="宋体" w:hAnsi="宋体" w:cs="宋体" w:eastAsia="宋体" w:hint="default"/>
                <w:b/>
                <w:bCs/>
                <w:sz w:val="21"/>
                <w:szCs w:val="21"/>
              </w:rPr>
              <w:t>期初金额</w:t>
            </w:r>
            <w:r>
              <w:rPr>
                <w:rFonts w:ascii="宋体" w:hAnsi="宋体" w:cs="宋体" w:eastAsia="宋体" w:hint="default"/>
                <w:b/>
                <w:bCs/>
                <w:spacing w:val="1"/>
                <w:w w:val="99"/>
                <w:sz w:val="21"/>
                <w:szCs w:val="21"/>
              </w:rPr>
              <w:t> </w:t>
            </w:r>
            <w:r>
              <w:rPr>
                <w:rFonts w:ascii="宋体" w:hAnsi="宋体" w:cs="宋体" w:eastAsia="宋体" w:hint="default"/>
                <w:b/>
                <w:bCs/>
                <w:sz w:val="21"/>
                <w:szCs w:val="21"/>
              </w:rPr>
              <w:t>(2)</w:t>
            </w:r>
            <w:r>
              <w:rPr>
                <w:rFonts w:ascii="宋体" w:hAnsi="宋体" w:cs="宋体" w:eastAsia="宋体" w:hint="default"/>
                <w:sz w:val="21"/>
                <w:szCs w:val="21"/>
              </w:rPr>
            </w:r>
          </w:p>
        </w:tc>
        <w:tc>
          <w:tcPr>
            <w:tcW w:w="1495"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60" w:right="107" w:hanging="53"/>
              <w:jc w:val="left"/>
              <w:rPr>
                <w:rFonts w:ascii="宋体" w:hAnsi="宋体" w:cs="宋体" w:eastAsia="宋体" w:hint="default"/>
                <w:sz w:val="21"/>
                <w:szCs w:val="21"/>
              </w:rPr>
            </w:pPr>
            <w:r>
              <w:rPr>
                <w:rFonts w:ascii="宋体" w:hAnsi="宋体" w:cs="宋体" w:eastAsia="宋体" w:hint="default"/>
                <w:b/>
                <w:bCs/>
                <w:sz w:val="21"/>
                <w:szCs w:val="21"/>
              </w:rPr>
              <w:t>本期公允价值</w:t>
            </w:r>
            <w:r>
              <w:rPr>
                <w:rFonts w:ascii="宋体" w:hAnsi="宋体" w:cs="宋体" w:eastAsia="宋体" w:hint="default"/>
                <w:b/>
                <w:bCs/>
                <w:w w:val="99"/>
                <w:sz w:val="21"/>
                <w:szCs w:val="21"/>
              </w:rPr>
              <w:t> </w:t>
            </w:r>
            <w:r>
              <w:rPr>
                <w:rFonts w:ascii="宋体" w:hAnsi="宋体" w:cs="宋体" w:eastAsia="宋体" w:hint="default"/>
                <w:b/>
                <w:bCs/>
                <w:sz w:val="21"/>
                <w:szCs w:val="21"/>
              </w:rPr>
              <w:t>变动损益(3)</w:t>
            </w:r>
            <w:r>
              <w:rPr>
                <w:rFonts w:ascii="宋体" w:hAnsi="宋体" w:cs="宋体" w:eastAsia="宋体" w:hint="default"/>
                <w:sz w:val="21"/>
                <w:szCs w:val="21"/>
              </w:rPr>
            </w:r>
          </w:p>
        </w:tc>
        <w:tc>
          <w:tcPr>
            <w:tcW w:w="179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b/>
                <w:bCs/>
                <w:sz w:val="21"/>
                <w:szCs w:val="21"/>
              </w:rPr>
              <w:t>计入权益的累计</w:t>
            </w:r>
            <w:r>
              <w:rPr>
                <w:rFonts w:ascii="宋体" w:hAnsi="宋体" w:cs="宋体" w:eastAsia="宋体" w:hint="default"/>
                <w:sz w:val="21"/>
                <w:szCs w:val="21"/>
              </w:rPr>
            </w:r>
          </w:p>
          <w:p>
            <w:pPr>
              <w:pStyle w:val="TableParagraph"/>
              <w:spacing w:line="272" w:lineRule="exact" w:before="26"/>
              <w:ind w:left="257" w:right="258"/>
              <w:jc w:val="center"/>
              <w:rPr>
                <w:rFonts w:ascii="宋体" w:hAnsi="宋体" w:cs="宋体" w:eastAsia="宋体" w:hint="default"/>
                <w:sz w:val="21"/>
                <w:szCs w:val="21"/>
              </w:rPr>
            </w:pPr>
            <w:r>
              <w:rPr>
                <w:rFonts w:ascii="宋体" w:hAnsi="宋体" w:cs="宋体" w:eastAsia="宋体" w:hint="default"/>
                <w:b/>
                <w:bCs/>
                <w:sz w:val="21"/>
                <w:szCs w:val="21"/>
              </w:rPr>
              <w:t>公允价值变动</w:t>
            </w:r>
            <w:r>
              <w:rPr>
                <w:rFonts w:ascii="宋体" w:hAnsi="宋体" w:cs="宋体" w:eastAsia="宋体" w:hint="default"/>
                <w:b/>
                <w:bCs/>
                <w:w w:val="99"/>
                <w:sz w:val="21"/>
                <w:szCs w:val="21"/>
              </w:rPr>
              <w:t> </w:t>
            </w:r>
            <w:r>
              <w:rPr>
                <w:rFonts w:ascii="宋体" w:hAnsi="宋体" w:cs="宋体" w:eastAsia="宋体" w:hint="default"/>
                <w:b/>
                <w:bCs/>
                <w:sz w:val="21"/>
                <w:szCs w:val="21"/>
              </w:rPr>
              <w:t>(4)</w:t>
            </w:r>
            <w:r>
              <w:rPr>
                <w:rFonts w:ascii="宋体" w:hAnsi="宋体" w:cs="宋体" w:eastAsia="宋体" w:hint="default"/>
                <w:sz w:val="21"/>
                <w:szCs w:val="21"/>
              </w:rPr>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22" w:right="165" w:hanging="157"/>
              <w:jc w:val="left"/>
              <w:rPr>
                <w:rFonts w:ascii="宋体" w:hAnsi="宋体" w:cs="宋体" w:eastAsia="宋体" w:hint="default"/>
                <w:sz w:val="21"/>
                <w:szCs w:val="21"/>
              </w:rPr>
            </w:pPr>
            <w:r>
              <w:rPr>
                <w:rFonts w:ascii="宋体" w:hAnsi="宋体" w:cs="宋体" w:eastAsia="宋体" w:hint="default"/>
                <w:b/>
                <w:bCs/>
                <w:sz w:val="21"/>
                <w:szCs w:val="21"/>
              </w:rPr>
              <w:t>本期计提的</w:t>
            </w:r>
            <w:r>
              <w:rPr>
                <w:rFonts w:ascii="宋体" w:hAnsi="宋体" w:cs="宋体" w:eastAsia="宋体" w:hint="default"/>
                <w:b/>
                <w:bCs/>
                <w:w w:val="99"/>
                <w:sz w:val="21"/>
                <w:szCs w:val="21"/>
              </w:rPr>
              <w:t> </w:t>
            </w:r>
            <w:r>
              <w:rPr>
                <w:rFonts w:ascii="宋体" w:hAnsi="宋体" w:cs="宋体" w:eastAsia="宋体" w:hint="default"/>
                <w:b/>
                <w:bCs/>
                <w:sz w:val="21"/>
                <w:szCs w:val="21"/>
              </w:rPr>
              <w:t>减值(5)</w:t>
            </w:r>
            <w:r>
              <w:rPr>
                <w:rFonts w:ascii="宋体" w:hAnsi="宋体" w:cs="宋体" w:eastAsia="宋体" w:hint="default"/>
                <w:sz w:val="21"/>
                <w:szCs w:val="21"/>
              </w:rPr>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479" w:right="215" w:hanging="263"/>
              <w:jc w:val="left"/>
              <w:rPr>
                <w:rFonts w:ascii="宋体" w:hAnsi="宋体" w:cs="宋体" w:eastAsia="宋体" w:hint="default"/>
                <w:sz w:val="21"/>
                <w:szCs w:val="21"/>
              </w:rPr>
            </w:pPr>
            <w:r>
              <w:rPr>
                <w:rFonts w:ascii="宋体" w:hAnsi="宋体" w:cs="宋体" w:eastAsia="宋体" w:hint="default"/>
                <w:b/>
                <w:bCs/>
                <w:sz w:val="21"/>
                <w:szCs w:val="21"/>
              </w:rPr>
              <w:t>期末金额</w:t>
            </w:r>
            <w:r>
              <w:rPr>
                <w:rFonts w:ascii="宋体" w:hAnsi="宋体" w:cs="宋体" w:eastAsia="宋体" w:hint="default"/>
                <w:b/>
                <w:bCs/>
                <w:spacing w:val="1"/>
                <w:w w:val="99"/>
                <w:sz w:val="21"/>
                <w:szCs w:val="21"/>
              </w:rPr>
              <w:t> </w:t>
            </w:r>
            <w:r>
              <w:rPr>
                <w:rFonts w:ascii="宋体" w:hAnsi="宋体" w:cs="宋体" w:eastAsia="宋体" w:hint="default"/>
                <w:b/>
                <w:bCs/>
                <w:sz w:val="21"/>
                <w:szCs w:val="21"/>
              </w:rPr>
              <w:t>(6)</w:t>
            </w:r>
            <w:r>
              <w:rPr>
                <w:rFonts w:ascii="宋体" w:hAnsi="宋体" w:cs="宋体" w:eastAsia="宋体" w:hint="default"/>
                <w:sz w:val="21"/>
                <w:szCs w:val="21"/>
              </w:rPr>
            </w:r>
          </w:p>
        </w:tc>
      </w:tr>
      <w:tr>
        <w:trPr>
          <w:trHeight w:val="287" w:hRule="exact"/>
        </w:trPr>
        <w:tc>
          <w:tcPr>
            <w:tcW w:w="9976" w:type="dxa"/>
            <w:gridSpan w:val="6"/>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金融资产</w:t>
            </w:r>
          </w:p>
        </w:tc>
      </w:tr>
      <w:tr>
        <w:trPr>
          <w:trHeight w:val="279" w:hRule="exact"/>
        </w:trPr>
        <w:tc>
          <w:tcPr>
            <w:tcW w:w="2771"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其中：1.以公允价值计量且</w:t>
            </w:r>
          </w:p>
        </w:tc>
        <w:tc>
          <w:tcPr>
            <w:tcW w:w="1218" w:type="dxa"/>
            <w:tcBorders>
              <w:top w:val="single" w:sz="6" w:space="0" w:color="000000"/>
              <w:left w:val="single" w:sz="6" w:space="0" w:color="000000"/>
              <w:bottom w:val="nil" w:sz="6" w:space="0" w:color="auto"/>
              <w:right w:val="single" w:sz="6" w:space="0" w:color="000000"/>
            </w:tcBorders>
          </w:tcPr>
          <w:p>
            <w:pPr/>
          </w:p>
        </w:tc>
        <w:tc>
          <w:tcPr>
            <w:tcW w:w="1495" w:type="dxa"/>
            <w:tcBorders>
              <w:top w:val="single" w:sz="6" w:space="0" w:color="000000"/>
              <w:left w:val="single" w:sz="6" w:space="0" w:color="000000"/>
              <w:bottom w:val="nil" w:sz="6" w:space="0" w:color="auto"/>
              <w:right w:val="single" w:sz="6" w:space="0" w:color="000000"/>
            </w:tcBorders>
          </w:tcPr>
          <w:p>
            <w:pPr/>
          </w:p>
        </w:tc>
        <w:tc>
          <w:tcPr>
            <w:tcW w:w="1796" w:type="dxa"/>
            <w:tcBorders>
              <w:top w:val="single" w:sz="6" w:space="0" w:color="000000"/>
              <w:left w:val="single" w:sz="6" w:space="0" w:color="000000"/>
              <w:bottom w:val="nil" w:sz="6" w:space="0" w:color="auto"/>
              <w:right w:val="single" w:sz="6" w:space="0" w:color="000000"/>
            </w:tcBorders>
          </w:tcPr>
          <w:p>
            <w:pPr/>
          </w:p>
        </w:tc>
        <w:tc>
          <w:tcPr>
            <w:tcW w:w="1402" w:type="dxa"/>
            <w:tcBorders>
              <w:top w:val="single" w:sz="6" w:space="0" w:color="000000"/>
              <w:left w:val="single" w:sz="6" w:space="0" w:color="000000"/>
              <w:bottom w:val="nil" w:sz="6" w:space="0" w:color="auto"/>
              <w:right w:val="single" w:sz="6" w:space="0" w:color="000000"/>
            </w:tcBorders>
          </w:tcPr>
          <w:p>
            <w:pPr/>
          </w:p>
        </w:tc>
        <w:tc>
          <w:tcPr>
            <w:tcW w:w="1294" w:type="dxa"/>
            <w:tcBorders>
              <w:top w:val="single" w:sz="6" w:space="0" w:color="000000"/>
              <w:left w:val="single" w:sz="6" w:space="0" w:color="000000"/>
              <w:bottom w:val="nil" w:sz="6" w:space="0" w:color="auto"/>
              <w:right w:val="single" w:sz="6" w:space="0" w:color="000000"/>
            </w:tcBorders>
          </w:tcPr>
          <w:p>
            <w:pPr/>
          </w:p>
        </w:tc>
      </w:tr>
      <w:tr>
        <w:trPr>
          <w:trHeight w:val="272" w:hRule="exact"/>
        </w:trPr>
        <w:tc>
          <w:tcPr>
            <w:tcW w:w="2771"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其变动计入当期损益的金融</w:t>
            </w:r>
          </w:p>
        </w:tc>
        <w:tc>
          <w:tcPr>
            <w:tcW w:w="1218" w:type="dxa"/>
            <w:tcBorders>
              <w:top w:val="nil" w:sz="6" w:space="0" w:color="auto"/>
              <w:left w:val="single" w:sz="6" w:space="0" w:color="000000"/>
              <w:bottom w:val="nil" w:sz="6" w:space="0" w:color="auto"/>
              <w:right w:val="single" w:sz="6"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w:t>
            </w:r>
          </w:p>
        </w:tc>
        <w:tc>
          <w:tcPr>
            <w:tcW w:w="1495" w:type="dxa"/>
            <w:tcBorders>
              <w:top w:val="nil" w:sz="6" w:space="0" w:color="auto"/>
              <w:left w:val="single" w:sz="6" w:space="0" w:color="000000"/>
              <w:bottom w:val="nil" w:sz="6" w:space="0" w:color="auto"/>
              <w:right w:val="single" w:sz="6" w:space="0" w:color="000000"/>
            </w:tcBorders>
          </w:tcPr>
          <w:p>
            <w:pPr>
              <w:pStyle w:val="TableParagraph"/>
              <w:spacing w:line="225" w:lineRule="exact"/>
              <w:ind w:right="97"/>
              <w:jc w:val="right"/>
              <w:rPr>
                <w:rFonts w:ascii="宋体" w:hAnsi="宋体" w:cs="宋体" w:eastAsia="宋体" w:hint="default"/>
                <w:sz w:val="18"/>
                <w:szCs w:val="18"/>
              </w:rPr>
            </w:pPr>
            <w:r>
              <w:rPr>
                <w:rFonts w:ascii="宋体"/>
                <w:sz w:val="18"/>
              </w:rPr>
              <w:t>44</w:t>
            </w:r>
          </w:p>
        </w:tc>
        <w:tc>
          <w:tcPr>
            <w:tcW w:w="1796" w:type="dxa"/>
            <w:tcBorders>
              <w:top w:val="nil" w:sz="6" w:space="0" w:color="auto"/>
              <w:left w:val="single" w:sz="6" w:space="0" w:color="000000"/>
              <w:bottom w:val="nil" w:sz="6" w:space="0" w:color="auto"/>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w:t>
            </w:r>
          </w:p>
        </w:tc>
        <w:tc>
          <w:tcPr>
            <w:tcW w:w="1402" w:type="dxa"/>
            <w:tcBorders>
              <w:top w:val="nil" w:sz="6" w:space="0" w:color="auto"/>
              <w:left w:val="single" w:sz="6" w:space="0" w:color="000000"/>
              <w:bottom w:val="nil" w:sz="6" w:space="0" w:color="auto"/>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w:t>
            </w:r>
          </w:p>
        </w:tc>
        <w:tc>
          <w:tcPr>
            <w:tcW w:w="1294" w:type="dxa"/>
            <w:tcBorders>
              <w:top w:val="nil" w:sz="6" w:space="0" w:color="auto"/>
              <w:left w:val="single" w:sz="6" w:space="0" w:color="000000"/>
              <w:bottom w:val="nil" w:sz="6" w:space="0" w:color="auto"/>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44</w:t>
            </w:r>
          </w:p>
        </w:tc>
      </w:tr>
      <w:tr>
        <w:trPr>
          <w:trHeight w:val="281" w:hRule="exact"/>
        </w:trPr>
        <w:tc>
          <w:tcPr>
            <w:tcW w:w="2771"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1218" w:type="dxa"/>
            <w:tcBorders>
              <w:top w:val="nil" w:sz="6" w:space="0" w:color="auto"/>
              <w:left w:val="single" w:sz="6" w:space="0" w:color="000000"/>
              <w:bottom w:val="single" w:sz="6" w:space="0" w:color="000000"/>
              <w:right w:val="single" w:sz="6" w:space="0" w:color="000000"/>
            </w:tcBorders>
          </w:tcPr>
          <w:p>
            <w:pPr/>
          </w:p>
        </w:tc>
        <w:tc>
          <w:tcPr>
            <w:tcW w:w="1495" w:type="dxa"/>
            <w:tcBorders>
              <w:top w:val="nil" w:sz="6" w:space="0" w:color="auto"/>
              <w:left w:val="single" w:sz="6" w:space="0" w:color="000000"/>
              <w:bottom w:val="single" w:sz="6" w:space="0" w:color="000000"/>
              <w:right w:val="single" w:sz="6" w:space="0" w:color="000000"/>
            </w:tcBorders>
          </w:tcPr>
          <w:p>
            <w:pPr/>
          </w:p>
        </w:tc>
        <w:tc>
          <w:tcPr>
            <w:tcW w:w="1796" w:type="dxa"/>
            <w:tcBorders>
              <w:top w:val="nil" w:sz="6" w:space="0" w:color="auto"/>
              <w:left w:val="single" w:sz="6" w:space="0" w:color="000000"/>
              <w:bottom w:val="single" w:sz="6" w:space="0" w:color="000000"/>
              <w:right w:val="single" w:sz="6" w:space="0" w:color="000000"/>
            </w:tcBorders>
          </w:tcPr>
          <w:p>
            <w:pPr/>
          </w:p>
        </w:tc>
        <w:tc>
          <w:tcPr>
            <w:tcW w:w="1402" w:type="dxa"/>
            <w:tcBorders>
              <w:top w:val="nil" w:sz="6" w:space="0" w:color="auto"/>
              <w:left w:val="single" w:sz="6" w:space="0" w:color="000000"/>
              <w:bottom w:val="single" w:sz="6" w:space="0" w:color="000000"/>
              <w:right w:val="single" w:sz="6" w:space="0" w:color="000000"/>
            </w:tcBorders>
          </w:tcPr>
          <w:p>
            <w:pPr/>
          </w:p>
        </w:tc>
        <w:tc>
          <w:tcPr>
            <w:tcW w:w="1294" w:type="dxa"/>
            <w:tcBorders>
              <w:top w:val="nil" w:sz="6" w:space="0" w:color="auto"/>
              <w:left w:val="single" w:sz="6" w:space="0" w:color="000000"/>
              <w:bottom w:val="single" w:sz="6" w:space="0" w:color="000000"/>
              <w:right w:val="single" w:sz="6" w:space="0" w:color="000000"/>
            </w:tcBorders>
          </w:tcPr>
          <w:p>
            <w:pPr/>
          </w:p>
        </w:tc>
      </w:tr>
      <w:tr>
        <w:trPr>
          <w:trHeight w:val="287" w:hRule="exact"/>
        </w:trPr>
        <w:tc>
          <w:tcPr>
            <w:tcW w:w="277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其中：1.衍生金融资产</w:t>
            </w:r>
          </w:p>
        </w:tc>
        <w:tc>
          <w:tcPr>
            <w:tcW w:w="1218" w:type="dxa"/>
            <w:tcBorders>
              <w:top w:val="single" w:sz="6" w:space="0" w:color="000000"/>
              <w:left w:val="single" w:sz="6" w:space="0" w:color="000000"/>
              <w:bottom w:val="single" w:sz="6" w:space="0" w:color="000000"/>
              <w:right w:val="single" w:sz="6" w:space="0" w:color="000000"/>
            </w:tcBorders>
          </w:tcPr>
          <w:p>
            <w:pPr/>
          </w:p>
        </w:tc>
        <w:tc>
          <w:tcPr>
            <w:tcW w:w="1495" w:type="dxa"/>
            <w:tcBorders>
              <w:top w:val="single" w:sz="6" w:space="0" w:color="000000"/>
              <w:left w:val="single" w:sz="6" w:space="0" w:color="000000"/>
              <w:bottom w:val="single" w:sz="6" w:space="0" w:color="000000"/>
              <w:right w:val="single" w:sz="6" w:space="0" w:color="000000"/>
            </w:tcBorders>
          </w:tcPr>
          <w:p>
            <w:pPr/>
          </w:p>
        </w:tc>
        <w:tc>
          <w:tcPr>
            <w:tcW w:w="1796"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23" w:lineRule="exact"/>
              <w:ind w:right="98"/>
              <w:jc w:val="right"/>
              <w:rPr>
                <w:rFonts w:ascii="宋体" w:hAnsi="宋体" w:cs="宋体" w:eastAsia="宋体" w:hint="default"/>
                <w:sz w:val="18"/>
                <w:szCs w:val="18"/>
              </w:rPr>
            </w:pPr>
            <w:r>
              <w:rPr>
                <w:rFonts w:ascii="宋体"/>
                <w:sz w:val="18"/>
              </w:rPr>
              <w:t>-</w:t>
            </w:r>
          </w:p>
        </w:tc>
      </w:tr>
      <w:tr>
        <w:trPr>
          <w:trHeight w:val="287" w:hRule="exact"/>
        </w:trPr>
        <w:tc>
          <w:tcPr>
            <w:tcW w:w="277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2.可供出售金融资产</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8,017</w:t>
            </w:r>
          </w:p>
        </w:tc>
        <w:tc>
          <w:tcPr>
            <w:tcW w:w="1495"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7"/>
              <w:jc w:val="right"/>
              <w:rPr>
                <w:rFonts w:ascii="宋体" w:hAnsi="宋体" w:cs="宋体" w:eastAsia="宋体" w:hint="default"/>
                <w:sz w:val="18"/>
                <w:szCs w:val="18"/>
              </w:rPr>
            </w:pPr>
            <w:r>
              <w:rPr>
                <w:rFonts w:ascii="宋体"/>
                <w:sz w:val="18"/>
              </w:rPr>
              <w:t>-</w:t>
            </w:r>
          </w:p>
        </w:tc>
        <w:tc>
          <w:tcPr>
            <w:tcW w:w="1796"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-4,583</w:t>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w:t>
            </w:r>
          </w:p>
        </w:tc>
      </w:tr>
      <w:tr>
        <w:trPr>
          <w:trHeight w:val="288" w:hRule="exact"/>
        </w:trPr>
        <w:tc>
          <w:tcPr>
            <w:tcW w:w="277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金融资产小计</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8,017</w:t>
            </w:r>
          </w:p>
        </w:tc>
        <w:tc>
          <w:tcPr>
            <w:tcW w:w="1495"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7"/>
              <w:jc w:val="right"/>
              <w:rPr>
                <w:rFonts w:ascii="宋体" w:hAnsi="宋体" w:cs="宋体" w:eastAsia="宋体" w:hint="default"/>
                <w:sz w:val="18"/>
                <w:szCs w:val="18"/>
              </w:rPr>
            </w:pPr>
            <w:r>
              <w:rPr>
                <w:rFonts w:ascii="宋体"/>
                <w:sz w:val="18"/>
              </w:rPr>
              <w:t>44</w:t>
            </w:r>
          </w:p>
        </w:tc>
        <w:tc>
          <w:tcPr>
            <w:tcW w:w="1796"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-4,583</w:t>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44</w:t>
            </w:r>
          </w:p>
        </w:tc>
      </w:tr>
      <w:tr>
        <w:trPr>
          <w:trHeight w:val="287" w:hRule="exact"/>
        </w:trPr>
        <w:tc>
          <w:tcPr>
            <w:tcW w:w="277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金融负债</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876</w:t>
            </w:r>
          </w:p>
        </w:tc>
        <w:tc>
          <w:tcPr>
            <w:tcW w:w="1495"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7"/>
              <w:jc w:val="right"/>
              <w:rPr>
                <w:rFonts w:ascii="宋体" w:hAnsi="宋体" w:cs="宋体" w:eastAsia="宋体" w:hint="default"/>
                <w:sz w:val="18"/>
                <w:szCs w:val="18"/>
              </w:rPr>
            </w:pPr>
            <w:r>
              <w:rPr>
                <w:rFonts w:ascii="宋体"/>
                <w:sz w:val="18"/>
              </w:rPr>
              <w:t>876</w:t>
            </w:r>
          </w:p>
        </w:tc>
        <w:tc>
          <w:tcPr>
            <w:tcW w:w="1796"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w:t>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w:t>
            </w:r>
          </w:p>
        </w:tc>
      </w:tr>
      <w:tr>
        <w:trPr>
          <w:trHeight w:val="288" w:hRule="exact"/>
        </w:trPr>
        <w:tc>
          <w:tcPr>
            <w:tcW w:w="277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218" w:type="dxa"/>
            <w:tcBorders>
              <w:top w:val="single" w:sz="6" w:space="0" w:color="000000"/>
              <w:left w:val="single" w:sz="6" w:space="0" w:color="000000"/>
              <w:bottom w:val="single" w:sz="6" w:space="0" w:color="000000"/>
              <w:right w:val="single" w:sz="6" w:space="0" w:color="000000"/>
            </w:tcBorders>
          </w:tcPr>
          <w:p>
            <w:pPr/>
          </w:p>
        </w:tc>
        <w:tc>
          <w:tcPr>
            <w:tcW w:w="1495" w:type="dxa"/>
            <w:tcBorders>
              <w:top w:val="single" w:sz="6" w:space="0" w:color="000000"/>
              <w:left w:val="single" w:sz="6" w:space="0" w:color="000000"/>
              <w:bottom w:val="single" w:sz="6" w:space="0" w:color="000000"/>
              <w:right w:val="single" w:sz="6" w:space="0" w:color="000000"/>
            </w:tcBorders>
          </w:tcPr>
          <w:p>
            <w:pPr/>
          </w:p>
        </w:tc>
        <w:tc>
          <w:tcPr>
            <w:tcW w:w="1796"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294"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77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218" w:type="dxa"/>
            <w:tcBorders>
              <w:top w:val="single" w:sz="6" w:space="0" w:color="000000"/>
              <w:left w:val="single" w:sz="6" w:space="0" w:color="000000"/>
              <w:bottom w:val="single" w:sz="6" w:space="0" w:color="000000"/>
              <w:right w:val="single" w:sz="6" w:space="0" w:color="000000"/>
            </w:tcBorders>
          </w:tcPr>
          <w:p>
            <w:pPr/>
          </w:p>
        </w:tc>
        <w:tc>
          <w:tcPr>
            <w:tcW w:w="1495" w:type="dxa"/>
            <w:tcBorders>
              <w:top w:val="single" w:sz="6" w:space="0" w:color="000000"/>
              <w:left w:val="single" w:sz="6" w:space="0" w:color="000000"/>
              <w:bottom w:val="single" w:sz="6" w:space="0" w:color="000000"/>
              <w:right w:val="single" w:sz="6" w:space="0" w:color="000000"/>
            </w:tcBorders>
          </w:tcPr>
          <w:p>
            <w:pPr/>
          </w:p>
        </w:tc>
        <w:tc>
          <w:tcPr>
            <w:tcW w:w="1796"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29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77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218" w:type="dxa"/>
            <w:tcBorders>
              <w:top w:val="single" w:sz="6" w:space="0" w:color="000000"/>
              <w:left w:val="single" w:sz="6" w:space="0" w:color="000000"/>
              <w:bottom w:val="single" w:sz="6" w:space="0" w:color="000000"/>
              <w:right w:val="single" w:sz="6" w:space="0" w:color="000000"/>
            </w:tcBorders>
          </w:tcPr>
          <w:p>
            <w:pPr/>
          </w:p>
        </w:tc>
        <w:tc>
          <w:tcPr>
            <w:tcW w:w="1495" w:type="dxa"/>
            <w:tcBorders>
              <w:top w:val="single" w:sz="6" w:space="0" w:color="000000"/>
              <w:left w:val="single" w:sz="6" w:space="0" w:color="000000"/>
              <w:bottom w:val="single" w:sz="6" w:space="0" w:color="000000"/>
              <w:right w:val="single" w:sz="6" w:space="0" w:color="000000"/>
            </w:tcBorders>
          </w:tcPr>
          <w:p>
            <w:pPr/>
          </w:p>
        </w:tc>
        <w:tc>
          <w:tcPr>
            <w:tcW w:w="1796" w:type="dxa"/>
            <w:tcBorders>
              <w:top w:val="single" w:sz="6" w:space="0" w:color="000000"/>
              <w:left w:val="single" w:sz="6" w:space="0" w:color="000000"/>
              <w:bottom w:val="single" w:sz="6" w:space="0" w:color="000000"/>
              <w:right w:val="single" w:sz="6" w:space="0" w:color="000000"/>
            </w:tcBorders>
          </w:tcPr>
          <w:p>
            <w:pPr/>
          </w:p>
        </w:tc>
        <w:tc>
          <w:tcPr>
            <w:tcW w:w="1402" w:type="dxa"/>
            <w:tcBorders>
              <w:top w:val="single" w:sz="6" w:space="0" w:color="000000"/>
              <w:left w:val="single" w:sz="6" w:space="0" w:color="000000"/>
              <w:bottom w:val="single" w:sz="6" w:space="0" w:color="000000"/>
              <w:right w:val="single" w:sz="6" w:space="0" w:color="000000"/>
            </w:tcBorders>
          </w:tcPr>
          <w:p>
            <w:pPr/>
          </w:p>
        </w:tc>
        <w:tc>
          <w:tcPr>
            <w:tcW w:w="1294"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11"/>
        <w:rPr>
          <w:rFonts w:ascii="宋体" w:hAnsi="宋体" w:cs="宋体" w:eastAsia="宋体" w:hint="default"/>
          <w:sz w:val="18"/>
          <w:szCs w:val="18"/>
        </w:rPr>
      </w:pPr>
    </w:p>
    <w:p>
      <w:pPr>
        <w:spacing w:line="310" w:lineRule="exact" w:before="58"/>
        <w:ind w:left="480" w:right="4184" w:firstLine="0"/>
        <w:jc w:val="left"/>
        <w:rPr>
          <w:rFonts w:ascii="宋体" w:hAnsi="宋体" w:cs="宋体" w:eastAsia="宋体" w:hint="default"/>
          <w:sz w:val="24"/>
          <w:szCs w:val="24"/>
        </w:rPr>
      </w:pPr>
      <w:r>
        <w:rPr>
          <w:rFonts w:ascii="宋体" w:hAnsi="宋体" w:cs="宋体" w:eastAsia="宋体" w:hint="default"/>
          <w:b/>
          <w:bCs/>
          <w:sz w:val="24"/>
          <w:szCs w:val="24"/>
        </w:rPr>
        <w:t>8、持有外币金融资产、金融负债情况</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报告期内，公司持有外币金融资产为远期外汇合同。</w:t>
      </w:r>
    </w:p>
    <w:p>
      <w:pPr>
        <w:spacing w:line="240" w:lineRule="auto" w:before="8"/>
        <w:rPr>
          <w:rFonts w:ascii="宋体" w:hAnsi="宋体" w:cs="宋体" w:eastAsia="宋体" w:hint="default"/>
          <w:sz w:val="28"/>
          <w:szCs w:val="28"/>
        </w:rPr>
      </w:pPr>
    </w:p>
    <w:p>
      <w:pPr>
        <w:spacing w:after="0" w:line="240" w:lineRule="auto"/>
        <w:rPr>
          <w:rFonts w:ascii="宋体" w:hAnsi="宋体" w:cs="宋体" w:eastAsia="宋体" w:hint="default"/>
          <w:sz w:val="28"/>
          <w:szCs w:val="28"/>
        </w:rPr>
        <w:sectPr>
          <w:type w:val="continuous"/>
          <w:pgSz w:w="11910" w:h="16840"/>
          <w:pgMar w:top="1600" w:bottom="280" w:left="880" w:right="820"/>
        </w:sectPr>
      </w:pPr>
    </w:p>
    <w:p>
      <w:pPr>
        <w:pStyle w:val="BodyText"/>
        <w:spacing w:line="283" w:lineRule="auto" w:before="26"/>
        <w:ind w:left="480" w:right="-20"/>
        <w:jc w:val="left"/>
      </w:pPr>
      <w:r>
        <w:rPr/>
        <w:t>（二）报告期内公司财务状况经营成果分析 1、报告期内公司总体财务状况、经营成果分析</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tabs>
          <w:tab w:pos="1499" w:val="left" w:leader="none"/>
        </w:tabs>
        <w:spacing w:before="0"/>
        <w:ind w:left="480" w:right="0" w:firstLine="0"/>
        <w:jc w:val="left"/>
        <w:rPr>
          <w:rFonts w:ascii="宋体" w:hAnsi="宋体" w:cs="宋体" w:eastAsia="宋体" w:hint="default"/>
          <w:sz w:val="21"/>
          <w:szCs w:val="21"/>
        </w:rPr>
      </w:pPr>
      <w:r>
        <w:rPr>
          <w:rFonts w:ascii="宋体" w:hAnsi="宋体" w:cs="宋体" w:eastAsia="宋体" w:hint="default"/>
          <w:spacing w:val="-8"/>
          <w:sz w:val="21"/>
          <w:szCs w:val="21"/>
        </w:rPr>
        <w:t>单位：元</w:t>
        <w:tab/>
      </w:r>
      <w:r>
        <w:rPr>
          <w:rFonts w:ascii="宋体" w:hAnsi="宋体" w:cs="宋体" w:eastAsia="宋体" w:hint="default"/>
          <w:spacing w:val="-6"/>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880" w:right="820"/>
          <w:cols w:num="2" w:equalWidth="0">
            <w:col w:w="5401" w:space="1611"/>
            <w:col w:w="3198"/>
          </w:cols>
        </w:sectPr>
      </w:pPr>
    </w:p>
    <w:tbl>
      <w:tblPr>
        <w:tblW w:w="0" w:type="auto"/>
        <w:jc w:val="left"/>
        <w:tblInd w:w="492" w:type="dxa"/>
        <w:tblLayout w:type="fixed"/>
        <w:tblCellMar>
          <w:top w:w="0" w:type="dxa"/>
          <w:left w:w="0" w:type="dxa"/>
          <w:bottom w:w="0" w:type="dxa"/>
          <w:right w:w="0" w:type="dxa"/>
        </w:tblCellMar>
        <w:tblLook w:val="01E0"/>
      </w:tblPr>
      <w:tblGrid>
        <w:gridCol w:w="3074"/>
        <w:gridCol w:w="1604"/>
        <w:gridCol w:w="1604"/>
        <w:gridCol w:w="1198"/>
        <w:gridCol w:w="1206"/>
        <w:gridCol w:w="522"/>
      </w:tblGrid>
      <w:tr>
        <w:trPr>
          <w:trHeight w:val="330" w:hRule="exact"/>
        </w:trPr>
        <w:tc>
          <w:tcPr>
            <w:tcW w:w="3074" w:type="dxa"/>
            <w:tcBorders>
              <w:top w:val="single" w:sz="4" w:space="0" w:color="000000"/>
              <w:left w:val="single" w:sz="4" w:space="0" w:color="000000"/>
              <w:bottom w:val="nil" w:sz="6" w:space="0" w:color="auto"/>
              <w:right w:val="single" w:sz="4" w:space="0" w:color="000000"/>
            </w:tcBorders>
          </w:tcPr>
          <w:p>
            <w:pPr/>
          </w:p>
        </w:tc>
        <w:tc>
          <w:tcPr>
            <w:tcW w:w="16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3"/>
              <w:ind w:left="51" w:right="0"/>
              <w:jc w:val="left"/>
              <w:rPr>
                <w:rFonts w:ascii="宋体" w:hAnsi="宋体" w:cs="宋体" w:eastAsia="宋体" w:hint="default"/>
                <w:sz w:val="18"/>
                <w:szCs w:val="18"/>
              </w:rPr>
            </w:pPr>
            <w:r>
              <w:rPr>
                <w:rFonts w:ascii="宋体" w:hAnsi="宋体" w:cs="宋体" w:eastAsia="宋体" w:hint="default"/>
                <w:b/>
                <w:bCs/>
                <w:spacing w:val="9"/>
                <w:sz w:val="18"/>
                <w:szCs w:val="18"/>
              </w:rPr>
              <w:t>2009年</w:t>
            </w:r>
            <w:r>
              <w:rPr>
                <w:rFonts w:ascii="宋体" w:hAnsi="宋体" w:cs="宋体" w:eastAsia="宋体" w:hint="default"/>
                <w:b/>
                <w:bCs/>
                <w:spacing w:val="-49"/>
                <w:sz w:val="18"/>
                <w:szCs w:val="18"/>
              </w:rPr>
              <w:t> </w:t>
            </w:r>
            <w:r>
              <w:rPr>
                <w:rFonts w:ascii="宋体" w:hAnsi="宋体" w:cs="宋体" w:eastAsia="宋体" w:hint="default"/>
                <w:b/>
                <w:bCs/>
                <w:spacing w:val="15"/>
                <w:sz w:val="18"/>
                <w:szCs w:val="18"/>
              </w:rPr>
              <w:t>12月</w:t>
            </w:r>
            <w:r>
              <w:rPr>
                <w:rFonts w:ascii="宋体" w:hAnsi="宋体" w:cs="宋体" w:eastAsia="宋体" w:hint="default"/>
                <w:b/>
                <w:bCs/>
                <w:spacing w:val="-50"/>
                <w:sz w:val="18"/>
                <w:szCs w:val="18"/>
              </w:rPr>
              <w:t> </w:t>
            </w:r>
            <w:r>
              <w:rPr>
                <w:rFonts w:ascii="宋体" w:hAnsi="宋体" w:cs="宋体" w:eastAsia="宋体" w:hint="default"/>
                <w:b/>
                <w:bCs/>
                <w:spacing w:val="15"/>
                <w:sz w:val="18"/>
                <w:szCs w:val="18"/>
              </w:rPr>
              <w:t>31日</w:t>
            </w:r>
            <w:r>
              <w:rPr>
                <w:rFonts w:ascii="宋体" w:hAnsi="宋体" w:cs="宋体" w:eastAsia="宋体" w:hint="default"/>
                <w:b/>
                <w:bCs/>
                <w:spacing w:val="-46"/>
                <w:sz w:val="18"/>
                <w:szCs w:val="18"/>
              </w:rPr>
              <w:t> </w:t>
            </w:r>
            <w:r>
              <w:rPr>
                <w:rFonts w:ascii="宋体" w:hAnsi="宋体" w:cs="宋体" w:eastAsia="宋体" w:hint="default"/>
                <w:sz w:val="18"/>
                <w:szCs w:val="18"/>
              </w:rPr>
            </w:r>
          </w:p>
        </w:tc>
        <w:tc>
          <w:tcPr>
            <w:tcW w:w="16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3"/>
              <w:ind w:left="51" w:right="0"/>
              <w:jc w:val="left"/>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宋体" w:hAnsi="宋体" w:cs="宋体" w:eastAsia="宋体" w:hint="default"/>
                <w:b/>
                <w:bCs/>
                <w:sz w:val="18"/>
                <w:szCs w:val="18"/>
              </w:rPr>
              <w:t>31</w:t>
            </w:r>
            <w:r>
              <w:rPr>
                <w:rFonts w:ascii="宋体" w:hAnsi="宋体" w:cs="宋体" w:eastAsia="宋体" w:hint="default"/>
                <w:b/>
                <w:bCs/>
                <w:spacing w:val="-47"/>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1198" w:type="dxa"/>
            <w:tcBorders>
              <w:top w:val="single" w:sz="4" w:space="0" w:color="000000"/>
              <w:left w:val="single" w:sz="4" w:space="0" w:color="000000"/>
              <w:bottom w:val="nil" w:sz="6" w:space="0" w:color="auto"/>
              <w:right w:val="single" w:sz="4" w:space="0" w:color="000000"/>
            </w:tcBorders>
          </w:tcPr>
          <w:p>
            <w:pPr/>
          </w:p>
        </w:tc>
        <w:tc>
          <w:tcPr>
            <w:tcW w:w="1206" w:type="dxa"/>
            <w:tcBorders>
              <w:top w:val="single" w:sz="4" w:space="0" w:color="000000"/>
              <w:left w:val="single" w:sz="4" w:space="0" w:color="000000"/>
              <w:bottom w:val="nil" w:sz="6" w:space="0" w:color="auto"/>
              <w:right w:val="single" w:sz="4" w:space="0" w:color="000000"/>
            </w:tcBorders>
          </w:tcPr>
          <w:p>
            <w:pPr/>
          </w:p>
        </w:tc>
        <w:tc>
          <w:tcPr>
            <w:tcW w:w="522"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3074" w:type="dxa"/>
            <w:tcBorders>
              <w:top w:val="nil" w:sz="6" w:space="0" w:color="auto"/>
              <w:left w:val="single" w:sz="4" w:space="0" w:color="000000"/>
              <w:bottom w:val="nil" w:sz="6" w:space="0" w:color="auto"/>
              <w:right w:val="single" w:sz="4" w:space="0" w:color="000000"/>
            </w:tcBorders>
          </w:tcPr>
          <w:p>
            <w:pPr>
              <w:pStyle w:val="TableParagraph"/>
              <w:tabs>
                <w:tab w:pos="723" w:val="left" w:leader="none"/>
              </w:tabs>
              <w:spacing w:line="206" w:lineRule="exact"/>
              <w:ind w:right="1"/>
              <w:jc w:val="center"/>
              <w:rPr>
                <w:rFonts w:ascii="宋体" w:hAnsi="宋体" w:cs="宋体" w:eastAsia="宋体" w:hint="default"/>
                <w:sz w:val="18"/>
                <w:szCs w:val="18"/>
              </w:rPr>
            </w:pPr>
            <w:r>
              <w:rPr>
                <w:rFonts w:ascii="宋体" w:hAnsi="宋体" w:cs="宋体" w:eastAsia="宋体" w:hint="default"/>
                <w:b/>
                <w:bCs/>
                <w:w w:val="95"/>
                <w:sz w:val="18"/>
                <w:szCs w:val="18"/>
              </w:rPr>
              <w:t>项</w:t>
              <w:tab/>
            </w:r>
            <w:r>
              <w:rPr>
                <w:rFonts w:ascii="宋体" w:hAnsi="宋体" w:cs="宋体" w:eastAsia="宋体" w:hint="default"/>
                <w:b/>
                <w:bCs/>
                <w:sz w:val="18"/>
                <w:szCs w:val="18"/>
              </w:rPr>
              <w:t>目</w:t>
            </w:r>
            <w:r>
              <w:rPr>
                <w:rFonts w:ascii="宋体" w:hAnsi="宋体" w:cs="宋体" w:eastAsia="宋体" w:hint="default"/>
                <w:sz w:val="18"/>
                <w:szCs w:val="18"/>
              </w:rPr>
            </w:r>
          </w:p>
        </w:tc>
        <w:tc>
          <w:tcPr>
            <w:tcW w:w="1604"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51" w:right="0"/>
              <w:jc w:val="left"/>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29"/>
                <w:sz w:val="18"/>
                <w:szCs w:val="18"/>
              </w:rPr>
              <w:t> </w:t>
            </w:r>
            <w:r>
              <w:rPr>
                <w:rFonts w:ascii="宋体" w:hAnsi="宋体" w:cs="宋体" w:eastAsia="宋体" w:hint="default"/>
                <w:b/>
                <w:bCs/>
                <w:sz w:val="18"/>
                <w:szCs w:val="18"/>
              </w:rPr>
              <w:t>年</w:t>
            </w:r>
            <w:r>
              <w:rPr>
                <w:rFonts w:ascii="宋体" w:hAnsi="宋体" w:cs="宋体" w:eastAsia="宋体" w:hint="default"/>
                <w:b/>
                <w:bCs/>
                <w:spacing w:val="-29"/>
                <w:sz w:val="18"/>
                <w:szCs w:val="18"/>
              </w:rPr>
              <w:t> </w:t>
            </w:r>
            <w:r>
              <w:rPr>
                <w:rFonts w:ascii="宋体" w:hAnsi="宋体" w:cs="宋体" w:eastAsia="宋体" w:hint="default"/>
                <w:b/>
                <w:bCs/>
                <w:sz w:val="18"/>
                <w:szCs w:val="18"/>
              </w:rPr>
              <w:t>1</w:t>
            </w:r>
            <w:r>
              <w:rPr>
                <w:rFonts w:ascii="宋体" w:hAnsi="宋体" w:cs="宋体" w:eastAsia="宋体" w:hint="default"/>
                <w:b/>
                <w:bCs/>
                <w:spacing w:val="-30"/>
                <w:sz w:val="18"/>
                <w:szCs w:val="18"/>
              </w:rPr>
              <w:t> </w:t>
            </w:r>
            <w:r>
              <w:rPr>
                <w:rFonts w:ascii="宋体" w:hAnsi="宋体" w:cs="宋体" w:eastAsia="宋体" w:hint="default"/>
                <w:b/>
                <w:bCs/>
                <w:sz w:val="18"/>
                <w:szCs w:val="18"/>
              </w:rPr>
              <w:t>月</w:t>
            </w:r>
            <w:r>
              <w:rPr>
                <w:rFonts w:ascii="宋体" w:hAnsi="宋体" w:cs="宋体" w:eastAsia="宋体" w:hint="default"/>
                <w:b/>
                <w:bCs/>
                <w:spacing w:val="-30"/>
                <w:sz w:val="18"/>
                <w:szCs w:val="18"/>
              </w:rPr>
              <w:t> </w:t>
            </w:r>
            <w:r>
              <w:rPr>
                <w:rFonts w:ascii="宋体" w:hAnsi="宋体" w:cs="宋体" w:eastAsia="宋体" w:hint="default"/>
                <w:b/>
                <w:bCs/>
                <w:sz w:val="18"/>
                <w:szCs w:val="18"/>
              </w:rPr>
              <w:t>1</w:t>
            </w:r>
            <w:r>
              <w:rPr>
                <w:rFonts w:ascii="宋体" w:hAnsi="宋体" w:cs="宋体" w:eastAsia="宋体" w:hint="default"/>
                <w:b/>
                <w:bCs/>
                <w:spacing w:val="-29"/>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1604"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51" w:right="-11"/>
              <w:jc w:val="left"/>
              <w:rPr>
                <w:rFonts w:ascii="宋体" w:hAnsi="宋体" w:cs="宋体" w:eastAsia="宋体" w:hint="default"/>
                <w:sz w:val="18"/>
                <w:szCs w:val="18"/>
              </w:rPr>
            </w:pPr>
            <w:r>
              <w:rPr>
                <w:rFonts w:ascii="宋体" w:hAnsi="宋体" w:cs="宋体" w:eastAsia="宋体" w:hint="default"/>
                <w:b/>
                <w:bCs/>
                <w:spacing w:val="24"/>
                <w:sz w:val="18"/>
                <w:szCs w:val="18"/>
              </w:rPr>
              <w:t>/2008年1月</w:t>
            </w:r>
            <w:r>
              <w:rPr>
                <w:rFonts w:ascii="宋体" w:hAnsi="宋体" w:cs="宋体" w:eastAsia="宋体" w:hint="default"/>
                <w:b/>
                <w:bCs/>
                <w:spacing w:val="-36"/>
                <w:sz w:val="18"/>
                <w:szCs w:val="18"/>
              </w:rPr>
              <w:t> </w:t>
            </w:r>
            <w:r>
              <w:rPr>
                <w:rFonts w:ascii="宋体" w:hAnsi="宋体" w:cs="宋体" w:eastAsia="宋体" w:hint="default"/>
                <w:b/>
                <w:bCs/>
                <w:spacing w:val="31"/>
                <w:sz w:val="18"/>
                <w:szCs w:val="18"/>
              </w:rPr>
              <w:t>1日</w:t>
            </w:r>
            <w:r>
              <w:rPr>
                <w:rFonts w:ascii="宋体" w:hAnsi="宋体" w:cs="宋体" w:eastAsia="宋体" w:hint="default"/>
                <w:b/>
                <w:bCs/>
                <w:spacing w:val="-28"/>
                <w:sz w:val="18"/>
                <w:szCs w:val="18"/>
              </w:rPr>
              <w:t> </w:t>
            </w:r>
            <w:r>
              <w:rPr>
                <w:rFonts w:ascii="宋体" w:hAnsi="宋体" w:cs="宋体" w:eastAsia="宋体" w:hint="default"/>
                <w:sz w:val="18"/>
                <w:szCs w:val="18"/>
              </w:rPr>
            </w:r>
          </w:p>
        </w:tc>
        <w:tc>
          <w:tcPr>
            <w:tcW w:w="119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321" w:right="0"/>
              <w:jc w:val="left"/>
              <w:rPr>
                <w:rFonts w:ascii="宋体" w:hAnsi="宋体" w:cs="宋体" w:eastAsia="宋体" w:hint="default"/>
                <w:sz w:val="18"/>
                <w:szCs w:val="18"/>
              </w:rPr>
            </w:pPr>
            <w:r>
              <w:rPr>
                <w:rFonts w:ascii="宋体" w:hAnsi="宋体" w:cs="宋体" w:eastAsia="宋体" w:hint="default"/>
                <w:b/>
                <w:bCs/>
                <w:sz w:val="18"/>
                <w:szCs w:val="18"/>
              </w:rPr>
              <w:t>增减额</w:t>
            </w:r>
            <w:r>
              <w:rPr>
                <w:rFonts w:ascii="宋体" w:hAnsi="宋体" w:cs="宋体" w:eastAsia="宋体" w:hint="default"/>
                <w:sz w:val="18"/>
                <w:szCs w:val="18"/>
              </w:rPr>
            </w:r>
          </w:p>
        </w:tc>
        <w:tc>
          <w:tcPr>
            <w:tcW w:w="1206"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235" w:right="0"/>
              <w:jc w:val="left"/>
              <w:rPr>
                <w:rFonts w:ascii="宋体" w:hAnsi="宋体" w:cs="宋体" w:eastAsia="宋体" w:hint="default"/>
                <w:sz w:val="18"/>
                <w:szCs w:val="18"/>
              </w:rPr>
            </w:pPr>
            <w:r>
              <w:rPr>
                <w:rFonts w:ascii="宋体" w:hAnsi="宋体" w:cs="宋体" w:eastAsia="宋体" w:hint="default"/>
                <w:b/>
                <w:bCs/>
                <w:sz w:val="18"/>
                <w:szCs w:val="18"/>
              </w:rPr>
              <w:t>增减幅度</w:t>
            </w:r>
            <w:r>
              <w:rPr>
                <w:rFonts w:ascii="宋体" w:hAnsi="宋体" w:cs="宋体" w:eastAsia="宋体" w:hint="default"/>
                <w:sz w:val="18"/>
                <w:szCs w:val="18"/>
              </w:rPr>
            </w:r>
          </w:p>
        </w:tc>
        <w:tc>
          <w:tcPr>
            <w:tcW w:w="522"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r>
      <w:tr>
        <w:trPr>
          <w:trHeight w:val="333" w:hRule="exact"/>
        </w:trPr>
        <w:tc>
          <w:tcPr>
            <w:tcW w:w="3074" w:type="dxa"/>
            <w:tcBorders>
              <w:top w:val="nil" w:sz="6" w:space="0" w:color="auto"/>
              <w:left w:val="single" w:sz="4" w:space="0" w:color="000000"/>
              <w:bottom w:val="single" w:sz="4" w:space="0" w:color="000000"/>
              <w:right w:val="single" w:sz="4" w:space="0" w:color="000000"/>
            </w:tcBorders>
          </w:tcPr>
          <w:p>
            <w:pPr/>
          </w:p>
        </w:tc>
        <w:tc>
          <w:tcPr>
            <w:tcW w:w="1604"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51" w:right="0"/>
              <w:jc w:val="left"/>
              <w:rPr>
                <w:rFonts w:ascii="宋体" w:hAnsi="宋体" w:cs="宋体" w:eastAsia="宋体" w:hint="default"/>
                <w:sz w:val="18"/>
                <w:szCs w:val="18"/>
              </w:rPr>
            </w:pPr>
            <w:r>
              <w:rPr>
                <w:rFonts w:ascii="宋体" w:hAnsi="宋体" w:cs="宋体" w:eastAsia="宋体" w:hint="default"/>
                <w:b/>
                <w:bCs/>
                <w:sz w:val="18"/>
                <w:szCs w:val="18"/>
              </w:rPr>
              <w:t>至</w:t>
            </w:r>
            <w:r>
              <w:rPr>
                <w:rFonts w:ascii="宋体" w:hAnsi="宋体" w:cs="宋体" w:eastAsia="宋体" w:hint="default"/>
                <w:b/>
                <w:bCs/>
                <w:spacing w:val="-46"/>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宋体" w:hAnsi="宋体" w:cs="宋体" w:eastAsia="宋体" w:hint="default"/>
                <w:b/>
                <w:bCs/>
                <w:sz w:val="18"/>
                <w:szCs w:val="18"/>
              </w:rPr>
              <w:t>31</w:t>
            </w:r>
            <w:r>
              <w:rPr>
                <w:rFonts w:ascii="宋体" w:hAnsi="宋体" w:cs="宋体" w:eastAsia="宋体" w:hint="default"/>
                <w:b/>
                <w:bCs/>
                <w:spacing w:val="-46"/>
                <w:sz w:val="18"/>
                <w:szCs w:val="18"/>
              </w:rPr>
              <w:t> </w:t>
            </w:r>
            <w:r>
              <w:rPr>
                <w:rFonts w:ascii="宋体" w:hAnsi="宋体" w:cs="宋体" w:eastAsia="宋体" w:hint="default"/>
                <w:b/>
                <w:bCs/>
                <w:sz w:val="18"/>
                <w:szCs w:val="18"/>
              </w:rPr>
              <w:t>日止</w:t>
            </w:r>
            <w:r>
              <w:rPr>
                <w:rFonts w:ascii="宋体" w:hAnsi="宋体" w:cs="宋体" w:eastAsia="宋体" w:hint="default"/>
                <w:sz w:val="18"/>
                <w:szCs w:val="18"/>
              </w:rPr>
            </w:r>
          </w:p>
        </w:tc>
        <w:tc>
          <w:tcPr>
            <w:tcW w:w="1604"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51" w:right="0"/>
              <w:jc w:val="left"/>
              <w:rPr>
                <w:rFonts w:ascii="宋体" w:hAnsi="宋体" w:cs="宋体" w:eastAsia="宋体" w:hint="default"/>
                <w:sz w:val="18"/>
                <w:szCs w:val="18"/>
              </w:rPr>
            </w:pPr>
            <w:r>
              <w:rPr>
                <w:rFonts w:ascii="宋体" w:hAnsi="宋体" w:cs="宋体" w:eastAsia="宋体" w:hint="default"/>
                <w:b/>
                <w:bCs/>
                <w:sz w:val="18"/>
                <w:szCs w:val="18"/>
              </w:rPr>
              <w:t>至</w:t>
            </w:r>
            <w:r>
              <w:rPr>
                <w:rFonts w:ascii="宋体" w:hAnsi="宋体" w:cs="宋体" w:eastAsia="宋体" w:hint="default"/>
                <w:b/>
                <w:bCs/>
                <w:spacing w:val="-46"/>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宋体" w:hAnsi="宋体" w:cs="宋体" w:eastAsia="宋体" w:hint="default"/>
                <w:b/>
                <w:bCs/>
                <w:sz w:val="18"/>
                <w:szCs w:val="18"/>
              </w:rPr>
              <w:t>31</w:t>
            </w:r>
            <w:r>
              <w:rPr>
                <w:rFonts w:ascii="宋体" w:hAnsi="宋体" w:cs="宋体" w:eastAsia="宋体" w:hint="default"/>
                <w:b/>
                <w:bCs/>
                <w:spacing w:val="-46"/>
                <w:sz w:val="18"/>
                <w:szCs w:val="18"/>
              </w:rPr>
              <w:t> </w:t>
            </w:r>
            <w:r>
              <w:rPr>
                <w:rFonts w:ascii="宋体" w:hAnsi="宋体" w:cs="宋体" w:eastAsia="宋体" w:hint="default"/>
                <w:b/>
                <w:bCs/>
                <w:sz w:val="18"/>
                <w:szCs w:val="18"/>
              </w:rPr>
              <w:t>日止</w:t>
            </w:r>
            <w:r>
              <w:rPr>
                <w:rFonts w:ascii="宋体" w:hAnsi="宋体" w:cs="宋体" w:eastAsia="宋体" w:hint="default"/>
                <w:sz w:val="18"/>
                <w:szCs w:val="18"/>
              </w:rPr>
            </w:r>
          </w:p>
        </w:tc>
        <w:tc>
          <w:tcPr>
            <w:tcW w:w="1198" w:type="dxa"/>
            <w:tcBorders>
              <w:top w:val="nil" w:sz="6" w:space="0" w:color="auto"/>
              <w:left w:val="single" w:sz="4" w:space="0" w:color="000000"/>
              <w:bottom w:val="single" w:sz="4" w:space="0" w:color="000000"/>
              <w:right w:val="single" w:sz="4" w:space="0" w:color="000000"/>
            </w:tcBorders>
          </w:tcPr>
          <w:p>
            <w:pPr/>
          </w:p>
        </w:tc>
        <w:tc>
          <w:tcPr>
            <w:tcW w:w="1206" w:type="dxa"/>
            <w:tcBorders>
              <w:top w:val="nil" w:sz="6" w:space="0" w:color="auto"/>
              <w:left w:val="single" w:sz="4" w:space="0" w:color="000000"/>
              <w:bottom w:val="single" w:sz="4" w:space="0" w:color="000000"/>
              <w:right w:val="single" w:sz="4" w:space="0" w:color="000000"/>
            </w:tcBorders>
          </w:tcPr>
          <w:p>
            <w:pPr/>
          </w:p>
        </w:tc>
        <w:tc>
          <w:tcPr>
            <w:tcW w:w="522" w:type="dxa"/>
            <w:tcBorders>
              <w:top w:val="nil" w:sz="6" w:space="0" w:color="auto"/>
              <w:left w:val="single" w:sz="4" w:space="0" w:color="000000"/>
              <w:bottom w:val="single" w:sz="4" w:space="0" w:color="000000"/>
              <w:right w:val="single" w:sz="4" w:space="0" w:color="000000"/>
            </w:tcBorders>
          </w:tcPr>
          <w:p>
            <w:pPr/>
          </w:p>
        </w:tc>
      </w:tr>
      <w:tr>
        <w:trPr>
          <w:trHeight w:val="400"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
              <w:jc w:val="right"/>
              <w:rPr>
                <w:rFonts w:ascii="宋体" w:hAnsi="宋体" w:cs="宋体" w:eastAsia="宋体" w:hint="default"/>
                <w:sz w:val="18"/>
                <w:szCs w:val="18"/>
              </w:rPr>
            </w:pPr>
            <w:r>
              <w:rPr>
                <w:rFonts w:ascii="宋体"/>
                <w:sz w:val="18"/>
              </w:rPr>
              <w:t>6,209,047,971</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
              <w:jc w:val="right"/>
              <w:rPr>
                <w:rFonts w:ascii="宋体" w:hAnsi="宋体" w:cs="宋体" w:eastAsia="宋体" w:hint="default"/>
                <w:sz w:val="18"/>
                <w:szCs w:val="18"/>
              </w:rPr>
            </w:pPr>
            <w:r>
              <w:rPr>
                <w:rFonts w:ascii="宋体"/>
                <w:sz w:val="18"/>
              </w:rPr>
              <w:t>5,592,974,892</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宋体"/>
                <w:sz w:val="18"/>
              </w:rPr>
              <w:t>616,073,079</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宋体"/>
                <w:sz w:val="18"/>
              </w:rPr>
              <w:t>11.0%</w:t>
            </w:r>
          </w:p>
        </w:tc>
        <w:tc>
          <w:tcPr>
            <w:tcW w:w="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9" w:right="0"/>
              <w:jc w:val="center"/>
              <w:rPr>
                <w:rFonts w:ascii="宋体" w:hAnsi="宋体" w:cs="宋体" w:eastAsia="宋体" w:hint="default"/>
                <w:sz w:val="18"/>
                <w:szCs w:val="18"/>
              </w:rPr>
            </w:pPr>
            <w:r>
              <w:rPr>
                <w:rFonts w:ascii="宋体"/>
                <w:sz w:val="18"/>
              </w:rPr>
              <w:t>(1)</w:t>
            </w:r>
          </w:p>
        </w:tc>
      </w:tr>
      <w:tr>
        <w:trPr>
          <w:trHeight w:val="398"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
              <w:jc w:val="right"/>
              <w:rPr>
                <w:rFonts w:ascii="宋体" w:hAnsi="宋体" w:cs="宋体" w:eastAsia="宋体" w:hint="default"/>
                <w:sz w:val="18"/>
                <w:szCs w:val="18"/>
              </w:rPr>
            </w:pPr>
            <w:r>
              <w:rPr>
                <w:rFonts w:ascii="宋体"/>
                <w:sz w:val="18"/>
              </w:rPr>
              <w:t>1,936,157,245</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
              <w:jc w:val="right"/>
              <w:rPr>
                <w:rFonts w:ascii="宋体" w:hAnsi="宋体" w:cs="宋体" w:eastAsia="宋体" w:hint="default"/>
                <w:sz w:val="18"/>
                <w:szCs w:val="18"/>
              </w:rPr>
            </w:pPr>
            <w:r>
              <w:rPr>
                <w:rFonts w:ascii="宋体"/>
                <w:sz w:val="18"/>
              </w:rPr>
              <w:t>1,929,748,643</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宋体"/>
                <w:sz w:val="18"/>
              </w:rPr>
              <w:t>6,408,602</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宋体"/>
                <w:sz w:val="18"/>
              </w:rPr>
              <w:t>0.3%</w:t>
            </w:r>
          </w:p>
        </w:tc>
        <w:tc>
          <w:tcPr>
            <w:tcW w:w="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9" w:right="0"/>
              <w:jc w:val="center"/>
              <w:rPr>
                <w:rFonts w:ascii="宋体" w:hAnsi="宋体" w:cs="宋体" w:eastAsia="宋体" w:hint="default"/>
                <w:sz w:val="18"/>
                <w:szCs w:val="18"/>
              </w:rPr>
            </w:pPr>
            <w:r>
              <w:rPr>
                <w:rFonts w:ascii="宋体"/>
                <w:sz w:val="18"/>
              </w:rPr>
              <w:t>(2)</w:t>
            </w:r>
          </w:p>
        </w:tc>
      </w:tr>
      <w:tr>
        <w:trPr>
          <w:trHeight w:val="398"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归属于公司普通股股东的所有者权益</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
              <w:jc w:val="right"/>
              <w:rPr>
                <w:rFonts w:ascii="宋体" w:hAnsi="宋体" w:cs="宋体" w:eastAsia="宋体" w:hint="default"/>
                <w:sz w:val="18"/>
                <w:szCs w:val="18"/>
              </w:rPr>
            </w:pPr>
            <w:r>
              <w:rPr>
                <w:rFonts w:ascii="宋体"/>
                <w:sz w:val="18"/>
              </w:rPr>
              <w:t>3,997,562,677</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
              <w:jc w:val="right"/>
              <w:rPr>
                <w:rFonts w:ascii="宋体" w:hAnsi="宋体" w:cs="宋体" w:eastAsia="宋体" w:hint="default"/>
                <w:sz w:val="18"/>
                <w:szCs w:val="18"/>
              </w:rPr>
            </w:pPr>
            <w:r>
              <w:rPr>
                <w:rFonts w:ascii="宋体"/>
                <w:sz w:val="18"/>
              </w:rPr>
              <w:t>3,407,472,215</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宋体"/>
                <w:sz w:val="18"/>
              </w:rPr>
              <w:t>590,090,462</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宋体"/>
                <w:sz w:val="18"/>
              </w:rPr>
              <w:t>17.3%</w:t>
            </w:r>
          </w:p>
        </w:tc>
        <w:tc>
          <w:tcPr>
            <w:tcW w:w="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9" w:right="0"/>
              <w:jc w:val="center"/>
              <w:rPr>
                <w:rFonts w:ascii="宋体" w:hAnsi="宋体" w:cs="宋体" w:eastAsia="宋体" w:hint="default"/>
                <w:sz w:val="18"/>
                <w:szCs w:val="18"/>
              </w:rPr>
            </w:pPr>
            <w:r>
              <w:rPr>
                <w:rFonts w:ascii="宋体"/>
                <w:sz w:val="18"/>
              </w:rPr>
              <w:t>(3)</w:t>
            </w:r>
          </w:p>
        </w:tc>
      </w:tr>
      <w:tr>
        <w:trPr>
          <w:trHeight w:val="400"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
              <w:jc w:val="right"/>
              <w:rPr>
                <w:rFonts w:ascii="宋体" w:hAnsi="宋体" w:cs="宋体" w:eastAsia="宋体" w:hint="default"/>
                <w:sz w:val="18"/>
                <w:szCs w:val="18"/>
              </w:rPr>
            </w:pPr>
            <w:r>
              <w:rPr>
                <w:rFonts w:ascii="宋体"/>
                <w:sz w:val="18"/>
              </w:rPr>
              <w:t>671,687,541</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
              <w:jc w:val="right"/>
              <w:rPr>
                <w:rFonts w:ascii="宋体" w:hAnsi="宋体" w:cs="宋体" w:eastAsia="宋体" w:hint="default"/>
                <w:sz w:val="18"/>
                <w:szCs w:val="18"/>
              </w:rPr>
            </w:pPr>
            <w:r>
              <w:rPr>
                <w:rFonts w:ascii="宋体"/>
                <w:sz w:val="18"/>
              </w:rPr>
              <w:t>502,595,940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宋体"/>
                <w:sz w:val="18"/>
              </w:rPr>
              <w:t>169,091,601</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宋体"/>
                <w:sz w:val="18"/>
              </w:rPr>
              <w:t>33.6%</w:t>
            </w:r>
          </w:p>
        </w:tc>
        <w:tc>
          <w:tcPr>
            <w:tcW w:w="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9" w:right="0"/>
              <w:jc w:val="center"/>
              <w:rPr>
                <w:rFonts w:ascii="宋体" w:hAnsi="宋体" w:cs="宋体" w:eastAsia="宋体" w:hint="default"/>
                <w:sz w:val="18"/>
                <w:szCs w:val="18"/>
              </w:rPr>
            </w:pPr>
            <w:r>
              <w:rPr>
                <w:rFonts w:ascii="宋体"/>
                <w:sz w:val="18"/>
              </w:rPr>
              <w:t>(4)</w:t>
            </w:r>
          </w:p>
        </w:tc>
      </w:tr>
      <w:tr>
        <w:trPr>
          <w:trHeight w:val="398"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
              <w:jc w:val="right"/>
              <w:rPr>
                <w:rFonts w:ascii="宋体" w:hAnsi="宋体" w:cs="宋体" w:eastAsia="宋体" w:hint="default"/>
                <w:sz w:val="18"/>
                <w:szCs w:val="18"/>
              </w:rPr>
            </w:pPr>
            <w:r>
              <w:rPr>
                <w:rFonts w:ascii="宋体"/>
                <w:sz w:val="18"/>
              </w:rPr>
              <w:t>640,564,034</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
              <w:jc w:val="right"/>
              <w:rPr>
                <w:rFonts w:ascii="宋体" w:hAnsi="宋体" w:cs="宋体" w:eastAsia="宋体" w:hint="default"/>
                <w:sz w:val="18"/>
                <w:szCs w:val="18"/>
              </w:rPr>
            </w:pPr>
            <w:r>
              <w:rPr>
                <w:rFonts w:ascii="宋体"/>
                <w:sz w:val="18"/>
              </w:rPr>
              <w:t>490,778,900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宋体"/>
                <w:sz w:val="18"/>
              </w:rPr>
              <w:t>149,785,134</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宋体"/>
                <w:sz w:val="18"/>
              </w:rPr>
              <w:t>30.5%</w:t>
            </w:r>
          </w:p>
        </w:tc>
        <w:tc>
          <w:tcPr>
            <w:tcW w:w="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9" w:right="0"/>
              <w:jc w:val="center"/>
              <w:rPr>
                <w:rFonts w:ascii="宋体" w:hAnsi="宋体" w:cs="宋体" w:eastAsia="宋体" w:hint="default"/>
                <w:sz w:val="18"/>
                <w:szCs w:val="18"/>
              </w:rPr>
            </w:pPr>
            <w:r>
              <w:rPr>
                <w:rFonts w:ascii="宋体"/>
                <w:sz w:val="18"/>
              </w:rPr>
              <w:t>(5)</w:t>
            </w:r>
          </w:p>
        </w:tc>
      </w:tr>
      <w:tr>
        <w:trPr>
          <w:trHeight w:val="398"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
              <w:jc w:val="right"/>
              <w:rPr>
                <w:rFonts w:ascii="宋体" w:hAnsi="宋体" w:cs="宋体" w:eastAsia="宋体" w:hint="default"/>
                <w:sz w:val="18"/>
                <w:szCs w:val="18"/>
              </w:rPr>
            </w:pPr>
            <w:r>
              <w:rPr>
                <w:rFonts w:ascii="宋体"/>
                <w:sz w:val="18"/>
              </w:rPr>
              <w:t>772,564,482</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
              <w:jc w:val="right"/>
              <w:rPr>
                <w:rFonts w:ascii="宋体" w:hAnsi="宋体" w:cs="宋体" w:eastAsia="宋体" w:hint="default"/>
                <w:sz w:val="18"/>
                <w:szCs w:val="18"/>
              </w:rPr>
            </w:pPr>
            <w:r>
              <w:rPr>
                <w:rFonts w:ascii="宋体"/>
                <w:sz w:val="18"/>
              </w:rPr>
              <w:t>732,360,398</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宋体"/>
                <w:sz w:val="18"/>
              </w:rPr>
              <w:t>40,204,084</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5"/>
              <w:jc w:val="right"/>
              <w:rPr>
                <w:rFonts w:ascii="宋体" w:hAnsi="宋体" w:cs="宋体" w:eastAsia="宋体" w:hint="default"/>
                <w:sz w:val="18"/>
                <w:szCs w:val="18"/>
              </w:rPr>
            </w:pPr>
            <w:r>
              <w:rPr>
                <w:rFonts w:ascii="宋体"/>
                <w:sz w:val="18"/>
              </w:rPr>
              <w:t>5.5%</w:t>
            </w:r>
          </w:p>
        </w:tc>
        <w:tc>
          <w:tcPr>
            <w:tcW w:w="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9" w:right="0"/>
              <w:jc w:val="center"/>
              <w:rPr>
                <w:rFonts w:ascii="宋体" w:hAnsi="宋体" w:cs="宋体" w:eastAsia="宋体" w:hint="default"/>
                <w:sz w:val="18"/>
                <w:szCs w:val="18"/>
              </w:rPr>
            </w:pPr>
            <w:r>
              <w:rPr>
                <w:rFonts w:ascii="宋体"/>
                <w:sz w:val="18"/>
              </w:rPr>
              <w:t>(6)</w:t>
            </w:r>
          </w:p>
        </w:tc>
      </w:tr>
      <w:tr>
        <w:trPr>
          <w:trHeight w:val="401"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
              <w:jc w:val="right"/>
              <w:rPr>
                <w:rFonts w:ascii="宋体" w:hAnsi="宋体" w:cs="宋体" w:eastAsia="宋体" w:hint="default"/>
                <w:sz w:val="18"/>
                <w:szCs w:val="18"/>
              </w:rPr>
            </w:pPr>
            <w:r>
              <w:rPr>
                <w:rFonts w:ascii="宋体"/>
                <w:sz w:val="18"/>
              </w:rPr>
              <w:t>460,821,014</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
              <w:jc w:val="right"/>
              <w:rPr>
                <w:rFonts w:ascii="宋体" w:hAnsi="宋体" w:cs="宋体" w:eastAsia="宋体" w:hint="default"/>
                <w:sz w:val="18"/>
                <w:szCs w:val="18"/>
              </w:rPr>
            </w:pPr>
            <w:r>
              <w:rPr>
                <w:rFonts w:ascii="宋体"/>
                <w:sz w:val="18"/>
              </w:rPr>
              <w:t>-213,797,253</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5"/>
              <w:jc w:val="right"/>
              <w:rPr>
                <w:rFonts w:ascii="宋体" w:hAnsi="宋体" w:cs="宋体" w:eastAsia="宋体" w:hint="default"/>
                <w:sz w:val="18"/>
                <w:szCs w:val="18"/>
              </w:rPr>
            </w:pPr>
            <w:r>
              <w:rPr>
                <w:rFonts w:ascii="宋体"/>
                <w:sz w:val="18"/>
              </w:rPr>
              <w:t>674,618,267</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5"/>
              <w:jc w:val="right"/>
              <w:rPr>
                <w:rFonts w:ascii="宋体" w:hAnsi="宋体" w:cs="宋体" w:eastAsia="宋体" w:hint="default"/>
                <w:sz w:val="18"/>
                <w:szCs w:val="18"/>
              </w:rPr>
            </w:pPr>
            <w:r>
              <w:rPr>
                <w:rFonts w:ascii="宋体"/>
                <w:sz w:val="18"/>
              </w:rPr>
              <w:t>315.5%</w:t>
            </w:r>
          </w:p>
        </w:tc>
        <w:tc>
          <w:tcPr>
            <w:tcW w:w="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9" w:right="0"/>
              <w:jc w:val="center"/>
              <w:rPr>
                <w:rFonts w:ascii="宋体" w:hAnsi="宋体" w:cs="宋体" w:eastAsia="宋体" w:hint="default"/>
                <w:sz w:val="18"/>
                <w:szCs w:val="18"/>
              </w:rPr>
            </w:pPr>
            <w:r>
              <w:rPr>
                <w:rFonts w:ascii="宋体"/>
                <w:sz w:val="18"/>
              </w:rPr>
              <w:t>(7)</w:t>
            </w:r>
          </w:p>
        </w:tc>
      </w:tr>
    </w:tbl>
    <w:p>
      <w:pPr>
        <w:spacing w:line="240" w:lineRule="auto" w:before="6"/>
        <w:rPr>
          <w:rFonts w:ascii="宋体" w:hAnsi="宋体" w:cs="宋体" w:eastAsia="宋体" w:hint="default"/>
          <w:sz w:val="14"/>
          <w:szCs w:val="14"/>
        </w:rPr>
      </w:pPr>
    </w:p>
    <w:p>
      <w:pPr>
        <w:pStyle w:val="BodyText"/>
        <w:spacing w:line="312" w:lineRule="exact" w:before="26"/>
        <w:ind w:left="960" w:right="4184"/>
        <w:jc w:val="left"/>
      </w:pPr>
      <w:r>
        <w:rPr/>
        <w:t>变动说明：</w:t>
      </w:r>
    </w:p>
    <w:p>
      <w:pPr>
        <w:pStyle w:val="BodyText"/>
        <w:spacing w:line="312" w:lineRule="exact" w:before="29"/>
        <w:ind w:left="480" w:right="464" w:firstLine="420"/>
        <w:jc w:val="left"/>
      </w:pPr>
      <w:r>
        <w:rPr/>
        <w:t>(1)</w:t>
      </w:r>
      <w:r>
        <w:rPr>
          <w:spacing w:val="-59"/>
        </w:rPr>
        <w:t> </w:t>
      </w:r>
      <w:r>
        <w:rPr/>
        <w:t>总资产期末较期初增加</w:t>
      </w:r>
      <w:r>
        <w:rPr>
          <w:spacing w:val="-59"/>
        </w:rPr>
        <w:t> </w:t>
      </w:r>
      <w:r>
        <w:rPr/>
        <w:t>61,607</w:t>
      </w:r>
      <w:r>
        <w:rPr>
          <w:spacing w:val="-59"/>
        </w:rPr>
        <w:t> </w:t>
      </w:r>
      <w:r>
        <w:rPr>
          <w:spacing w:val="-18"/>
        </w:rPr>
        <w:t>万元，上升</w:t>
      </w:r>
      <w:r>
        <w:rPr>
          <w:spacing w:val="-59"/>
        </w:rPr>
        <w:t> </w:t>
      </w:r>
      <w:r>
        <w:rPr/>
        <w:t>11.0</w:t>
      </w:r>
      <w:r>
        <w:rPr>
          <w:spacing w:val="-59"/>
        </w:rPr>
        <w:t> </w:t>
      </w:r>
      <w:r>
        <w:rPr>
          <w:spacing w:val="-8"/>
        </w:rPr>
        <w:t>%，主要由于货币资金增加</w:t>
      </w:r>
      <w:r>
        <w:rPr>
          <w:spacing w:val="-59"/>
        </w:rPr>
        <w:t> </w:t>
      </w:r>
      <w:r>
        <w:rPr/>
        <w:t>46,082</w:t>
      </w:r>
      <w:r>
        <w:rPr/>
        <w:t> 万元所致；</w:t>
      </w:r>
    </w:p>
    <w:p>
      <w:pPr>
        <w:pStyle w:val="BodyText"/>
        <w:spacing w:line="281" w:lineRule="exact"/>
        <w:ind w:left="900" w:right="0"/>
        <w:jc w:val="left"/>
      </w:pPr>
      <w:r>
        <w:rPr/>
        <w:t>(2)</w:t>
      </w:r>
      <w:r>
        <w:rPr>
          <w:spacing w:val="-67"/>
        </w:rPr>
        <w:t> </w:t>
      </w:r>
      <w:r>
        <w:rPr/>
        <w:t>负债合计期末较期初增加</w:t>
      </w:r>
      <w:r>
        <w:rPr>
          <w:spacing w:val="-67"/>
        </w:rPr>
        <w:t> </w:t>
      </w:r>
      <w:r>
        <w:rPr/>
        <w:t>641</w:t>
      </w:r>
      <w:r>
        <w:rPr>
          <w:spacing w:val="-67"/>
        </w:rPr>
        <w:t> </w:t>
      </w:r>
      <w:r>
        <w:rPr>
          <w:spacing w:val="-6"/>
        </w:rPr>
        <w:t>万元，上升</w:t>
      </w:r>
      <w:r>
        <w:rPr>
          <w:spacing w:val="-67"/>
        </w:rPr>
        <w:t> </w:t>
      </w:r>
      <w:r>
        <w:rPr/>
        <w:t>0.3%，主要由于报告期内公司应付账款</w:t>
      </w:r>
    </w:p>
    <w:p>
      <w:pPr>
        <w:pStyle w:val="BodyText"/>
        <w:spacing w:line="311" w:lineRule="exact"/>
        <w:ind w:left="480" w:right="4184"/>
        <w:jc w:val="left"/>
      </w:pPr>
      <w:r>
        <w:rPr/>
        <w:t>等负债增加所致；</w:t>
      </w:r>
    </w:p>
    <w:p>
      <w:pPr>
        <w:pStyle w:val="BodyText"/>
        <w:spacing w:line="311" w:lineRule="exact"/>
        <w:ind w:left="900" w:right="0"/>
        <w:jc w:val="left"/>
      </w:pPr>
      <w:r>
        <w:rPr/>
        <w:t>(3)</w:t>
      </w:r>
      <w:r>
        <w:rPr>
          <w:spacing w:val="-45"/>
        </w:rPr>
        <w:t> </w:t>
      </w:r>
      <w:r>
        <w:rPr/>
        <w:t>归属于公司普通股股东的所有者权益期末较期初增加</w:t>
      </w:r>
      <w:r>
        <w:rPr>
          <w:spacing w:val="-45"/>
        </w:rPr>
        <w:t> </w:t>
      </w:r>
      <w:r>
        <w:rPr/>
        <w:t>59,009</w:t>
      </w:r>
      <w:r>
        <w:rPr>
          <w:spacing w:val="-45"/>
        </w:rPr>
        <w:t> </w:t>
      </w:r>
      <w:r>
        <w:rPr/>
        <w:t>万元，上升</w:t>
      </w:r>
      <w:r>
        <w:rPr>
          <w:spacing w:val="-45"/>
        </w:rPr>
        <w:t> </w:t>
      </w:r>
      <w:r>
        <w:rPr/>
        <w:t>17.3%，</w:t>
      </w:r>
    </w:p>
    <w:p>
      <w:pPr>
        <w:pStyle w:val="BodyText"/>
        <w:spacing w:line="311" w:lineRule="exact"/>
        <w:ind w:left="480" w:right="464"/>
        <w:jc w:val="left"/>
      </w:pPr>
      <w:r>
        <w:rPr/>
        <w:t>主要由于报告期实现归属于公司普通股股东的净利润</w:t>
      </w:r>
      <w:r>
        <w:rPr>
          <w:spacing w:val="-60"/>
        </w:rPr>
        <w:t> </w:t>
      </w:r>
      <w:r>
        <w:rPr/>
        <w:t>64,056</w:t>
      </w:r>
      <w:r>
        <w:rPr>
          <w:spacing w:val="-60"/>
        </w:rPr>
        <w:t> </w:t>
      </w:r>
      <w:r>
        <w:rPr/>
        <w:t>万元所致；</w:t>
      </w:r>
    </w:p>
    <w:p>
      <w:pPr>
        <w:pStyle w:val="BodyText"/>
        <w:spacing w:line="310" w:lineRule="exact" w:before="31"/>
        <w:ind w:left="480" w:right="472" w:firstLine="420"/>
        <w:jc w:val="both"/>
      </w:pPr>
      <w:r>
        <w:rPr/>
        <w:t>(4)</w:t>
      </w:r>
      <w:r>
        <w:rPr>
          <w:spacing w:val="-67"/>
        </w:rPr>
        <w:t> </w:t>
      </w:r>
      <w:r>
        <w:rPr/>
        <w:t>营业利润较上年同期增加</w:t>
      </w:r>
      <w:r>
        <w:rPr>
          <w:spacing w:val="-67"/>
        </w:rPr>
        <w:t> </w:t>
      </w:r>
      <w:r>
        <w:rPr/>
        <w:t>16,909</w:t>
      </w:r>
      <w:r>
        <w:rPr>
          <w:spacing w:val="-67"/>
        </w:rPr>
        <w:t> </w:t>
      </w:r>
      <w:r>
        <w:rPr>
          <w:spacing w:val="-6"/>
        </w:rPr>
        <w:t>万元，上升</w:t>
      </w:r>
      <w:r>
        <w:rPr>
          <w:spacing w:val="-67"/>
        </w:rPr>
        <w:t> </w:t>
      </w:r>
      <w:r>
        <w:rPr/>
        <w:t>33.6%，主要由于报告期内公司营业</w:t>
      </w:r>
      <w:r>
        <w:rPr/>
        <w:t> </w:t>
      </w:r>
      <w:r>
        <w:rPr>
          <w:spacing w:val="2"/>
        </w:rPr>
        <w:t>收入增长带来的利润贡献增长及处置可供出售金融资产取得的投资收益较上年同期增加</w:t>
      </w:r>
      <w:r>
        <w:rPr>
          <w:spacing w:val="-84"/>
        </w:rPr>
        <w:t> </w:t>
      </w:r>
      <w:r>
        <w:rPr>
          <w:spacing w:val="-84"/>
        </w:rPr>
      </w:r>
      <w:r>
        <w:rPr/>
        <w:t>所致；</w:t>
      </w:r>
    </w:p>
    <w:p>
      <w:pPr>
        <w:spacing w:after="0" w:line="310" w:lineRule="exact"/>
        <w:jc w:val="both"/>
        <w:sectPr>
          <w:type w:val="continuous"/>
          <w:pgSz w:w="11910" w:h="16840"/>
          <w:pgMar w:top="1600" w:bottom="280" w:left="880" w:right="820"/>
        </w:sectPr>
      </w:pPr>
    </w:p>
    <w:p>
      <w:pPr>
        <w:spacing w:line="240" w:lineRule="auto" w:before="1"/>
        <w:rPr>
          <w:rFonts w:ascii="宋体" w:hAnsi="宋体" w:cs="宋体" w:eastAsia="宋体" w:hint="default"/>
          <w:sz w:val="20"/>
          <w:szCs w:val="20"/>
        </w:rPr>
      </w:pPr>
    </w:p>
    <w:p>
      <w:pPr>
        <w:pStyle w:val="BodyText"/>
        <w:spacing w:line="237" w:lineRule="auto" w:before="28"/>
        <w:ind w:right="152" w:firstLine="420"/>
        <w:jc w:val="both"/>
      </w:pPr>
      <w:r>
        <w:rPr/>
        <w:t>(5) 归属于公司普通股股东的净利润较上年同期增加 14,979 万元，上升</w:t>
      </w:r>
      <w:r>
        <w:rPr>
          <w:spacing w:val="-58"/>
        </w:rPr>
        <w:t> </w:t>
      </w:r>
      <w:r>
        <w:rPr/>
        <w:t>30.5%，主</w:t>
      </w:r>
      <w:r>
        <w:rPr/>
        <w:t> </w:t>
      </w:r>
      <w:r>
        <w:rPr>
          <w:spacing w:val="2"/>
        </w:rPr>
        <w:t>要由于报告期内公司营业收入增长带来的利润贡献增长及处置可供出售金融资产取得的</w:t>
      </w:r>
      <w:r>
        <w:rPr>
          <w:spacing w:val="-84"/>
        </w:rPr>
        <w:t> </w:t>
      </w:r>
      <w:r>
        <w:rPr>
          <w:spacing w:val="-84"/>
        </w:rPr>
      </w:r>
      <w:r>
        <w:rPr/>
        <w:t>投资收益较上年同期增加所致；</w:t>
      </w:r>
    </w:p>
    <w:p>
      <w:pPr>
        <w:pStyle w:val="BodyText"/>
        <w:spacing w:line="312" w:lineRule="exact" w:before="27"/>
        <w:ind w:right="159" w:firstLine="420"/>
        <w:jc w:val="both"/>
      </w:pPr>
      <w:r>
        <w:rPr/>
        <w:t>(6)</w:t>
      </w:r>
      <w:r>
        <w:rPr>
          <w:spacing w:val="-59"/>
        </w:rPr>
        <w:t> </w:t>
      </w:r>
      <w:r>
        <w:rPr/>
        <w:t>经营活动产生的现金流量净额较上年同期增加</w:t>
      </w:r>
      <w:r>
        <w:rPr>
          <w:spacing w:val="-59"/>
        </w:rPr>
        <w:t> </w:t>
      </w:r>
      <w:r>
        <w:rPr/>
        <w:t>4,020</w:t>
      </w:r>
      <w:r>
        <w:rPr>
          <w:spacing w:val="-59"/>
        </w:rPr>
        <w:t> </w:t>
      </w:r>
      <w:r>
        <w:rPr>
          <w:spacing w:val="-6"/>
        </w:rPr>
        <w:t>万元，上升</w:t>
      </w:r>
      <w:r>
        <w:rPr>
          <w:spacing w:val="-59"/>
        </w:rPr>
        <w:t> </w:t>
      </w:r>
      <w:r>
        <w:rPr>
          <w:spacing w:val="-4"/>
        </w:rPr>
        <w:t>5.5%，主要是由</w:t>
      </w:r>
      <w:r>
        <w:rPr/>
        <w:t> 于报告期内经营性现金流入同比增加超过经营性现金流出所致；</w:t>
      </w:r>
    </w:p>
    <w:p>
      <w:pPr>
        <w:pStyle w:val="BodyText"/>
        <w:spacing w:line="281" w:lineRule="exact"/>
        <w:ind w:left="560" w:right="0"/>
        <w:jc w:val="left"/>
      </w:pPr>
      <w:r>
        <w:rPr/>
        <w:t>(7) 现金及现金等价物净增加额比上年同期增加 67,462</w:t>
      </w:r>
      <w:r>
        <w:rPr>
          <w:spacing w:val="-60"/>
        </w:rPr>
        <w:t> </w:t>
      </w:r>
      <w:r>
        <w:rPr/>
        <w:t>万元，上升</w:t>
      </w:r>
      <w:r>
        <w:rPr>
          <w:spacing w:val="-60"/>
        </w:rPr>
        <w:t> </w:t>
      </w:r>
      <w:r>
        <w:rPr/>
        <w:t>315.5%，其中：</w:t>
      </w:r>
    </w:p>
    <w:p>
      <w:pPr>
        <w:pStyle w:val="BodyText"/>
        <w:spacing w:line="311" w:lineRule="exact"/>
        <w:ind w:right="0"/>
        <w:jc w:val="left"/>
      </w:pPr>
      <w:r>
        <w:rPr/>
        <w:t>经营活动现金净流量比上年同期增加 4,020 万元；投资活动现金净流量比上年同期减少</w:t>
      </w:r>
    </w:p>
    <w:p>
      <w:pPr>
        <w:pStyle w:val="BodyText"/>
        <w:spacing w:line="311" w:lineRule="exact"/>
        <w:ind w:right="0"/>
        <w:jc w:val="left"/>
      </w:pPr>
      <w:r>
        <w:rPr/>
        <w:t>32,063</w:t>
      </w:r>
      <w:r>
        <w:rPr>
          <w:spacing w:val="-67"/>
        </w:rPr>
        <w:t> </w:t>
      </w:r>
      <w:r>
        <w:rPr/>
        <w:t>万元；筹资活动现金净流量比上年同期减少</w:t>
      </w:r>
      <w:r>
        <w:rPr>
          <w:spacing w:val="-67"/>
        </w:rPr>
        <w:t> </w:t>
      </w:r>
      <w:r>
        <w:rPr/>
        <w:t>34,236</w:t>
      </w:r>
      <w:r>
        <w:rPr>
          <w:spacing w:val="-67"/>
        </w:rPr>
        <w:t> </w:t>
      </w:r>
      <w:r>
        <w:rPr>
          <w:spacing w:val="-3"/>
        </w:rPr>
        <w:t>万元，主要由于报告期内净归</w:t>
      </w:r>
    </w:p>
    <w:p>
      <w:pPr>
        <w:pStyle w:val="BodyText"/>
        <w:spacing w:line="310" w:lineRule="exact" w:before="30"/>
        <w:ind w:left="620" w:right="144" w:hanging="480"/>
        <w:jc w:val="left"/>
      </w:pPr>
      <w:r>
        <w:rPr/>
        <w:t>还银行借款</w:t>
      </w:r>
      <w:r>
        <w:rPr>
          <w:spacing w:val="-60"/>
        </w:rPr>
        <w:t> </w:t>
      </w:r>
      <w:r>
        <w:rPr/>
        <w:t>15,300</w:t>
      </w:r>
      <w:r>
        <w:rPr>
          <w:spacing w:val="-60"/>
        </w:rPr>
        <w:t> </w:t>
      </w:r>
      <w:r>
        <w:rPr/>
        <w:t>万元，上年同期净归还银行借款</w:t>
      </w:r>
      <w:r>
        <w:rPr>
          <w:spacing w:val="-60"/>
        </w:rPr>
        <w:t> </w:t>
      </w:r>
      <w:r>
        <w:rPr/>
        <w:t>47,000</w:t>
      </w:r>
      <w:r>
        <w:rPr>
          <w:spacing w:val="-60"/>
        </w:rPr>
        <w:t> </w:t>
      </w:r>
      <w:r>
        <w:rPr/>
        <w:t>万元所致。</w:t>
      </w:r>
      <w:r>
        <w:rPr/>
        <w:t> </w:t>
      </w:r>
      <w:r>
        <w:rPr>
          <w:spacing w:val="-4"/>
        </w:rPr>
        <w:t>从上述公司总体财务状况与经营成果的同期比较分析可见，公司报告期内主营业务稳</w:t>
      </w:r>
    </w:p>
    <w:p>
      <w:pPr>
        <w:pStyle w:val="BodyText"/>
        <w:spacing w:line="284" w:lineRule="exact"/>
        <w:ind w:right="144"/>
        <w:jc w:val="left"/>
      </w:pPr>
      <w:r>
        <w:rPr/>
        <w:t>定增长，盈利能力提升，净利润同比增长良好，经营活动获得了良好的现金流。</w:t>
      </w:r>
    </w:p>
    <w:p>
      <w:pPr>
        <w:spacing w:after="0" w:line="284" w:lineRule="exact"/>
        <w:jc w:val="left"/>
        <w:sectPr>
          <w:pgSz w:w="11910" w:h="16840"/>
          <w:pgMar w:header="720" w:footer="721" w:top="1100" w:bottom="920" w:left="1220" w:right="1140"/>
        </w:sectPr>
      </w:pPr>
    </w:p>
    <w:p>
      <w:pPr>
        <w:spacing w:line="240" w:lineRule="auto" w:before="3"/>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1910" w:h="16840"/>
          <w:pgMar w:header="720" w:footer="721" w:top="1100" w:bottom="920" w:left="1220" w:right="1040"/>
        </w:sectPr>
      </w:pPr>
    </w:p>
    <w:p>
      <w:pPr>
        <w:pStyle w:val="BodyText"/>
        <w:spacing w:line="240" w:lineRule="auto" w:before="26"/>
        <w:ind w:right="-20"/>
        <w:jc w:val="left"/>
      </w:pPr>
      <w:r>
        <w:rPr/>
        <w:t>2、公司经营成果各具体指标对比分析如下</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2"/>
        <w:rPr>
          <w:rFonts w:ascii="宋体" w:hAnsi="宋体" w:cs="宋体" w:eastAsia="宋体" w:hint="default"/>
          <w:sz w:val="14"/>
          <w:szCs w:val="14"/>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pacing w:val="-9"/>
          <w:sz w:val="21"/>
          <w:szCs w:val="21"/>
        </w:rPr>
        <w:t>单位：元；币种：人民币</w:t>
      </w:r>
    </w:p>
    <w:p>
      <w:pPr>
        <w:spacing w:after="0"/>
        <w:jc w:val="left"/>
        <w:rPr>
          <w:rFonts w:ascii="宋体" w:hAnsi="宋体" w:cs="宋体" w:eastAsia="宋体" w:hint="default"/>
          <w:sz w:val="21"/>
          <w:szCs w:val="21"/>
        </w:rPr>
        <w:sectPr>
          <w:type w:val="continuous"/>
          <w:pgSz w:w="11910" w:h="16840"/>
          <w:pgMar w:top="1600" w:bottom="280" w:left="1220" w:right="1040"/>
          <w:cols w:num="2" w:equalWidth="0">
            <w:col w:w="4581" w:space="2223"/>
            <w:col w:w="2846"/>
          </w:cols>
        </w:sectPr>
      </w:pPr>
    </w:p>
    <w:tbl>
      <w:tblPr>
        <w:tblW w:w="0" w:type="auto"/>
        <w:jc w:val="left"/>
        <w:tblInd w:w="347" w:type="dxa"/>
        <w:tblLayout w:type="fixed"/>
        <w:tblCellMar>
          <w:top w:w="0" w:type="dxa"/>
          <w:left w:w="0" w:type="dxa"/>
          <w:bottom w:w="0" w:type="dxa"/>
          <w:right w:w="0" w:type="dxa"/>
        </w:tblCellMar>
        <w:tblLook w:val="01E0"/>
      </w:tblPr>
      <w:tblGrid>
        <w:gridCol w:w="1506"/>
        <w:gridCol w:w="2200"/>
        <w:gridCol w:w="2462"/>
        <w:gridCol w:w="1200"/>
        <w:gridCol w:w="1020"/>
        <w:gridCol w:w="688"/>
      </w:tblGrid>
      <w:tr>
        <w:trPr>
          <w:trHeight w:val="1050" w:hRule="exact"/>
        </w:trPr>
        <w:tc>
          <w:tcPr>
            <w:tcW w:w="15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left="15"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宋体" w:hAnsi="宋体" w:cs="宋体" w:eastAsia="宋体" w:hint="default"/>
                <w:b/>
                <w:bCs/>
                <w:sz w:val="18"/>
                <w:szCs w:val="18"/>
              </w:rPr>
              <w:t>31</w:t>
            </w:r>
            <w:r>
              <w:rPr>
                <w:rFonts w:ascii="宋体" w:hAnsi="宋体" w:cs="宋体" w:eastAsia="宋体" w:hint="default"/>
                <w:b/>
                <w:bCs/>
                <w:spacing w:val="-46"/>
                <w:sz w:val="18"/>
                <w:szCs w:val="18"/>
              </w:rPr>
              <w:t> </w:t>
            </w:r>
            <w:r>
              <w:rPr>
                <w:rFonts w:ascii="宋体" w:hAnsi="宋体" w:cs="宋体" w:eastAsia="宋体" w:hint="default"/>
                <w:b/>
                <w:bCs/>
                <w:sz w:val="18"/>
                <w:szCs w:val="18"/>
              </w:rPr>
              <w:t>日/2009</w:t>
            </w:r>
            <w:r>
              <w:rPr>
                <w:rFonts w:ascii="宋体" w:hAnsi="宋体" w:cs="宋体" w:eastAsia="宋体" w:hint="default"/>
                <w:b/>
                <w:bCs/>
                <w:spacing w:val="-46"/>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pacing w:val="22"/>
                <w:sz w:val="18"/>
                <w:szCs w:val="18"/>
              </w:rPr>
              <w:t>1月</w:t>
            </w:r>
            <w:r>
              <w:rPr>
                <w:rFonts w:ascii="宋体" w:hAnsi="宋体" w:cs="宋体" w:eastAsia="宋体" w:hint="default"/>
                <w:b/>
                <w:bCs/>
                <w:spacing w:val="-46"/>
                <w:sz w:val="18"/>
                <w:szCs w:val="18"/>
              </w:rPr>
              <w:t> </w:t>
            </w:r>
            <w:r>
              <w:rPr>
                <w:rFonts w:ascii="宋体" w:hAnsi="宋体" w:cs="宋体" w:eastAsia="宋体" w:hint="default"/>
                <w:b/>
                <w:bCs/>
                <w:sz w:val="18"/>
                <w:szCs w:val="18"/>
              </w:rPr>
              <w:t>1</w:t>
            </w:r>
            <w:r>
              <w:rPr>
                <w:rFonts w:ascii="宋体" w:hAnsi="宋体" w:cs="宋体" w:eastAsia="宋体" w:hint="default"/>
                <w:b/>
                <w:bCs/>
                <w:spacing w:val="-48"/>
                <w:sz w:val="18"/>
                <w:szCs w:val="18"/>
              </w:rPr>
              <w:t> </w:t>
            </w:r>
            <w:r>
              <w:rPr>
                <w:rFonts w:ascii="宋体" w:hAnsi="宋体" w:cs="宋体" w:eastAsia="宋体" w:hint="default"/>
                <w:b/>
                <w:bCs/>
                <w:sz w:val="18"/>
                <w:szCs w:val="18"/>
              </w:rPr>
              <w:t>日至</w:t>
            </w:r>
            <w:r>
              <w:rPr>
                <w:rFonts w:ascii="宋体" w:hAnsi="宋体" w:cs="宋体" w:eastAsia="宋体" w:hint="default"/>
                <w:b/>
                <w:bCs/>
                <w:spacing w:val="-46"/>
                <w:sz w:val="18"/>
                <w:szCs w:val="18"/>
              </w:rPr>
              <w:t> </w:t>
            </w:r>
            <w:r>
              <w:rPr>
                <w:rFonts w:ascii="宋体" w:hAnsi="宋体" w:cs="宋体" w:eastAsia="宋体" w:hint="default"/>
                <w:b/>
                <w:bCs/>
                <w:spacing w:val="15"/>
                <w:sz w:val="18"/>
                <w:szCs w:val="18"/>
              </w:rPr>
              <w:t>12月</w:t>
            </w:r>
            <w:r>
              <w:rPr>
                <w:rFonts w:ascii="宋体" w:hAnsi="宋体" w:cs="宋体" w:eastAsia="宋体" w:hint="default"/>
                <w:b/>
                <w:bCs/>
                <w:spacing w:val="-46"/>
                <w:sz w:val="18"/>
                <w:szCs w:val="18"/>
              </w:rPr>
              <w:t> </w:t>
            </w:r>
            <w:r>
              <w:rPr>
                <w:rFonts w:ascii="宋体" w:hAnsi="宋体" w:cs="宋体" w:eastAsia="宋体" w:hint="default"/>
                <w:b/>
                <w:bCs/>
                <w:sz w:val="18"/>
                <w:szCs w:val="18"/>
              </w:rPr>
              <w:t>31</w:t>
            </w:r>
            <w:r>
              <w:rPr>
                <w:rFonts w:ascii="宋体" w:hAnsi="宋体" w:cs="宋体" w:eastAsia="宋体" w:hint="default"/>
                <w:b/>
                <w:bCs/>
                <w:spacing w:val="-46"/>
                <w:sz w:val="18"/>
                <w:szCs w:val="18"/>
              </w:rPr>
              <w:t> </w:t>
            </w:r>
            <w:r>
              <w:rPr>
                <w:rFonts w:ascii="宋体" w:hAnsi="宋体" w:cs="宋体" w:eastAsia="宋体" w:hint="default"/>
                <w:b/>
                <w:bCs/>
                <w:sz w:val="18"/>
                <w:szCs w:val="18"/>
              </w:rPr>
              <w:t>日止</w:t>
            </w:r>
            <w:r>
              <w:rPr>
                <w:rFonts w:ascii="宋体" w:hAnsi="宋体" w:cs="宋体" w:eastAsia="宋体" w:hint="default"/>
                <w:sz w:val="18"/>
                <w:szCs w:val="18"/>
              </w:rPr>
            </w:r>
          </w:p>
        </w:tc>
        <w:tc>
          <w:tcPr>
            <w:tcW w:w="24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9"/>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9"/>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宋体" w:hAnsi="宋体" w:cs="宋体" w:eastAsia="宋体" w:hint="default"/>
                <w:b/>
                <w:bCs/>
                <w:sz w:val="18"/>
                <w:szCs w:val="18"/>
              </w:rPr>
              <w:t>31</w:t>
            </w:r>
            <w:r>
              <w:rPr>
                <w:rFonts w:ascii="宋体" w:hAnsi="宋体" w:cs="宋体" w:eastAsia="宋体" w:hint="default"/>
                <w:b/>
                <w:bCs/>
                <w:spacing w:val="-47"/>
                <w:sz w:val="18"/>
                <w:szCs w:val="18"/>
              </w:rPr>
              <w:t> </w:t>
            </w:r>
            <w:r>
              <w:rPr>
                <w:rFonts w:ascii="宋体" w:hAnsi="宋体" w:cs="宋体" w:eastAsia="宋体" w:hint="default"/>
                <w:b/>
                <w:bCs/>
                <w:sz w:val="18"/>
                <w:szCs w:val="18"/>
              </w:rPr>
              <w:t>日/2008</w:t>
            </w:r>
            <w:r>
              <w:rPr>
                <w:rFonts w:ascii="宋体" w:hAnsi="宋体" w:cs="宋体" w:eastAsia="宋体" w:hint="default"/>
                <w:b/>
                <w:bCs/>
                <w:spacing w:val="-47"/>
                <w:sz w:val="18"/>
                <w:szCs w:val="18"/>
              </w:rPr>
              <w:t> </w:t>
            </w:r>
            <w:r>
              <w:rPr>
                <w:rFonts w:ascii="宋体" w:hAnsi="宋体" w:cs="宋体" w:eastAsia="宋体" w:hint="default"/>
                <w:b/>
                <w:bCs/>
                <w:sz w:val="18"/>
                <w:szCs w:val="18"/>
              </w:rPr>
              <w:t>年</w:t>
            </w:r>
            <w:r>
              <w:rPr>
                <w:rFonts w:ascii="宋体" w:hAnsi="宋体" w:cs="宋体" w:eastAsia="宋体" w:hint="default"/>
                <w:b/>
                <w:bCs/>
                <w:spacing w:val="-49"/>
                <w:sz w:val="18"/>
                <w:szCs w:val="18"/>
              </w:rPr>
              <w:t> </w:t>
            </w:r>
            <w:r>
              <w:rPr>
                <w:rFonts w:ascii="宋体" w:hAnsi="宋体" w:cs="宋体" w:eastAsia="宋体" w:hint="default"/>
                <w:b/>
                <w:bCs/>
                <w:sz w:val="18"/>
                <w:szCs w:val="18"/>
              </w:rPr>
              <w:t>1</w:t>
            </w:r>
            <w:r>
              <w:rPr>
                <w:rFonts w:ascii="宋体" w:hAnsi="宋体" w:cs="宋体" w:eastAsia="宋体" w:hint="default"/>
                <w:sz w:val="18"/>
                <w:szCs w:val="18"/>
              </w:rPr>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b/>
                <w:bCs/>
                <w:spacing w:val="22"/>
                <w:sz w:val="18"/>
                <w:szCs w:val="18"/>
              </w:rPr>
              <w:t>月1</w:t>
            </w:r>
            <w:r>
              <w:rPr>
                <w:rFonts w:ascii="宋体" w:hAnsi="宋体" w:cs="宋体" w:eastAsia="宋体" w:hint="default"/>
                <w:b/>
                <w:bCs/>
                <w:spacing w:val="-46"/>
                <w:sz w:val="18"/>
                <w:szCs w:val="18"/>
              </w:rPr>
              <w:t> </w:t>
            </w:r>
            <w:r>
              <w:rPr>
                <w:rFonts w:ascii="宋体" w:hAnsi="宋体" w:cs="宋体" w:eastAsia="宋体" w:hint="default"/>
                <w:b/>
                <w:bCs/>
                <w:sz w:val="18"/>
                <w:szCs w:val="18"/>
              </w:rPr>
              <w:t>日至</w:t>
            </w:r>
            <w:r>
              <w:rPr>
                <w:rFonts w:ascii="宋体" w:hAnsi="宋体" w:cs="宋体" w:eastAsia="宋体" w:hint="default"/>
                <w:b/>
                <w:bCs/>
                <w:spacing w:val="-46"/>
                <w:sz w:val="18"/>
                <w:szCs w:val="18"/>
              </w:rPr>
              <w:t> </w:t>
            </w:r>
            <w:r>
              <w:rPr>
                <w:rFonts w:ascii="宋体" w:hAnsi="宋体" w:cs="宋体" w:eastAsia="宋体" w:hint="default"/>
                <w:b/>
                <w:bCs/>
                <w:spacing w:val="15"/>
                <w:sz w:val="18"/>
                <w:szCs w:val="18"/>
              </w:rPr>
              <w:t>12月</w:t>
            </w:r>
            <w:r>
              <w:rPr>
                <w:rFonts w:ascii="宋体" w:hAnsi="宋体" w:cs="宋体" w:eastAsia="宋体" w:hint="default"/>
                <w:b/>
                <w:bCs/>
                <w:spacing w:val="-48"/>
                <w:sz w:val="18"/>
                <w:szCs w:val="18"/>
              </w:rPr>
              <w:t> </w:t>
            </w:r>
            <w:r>
              <w:rPr>
                <w:rFonts w:ascii="宋体" w:hAnsi="宋体" w:cs="宋体" w:eastAsia="宋体" w:hint="default"/>
                <w:b/>
                <w:bCs/>
                <w:sz w:val="18"/>
                <w:szCs w:val="18"/>
              </w:rPr>
              <w:t>31</w:t>
            </w:r>
            <w:r>
              <w:rPr>
                <w:rFonts w:ascii="宋体" w:hAnsi="宋体" w:cs="宋体" w:eastAsia="宋体" w:hint="default"/>
                <w:b/>
                <w:bCs/>
                <w:spacing w:val="-48"/>
                <w:sz w:val="18"/>
                <w:szCs w:val="18"/>
              </w:rPr>
              <w:t> </w:t>
            </w:r>
            <w:r>
              <w:rPr>
                <w:rFonts w:ascii="宋体" w:hAnsi="宋体" w:cs="宋体" w:eastAsia="宋体" w:hint="default"/>
                <w:b/>
                <w:bCs/>
                <w:sz w:val="18"/>
                <w:szCs w:val="18"/>
              </w:rPr>
              <w:t>日止</w:t>
            </w:r>
            <w:r>
              <w:rPr>
                <w:rFonts w:ascii="宋体" w:hAnsi="宋体" w:cs="宋体" w:eastAsia="宋体" w:hint="default"/>
                <w:sz w:val="18"/>
                <w:szCs w:val="18"/>
              </w:rPr>
            </w:r>
          </w:p>
        </w:tc>
        <w:tc>
          <w:tcPr>
            <w:tcW w:w="1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left="318" w:right="0"/>
              <w:jc w:val="left"/>
              <w:rPr>
                <w:rFonts w:ascii="宋体" w:hAnsi="宋体" w:cs="宋体" w:eastAsia="宋体" w:hint="default"/>
                <w:sz w:val="18"/>
                <w:szCs w:val="18"/>
              </w:rPr>
            </w:pPr>
            <w:r>
              <w:rPr>
                <w:rFonts w:ascii="宋体" w:hAnsi="宋体" w:cs="宋体" w:eastAsia="宋体" w:hint="default"/>
                <w:b/>
                <w:bCs/>
                <w:sz w:val="18"/>
                <w:szCs w:val="18"/>
              </w:rPr>
              <w:t>增减额</w:t>
            </w:r>
            <w:r>
              <w:rPr>
                <w:rFonts w:ascii="宋体" w:hAnsi="宋体" w:cs="宋体" w:eastAsia="宋体" w:hint="default"/>
                <w:sz w:val="18"/>
                <w:szCs w:val="18"/>
              </w:rPr>
            </w:r>
          </w:p>
        </w:tc>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left="138" w:right="0"/>
              <w:jc w:val="left"/>
              <w:rPr>
                <w:rFonts w:ascii="宋体" w:hAnsi="宋体" w:cs="宋体" w:eastAsia="宋体" w:hint="default"/>
                <w:sz w:val="18"/>
                <w:szCs w:val="18"/>
              </w:rPr>
            </w:pPr>
            <w:r>
              <w:rPr>
                <w:rFonts w:ascii="宋体" w:hAnsi="宋体" w:cs="宋体" w:eastAsia="宋体" w:hint="default"/>
                <w:b/>
                <w:bCs/>
                <w:sz w:val="18"/>
                <w:szCs w:val="18"/>
              </w:rPr>
              <w:t>增减幅度</w:t>
            </w:r>
            <w:r>
              <w:rPr>
                <w:rFonts w:ascii="宋体" w:hAnsi="宋体" w:cs="宋体" w:eastAsia="宋体" w:hint="default"/>
                <w:sz w:val="18"/>
                <w:szCs w:val="18"/>
              </w:rPr>
            </w:r>
          </w:p>
        </w:tc>
        <w:tc>
          <w:tcPr>
            <w:tcW w:w="6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r>
      <w:tr>
        <w:trPr>
          <w:trHeight w:val="396" w:hRule="exact"/>
        </w:trPr>
        <w:tc>
          <w:tcPr>
            <w:tcW w:w="15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
              <w:ind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4,166,055,393</w:t>
            </w:r>
          </w:p>
        </w:tc>
        <w:tc>
          <w:tcPr>
            <w:tcW w:w="24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3,711,345,600</w:t>
            </w:r>
          </w:p>
        </w:tc>
        <w:tc>
          <w:tcPr>
            <w:tcW w:w="1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454,709,793</w:t>
            </w:r>
          </w:p>
        </w:tc>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12.3%</w:t>
            </w:r>
          </w:p>
        </w:tc>
        <w:tc>
          <w:tcPr>
            <w:tcW w:w="6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7"/>
              <w:ind w:right="0"/>
              <w:jc w:val="center"/>
              <w:rPr>
                <w:rFonts w:ascii="宋体" w:hAnsi="宋体" w:cs="宋体" w:eastAsia="宋体" w:hint="default"/>
                <w:sz w:val="18"/>
                <w:szCs w:val="18"/>
              </w:rPr>
            </w:pPr>
            <w:r>
              <w:rPr>
                <w:rFonts w:ascii="宋体"/>
                <w:sz w:val="18"/>
              </w:rPr>
              <w:t>(1)</w:t>
            </w:r>
          </w:p>
        </w:tc>
      </w:tr>
      <w:tr>
        <w:trPr>
          <w:trHeight w:val="396" w:hRule="exact"/>
        </w:trPr>
        <w:tc>
          <w:tcPr>
            <w:tcW w:w="15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
              <w:ind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2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2,711,973,065</w:t>
            </w:r>
          </w:p>
        </w:tc>
        <w:tc>
          <w:tcPr>
            <w:tcW w:w="24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2,355,303,276</w:t>
            </w:r>
          </w:p>
        </w:tc>
        <w:tc>
          <w:tcPr>
            <w:tcW w:w="1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356,669,789</w:t>
            </w:r>
          </w:p>
        </w:tc>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15.1%</w:t>
            </w:r>
          </w:p>
        </w:tc>
        <w:tc>
          <w:tcPr>
            <w:tcW w:w="6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7"/>
              <w:ind w:right="0"/>
              <w:jc w:val="center"/>
              <w:rPr>
                <w:rFonts w:ascii="宋体" w:hAnsi="宋体" w:cs="宋体" w:eastAsia="宋体" w:hint="default"/>
                <w:sz w:val="18"/>
                <w:szCs w:val="18"/>
              </w:rPr>
            </w:pPr>
            <w:r>
              <w:rPr>
                <w:rFonts w:ascii="宋体"/>
                <w:sz w:val="18"/>
              </w:rPr>
              <w:t>(2)</w:t>
            </w:r>
          </w:p>
        </w:tc>
      </w:tr>
      <w:tr>
        <w:trPr>
          <w:trHeight w:val="396" w:hRule="exact"/>
        </w:trPr>
        <w:tc>
          <w:tcPr>
            <w:tcW w:w="15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
              <w:ind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2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284,584,529</w:t>
            </w:r>
          </w:p>
        </w:tc>
        <w:tc>
          <w:tcPr>
            <w:tcW w:w="24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287,493,149</w:t>
            </w:r>
          </w:p>
        </w:tc>
        <w:tc>
          <w:tcPr>
            <w:tcW w:w="1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-2,908,620</w:t>
            </w:r>
          </w:p>
        </w:tc>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-1.0%</w:t>
            </w:r>
          </w:p>
        </w:tc>
        <w:tc>
          <w:tcPr>
            <w:tcW w:w="6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7"/>
              <w:ind w:right="0"/>
              <w:jc w:val="center"/>
              <w:rPr>
                <w:rFonts w:ascii="宋体" w:hAnsi="宋体" w:cs="宋体" w:eastAsia="宋体" w:hint="default"/>
                <w:sz w:val="18"/>
                <w:szCs w:val="18"/>
              </w:rPr>
            </w:pPr>
            <w:r>
              <w:rPr>
                <w:rFonts w:ascii="宋体"/>
                <w:sz w:val="18"/>
              </w:rPr>
              <w:t>(3)</w:t>
            </w:r>
          </w:p>
        </w:tc>
      </w:tr>
      <w:tr>
        <w:trPr>
          <w:trHeight w:val="396" w:hRule="exact"/>
        </w:trPr>
        <w:tc>
          <w:tcPr>
            <w:tcW w:w="15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
              <w:ind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534,807,495</w:t>
            </w:r>
          </w:p>
        </w:tc>
        <w:tc>
          <w:tcPr>
            <w:tcW w:w="24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517,098,197</w:t>
            </w:r>
          </w:p>
        </w:tc>
        <w:tc>
          <w:tcPr>
            <w:tcW w:w="1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17,709,298</w:t>
            </w:r>
          </w:p>
        </w:tc>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3.4%</w:t>
            </w:r>
          </w:p>
        </w:tc>
        <w:tc>
          <w:tcPr>
            <w:tcW w:w="6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7"/>
              <w:ind w:right="0"/>
              <w:jc w:val="center"/>
              <w:rPr>
                <w:rFonts w:ascii="宋体" w:hAnsi="宋体" w:cs="宋体" w:eastAsia="宋体" w:hint="default"/>
                <w:sz w:val="18"/>
                <w:szCs w:val="18"/>
              </w:rPr>
            </w:pPr>
            <w:r>
              <w:rPr>
                <w:rFonts w:ascii="宋体"/>
                <w:sz w:val="18"/>
              </w:rPr>
              <w:t>(4)</w:t>
            </w:r>
          </w:p>
        </w:tc>
      </w:tr>
      <w:tr>
        <w:trPr>
          <w:trHeight w:val="396" w:hRule="exact"/>
        </w:trPr>
        <w:tc>
          <w:tcPr>
            <w:tcW w:w="15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
              <w:ind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17,522,498</w:t>
            </w:r>
          </w:p>
        </w:tc>
        <w:tc>
          <w:tcPr>
            <w:tcW w:w="24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4,500,257</w:t>
            </w:r>
          </w:p>
        </w:tc>
        <w:tc>
          <w:tcPr>
            <w:tcW w:w="1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13,022,241</w:t>
            </w:r>
          </w:p>
        </w:tc>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289.4%</w:t>
            </w:r>
          </w:p>
        </w:tc>
        <w:tc>
          <w:tcPr>
            <w:tcW w:w="6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7"/>
              <w:ind w:right="0"/>
              <w:jc w:val="center"/>
              <w:rPr>
                <w:rFonts w:ascii="宋体" w:hAnsi="宋体" w:cs="宋体" w:eastAsia="宋体" w:hint="default"/>
                <w:sz w:val="18"/>
                <w:szCs w:val="18"/>
              </w:rPr>
            </w:pPr>
            <w:r>
              <w:rPr>
                <w:rFonts w:ascii="宋体"/>
                <w:sz w:val="18"/>
              </w:rPr>
              <w:t>(5)</w:t>
            </w:r>
          </w:p>
        </w:tc>
      </w:tr>
      <w:tr>
        <w:trPr>
          <w:trHeight w:val="396" w:hRule="exact"/>
        </w:trPr>
        <w:tc>
          <w:tcPr>
            <w:tcW w:w="15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
              <w:ind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2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112,214,666</w:t>
            </w:r>
          </w:p>
        </w:tc>
        <w:tc>
          <w:tcPr>
            <w:tcW w:w="24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34,640,063</w:t>
            </w:r>
          </w:p>
        </w:tc>
        <w:tc>
          <w:tcPr>
            <w:tcW w:w="1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77,574,603</w:t>
            </w:r>
          </w:p>
        </w:tc>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223.9%</w:t>
            </w:r>
          </w:p>
        </w:tc>
        <w:tc>
          <w:tcPr>
            <w:tcW w:w="6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7"/>
              <w:ind w:right="0"/>
              <w:jc w:val="center"/>
              <w:rPr>
                <w:rFonts w:ascii="宋体" w:hAnsi="宋体" w:cs="宋体" w:eastAsia="宋体" w:hint="default"/>
                <w:sz w:val="18"/>
                <w:szCs w:val="18"/>
              </w:rPr>
            </w:pPr>
            <w:r>
              <w:rPr>
                <w:rFonts w:ascii="宋体"/>
                <w:sz w:val="18"/>
              </w:rPr>
              <w:t>(6)</w:t>
            </w:r>
          </w:p>
        </w:tc>
      </w:tr>
      <w:tr>
        <w:trPr>
          <w:trHeight w:val="396" w:hRule="exact"/>
        </w:trPr>
        <w:tc>
          <w:tcPr>
            <w:tcW w:w="15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
              <w:ind w:right="0"/>
              <w:jc w:val="left"/>
              <w:rPr>
                <w:rFonts w:ascii="宋体" w:hAnsi="宋体" w:cs="宋体" w:eastAsia="宋体" w:hint="default"/>
                <w:sz w:val="18"/>
                <w:szCs w:val="18"/>
              </w:rPr>
            </w:pPr>
            <w:r>
              <w:rPr>
                <w:rFonts w:ascii="宋体" w:hAnsi="宋体" w:cs="宋体" w:eastAsia="宋体" w:hint="default"/>
                <w:sz w:val="18"/>
                <w:szCs w:val="18"/>
              </w:rPr>
              <w:t>营业外收支净额</w:t>
            </w:r>
          </w:p>
        </w:tc>
        <w:tc>
          <w:tcPr>
            <w:tcW w:w="2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56,069,176</w:t>
            </w:r>
          </w:p>
        </w:tc>
        <w:tc>
          <w:tcPr>
            <w:tcW w:w="24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34,573,446</w:t>
            </w:r>
          </w:p>
        </w:tc>
        <w:tc>
          <w:tcPr>
            <w:tcW w:w="1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21,495,730</w:t>
            </w:r>
          </w:p>
        </w:tc>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62.2%</w:t>
            </w:r>
          </w:p>
        </w:tc>
        <w:tc>
          <w:tcPr>
            <w:tcW w:w="6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7"/>
              <w:ind w:right="0"/>
              <w:jc w:val="center"/>
              <w:rPr>
                <w:rFonts w:ascii="宋体" w:hAnsi="宋体" w:cs="宋体" w:eastAsia="宋体" w:hint="default"/>
                <w:sz w:val="18"/>
                <w:szCs w:val="18"/>
              </w:rPr>
            </w:pPr>
            <w:r>
              <w:rPr>
                <w:rFonts w:ascii="宋体"/>
                <w:sz w:val="18"/>
              </w:rPr>
              <w:t>(7)</w:t>
            </w:r>
          </w:p>
        </w:tc>
      </w:tr>
      <w:tr>
        <w:trPr>
          <w:trHeight w:val="397" w:hRule="exact"/>
        </w:trPr>
        <w:tc>
          <w:tcPr>
            <w:tcW w:w="15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6"/>
              <w:ind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2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76,678,770</w:t>
            </w:r>
          </w:p>
        </w:tc>
        <w:tc>
          <w:tcPr>
            <w:tcW w:w="24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64,858,258</w:t>
            </w:r>
          </w:p>
        </w:tc>
        <w:tc>
          <w:tcPr>
            <w:tcW w:w="12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11,820,512</w:t>
            </w:r>
          </w:p>
        </w:tc>
        <w:tc>
          <w:tcPr>
            <w:tcW w:w="10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1"/>
              <w:ind w:right="1"/>
              <w:jc w:val="right"/>
              <w:rPr>
                <w:rFonts w:ascii="宋体" w:hAnsi="宋体" w:cs="宋体" w:eastAsia="宋体" w:hint="default"/>
                <w:sz w:val="18"/>
                <w:szCs w:val="18"/>
              </w:rPr>
            </w:pPr>
            <w:r>
              <w:rPr>
                <w:rFonts w:ascii="宋体"/>
                <w:sz w:val="18"/>
              </w:rPr>
              <w:t>18.2%</w:t>
            </w:r>
          </w:p>
        </w:tc>
        <w:tc>
          <w:tcPr>
            <w:tcW w:w="6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8"/>
              <w:ind w:right="0"/>
              <w:jc w:val="center"/>
              <w:rPr>
                <w:rFonts w:ascii="宋体" w:hAnsi="宋体" w:cs="宋体" w:eastAsia="宋体" w:hint="default"/>
                <w:sz w:val="18"/>
                <w:szCs w:val="18"/>
              </w:rPr>
            </w:pPr>
            <w:r>
              <w:rPr>
                <w:rFonts w:ascii="宋体"/>
                <w:sz w:val="18"/>
              </w:rPr>
              <w:t>(8)</w:t>
            </w:r>
          </w:p>
        </w:tc>
      </w:tr>
    </w:tbl>
    <w:p>
      <w:pPr>
        <w:spacing w:line="240" w:lineRule="auto" w:before="1"/>
        <w:rPr>
          <w:rFonts w:ascii="宋体" w:hAnsi="宋体" w:cs="宋体" w:eastAsia="宋体" w:hint="default"/>
          <w:sz w:val="19"/>
          <w:szCs w:val="19"/>
        </w:rPr>
      </w:pPr>
    </w:p>
    <w:p>
      <w:pPr>
        <w:pStyle w:val="BodyText"/>
        <w:spacing w:line="240" w:lineRule="auto" w:before="26"/>
        <w:ind w:left="560" w:right="192"/>
        <w:jc w:val="left"/>
      </w:pPr>
      <w:r>
        <w:rPr/>
        <w:t>变动说明：</w:t>
      </w:r>
    </w:p>
    <w:p>
      <w:pPr>
        <w:pStyle w:val="BodyText"/>
        <w:spacing w:line="310" w:lineRule="exact" w:before="52"/>
        <w:ind w:right="192" w:firstLine="420"/>
        <w:jc w:val="left"/>
      </w:pPr>
      <w:r>
        <w:rPr/>
        <w:t>(1)</w:t>
      </w:r>
      <w:r>
        <w:rPr>
          <w:spacing w:val="-62"/>
        </w:rPr>
        <w:t> </w:t>
      </w:r>
      <w:r>
        <w:rPr/>
        <w:t>营业收入较上年同期增加</w:t>
      </w:r>
      <w:r>
        <w:rPr>
          <w:spacing w:val="-62"/>
        </w:rPr>
        <w:t> </w:t>
      </w:r>
      <w:r>
        <w:rPr/>
        <w:t>45,471</w:t>
      </w:r>
      <w:r>
        <w:rPr>
          <w:spacing w:val="-62"/>
        </w:rPr>
        <w:t> </w:t>
      </w:r>
      <w:r>
        <w:rPr/>
        <w:t>万元，上升</w:t>
      </w:r>
      <w:r>
        <w:rPr>
          <w:spacing w:val="-62"/>
        </w:rPr>
        <w:t> </w:t>
      </w:r>
      <w:r>
        <w:rPr/>
        <w:t>12.3%，主要由于报告期内公司国际</w:t>
      </w:r>
      <w:r>
        <w:rPr/>
        <w:t> 业务收入、国内软件业务收入和系统集成收入较上年同期增长所致；</w:t>
      </w:r>
    </w:p>
    <w:p>
      <w:pPr>
        <w:pStyle w:val="BodyText"/>
        <w:spacing w:line="296" w:lineRule="exact" w:before="9"/>
        <w:ind w:right="189" w:firstLine="420"/>
        <w:jc w:val="left"/>
      </w:pPr>
      <w:r>
        <w:rPr/>
        <w:t>(2)</w:t>
      </w:r>
      <w:r>
        <w:rPr>
          <w:spacing w:val="-65"/>
        </w:rPr>
        <w:t> </w:t>
      </w:r>
      <w:r>
        <w:rPr/>
        <w:t>营业成本较上年同期增加</w:t>
      </w:r>
      <w:r>
        <w:rPr>
          <w:spacing w:val="-60"/>
        </w:rPr>
        <w:t> </w:t>
      </w:r>
      <w:r>
        <w:rPr/>
        <w:t>35,667</w:t>
      </w:r>
      <w:r>
        <w:rPr>
          <w:spacing w:val="-60"/>
        </w:rPr>
        <w:t> </w:t>
      </w:r>
      <w:r>
        <w:rPr/>
        <w:t>万元，上升</w:t>
      </w:r>
      <w:r>
        <w:rPr>
          <w:spacing w:val="-60"/>
        </w:rPr>
        <w:t> </w:t>
      </w:r>
      <w:r>
        <w:rPr/>
        <w:t>15.1%，主要由于报告期内公司营业</w:t>
      </w:r>
      <w:r>
        <w:rPr/>
        <w:t> 收入同比上升所致；</w:t>
      </w:r>
    </w:p>
    <w:p>
      <w:pPr>
        <w:pStyle w:val="BodyText"/>
        <w:spacing w:line="310" w:lineRule="exact" w:before="6"/>
        <w:ind w:right="190" w:firstLine="420"/>
        <w:jc w:val="left"/>
      </w:pPr>
      <w:r>
        <w:rPr/>
        <w:t>(3)销售费用与上年同期减少</w:t>
      </w:r>
      <w:r>
        <w:rPr>
          <w:spacing w:val="-42"/>
        </w:rPr>
        <w:t> </w:t>
      </w:r>
      <w:r>
        <w:rPr/>
        <w:t>291</w:t>
      </w:r>
      <w:r>
        <w:rPr>
          <w:spacing w:val="-42"/>
        </w:rPr>
        <w:t> </w:t>
      </w:r>
      <w:r>
        <w:rPr/>
        <w:t>万元，下降</w:t>
      </w:r>
      <w:r>
        <w:rPr>
          <w:spacing w:val="-42"/>
        </w:rPr>
        <w:t> </w:t>
      </w:r>
      <w:r>
        <w:rPr/>
        <w:t>1.0%，主要由于报告期内市场活动等相</w:t>
      </w:r>
      <w:r>
        <w:rPr/>
        <w:t> 关销售费用较上年同期减少所致；</w:t>
      </w:r>
    </w:p>
    <w:p>
      <w:pPr>
        <w:pStyle w:val="BodyText"/>
        <w:spacing w:line="274" w:lineRule="exact"/>
        <w:ind w:left="560" w:right="84"/>
        <w:jc w:val="left"/>
      </w:pPr>
      <w:r>
        <w:rPr/>
        <w:t>(4)</w:t>
      </w:r>
      <w:r>
        <w:rPr>
          <w:spacing w:val="-5"/>
        </w:rPr>
        <w:t> </w:t>
      </w:r>
      <w:r>
        <w:rPr/>
        <w:t>管理费用较上年同期增加</w:t>
      </w:r>
      <w:r>
        <w:rPr>
          <w:spacing w:val="-63"/>
        </w:rPr>
        <w:t> </w:t>
      </w:r>
      <w:r>
        <w:rPr/>
        <w:t>1,771</w:t>
      </w:r>
      <w:r>
        <w:rPr>
          <w:spacing w:val="-63"/>
        </w:rPr>
        <w:t> </w:t>
      </w:r>
      <w:r>
        <w:rPr>
          <w:spacing w:val="-4"/>
        </w:rPr>
        <w:t>万元，上升</w:t>
      </w:r>
      <w:r>
        <w:rPr>
          <w:spacing w:val="-63"/>
        </w:rPr>
        <w:t> </w:t>
      </w:r>
      <w:r>
        <w:rPr/>
        <w:t>3.4%，主要由于研发费用增长所致；</w:t>
      </w:r>
    </w:p>
    <w:p>
      <w:pPr>
        <w:pStyle w:val="BodyText"/>
        <w:spacing w:line="310" w:lineRule="exact" w:before="40"/>
        <w:ind w:right="188" w:firstLine="420"/>
        <w:jc w:val="left"/>
      </w:pPr>
      <w:r>
        <w:rPr/>
        <w:t>(5)</w:t>
      </w:r>
      <w:r>
        <w:rPr>
          <w:spacing w:val="-64"/>
        </w:rPr>
        <w:t> </w:t>
      </w:r>
      <w:r>
        <w:rPr/>
        <w:t>财务费用较上年同期增加</w:t>
      </w:r>
      <w:r>
        <w:rPr>
          <w:spacing w:val="-60"/>
        </w:rPr>
        <w:t> </w:t>
      </w:r>
      <w:r>
        <w:rPr/>
        <w:t>1,302</w:t>
      </w:r>
      <w:r>
        <w:rPr>
          <w:spacing w:val="-60"/>
        </w:rPr>
        <w:t> </w:t>
      </w:r>
      <w:r>
        <w:rPr/>
        <w:t>万元，上升</w:t>
      </w:r>
      <w:r>
        <w:rPr>
          <w:spacing w:val="-60"/>
        </w:rPr>
        <w:t> </w:t>
      </w:r>
      <w:r>
        <w:rPr/>
        <w:t>289.4%，主要由于报告期汇兑损失较</w:t>
      </w:r>
      <w:r>
        <w:rPr/>
        <w:t> 上年同期增加所致；</w:t>
      </w:r>
    </w:p>
    <w:p>
      <w:pPr>
        <w:pStyle w:val="BodyText"/>
        <w:spacing w:line="275" w:lineRule="exact"/>
        <w:ind w:left="560" w:right="84"/>
        <w:jc w:val="left"/>
      </w:pPr>
      <w:r>
        <w:rPr/>
        <w:t>(6)</w:t>
      </w:r>
      <w:r>
        <w:rPr>
          <w:spacing w:val="-62"/>
        </w:rPr>
        <w:t> </w:t>
      </w:r>
      <w:r>
        <w:rPr/>
        <w:t>投资收益较上年同期增加</w:t>
      </w:r>
      <w:r>
        <w:rPr>
          <w:spacing w:val="-62"/>
        </w:rPr>
        <w:t> </w:t>
      </w:r>
      <w:r>
        <w:rPr/>
        <w:t>7,757</w:t>
      </w:r>
      <w:r>
        <w:rPr>
          <w:spacing w:val="-62"/>
        </w:rPr>
        <w:t> </w:t>
      </w:r>
      <w:r>
        <w:rPr/>
        <w:t>万元，上升</w:t>
      </w:r>
      <w:r>
        <w:rPr>
          <w:spacing w:val="-62"/>
        </w:rPr>
        <w:t> </w:t>
      </w:r>
      <w:r>
        <w:rPr/>
        <w:t>223.9%，主要由于报告期内处置全部</w:t>
      </w:r>
    </w:p>
    <w:p>
      <w:pPr>
        <w:pStyle w:val="BodyText"/>
        <w:spacing w:line="312" w:lineRule="exact"/>
        <w:ind w:right="192"/>
        <w:jc w:val="left"/>
      </w:pPr>
      <w:r>
        <w:rPr/>
        <w:t>可供出售金融资产，投资收益较上年同期显著增加所致；</w:t>
      </w:r>
    </w:p>
    <w:p>
      <w:pPr>
        <w:pStyle w:val="BodyText"/>
        <w:spacing w:line="312" w:lineRule="exact"/>
        <w:ind w:left="560" w:right="84"/>
        <w:jc w:val="left"/>
      </w:pPr>
      <w:r>
        <w:rPr/>
        <w:t>(7) 营业外收支净额较上年同期增加</w:t>
      </w:r>
      <w:r>
        <w:rPr>
          <w:spacing w:val="-41"/>
        </w:rPr>
        <w:t> </w:t>
      </w:r>
      <w:r>
        <w:rPr/>
        <w:t>2,150</w:t>
      </w:r>
      <w:r>
        <w:rPr>
          <w:spacing w:val="-42"/>
        </w:rPr>
        <w:t> </w:t>
      </w:r>
      <w:r>
        <w:rPr/>
        <w:t>万元，上升</w:t>
      </w:r>
      <w:r>
        <w:rPr>
          <w:spacing w:val="-41"/>
        </w:rPr>
        <w:t> </w:t>
      </w:r>
      <w:r>
        <w:rPr/>
        <w:t>62.2%，主要由于上年同期本</w:t>
      </w:r>
    </w:p>
    <w:p>
      <w:pPr>
        <w:pStyle w:val="BodyText"/>
        <w:spacing w:line="312" w:lineRule="exact" w:before="29"/>
        <w:ind w:right="188"/>
        <w:jc w:val="left"/>
      </w:pPr>
      <w:r>
        <w:rPr/>
        <w:t>集团之子公司成都东软信息技术发展有限公司因四川地震预提了受损资产修复支出</w:t>
      </w:r>
      <w:r>
        <w:rPr>
          <w:spacing w:val="-64"/>
        </w:rPr>
        <w:t> </w:t>
      </w:r>
      <w:r>
        <w:rPr/>
        <w:t>2,922</w:t>
      </w:r>
      <w:r>
        <w:rPr/>
        <w:t> 万元而计入当期营业外支出所致；</w:t>
      </w:r>
    </w:p>
    <w:p>
      <w:pPr>
        <w:pStyle w:val="BodyText"/>
        <w:spacing w:line="254" w:lineRule="exact" w:before="6"/>
        <w:ind w:right="84" w:firstLine="420"/>
        <w:jc w:val="left"/>
      </w:pPr>
      <w:r>
        <w:rPr/>
        <w:t>(8)</w:t>
      </w:r>
      <w:r>
        <w:rPr>
          <w:spacing w:val="-65"/>
        </w:rPr>
        <w:t> </w:t>
      </w:r>
      <w:r>
        <w:rPr/>
        <w:t>所得税费用较上年同期增加</w:t>
      </w:r>
      <w:r>
        <w:rPr>
          <w:spacing w:val="-65"/>
        </w:rPr>
        <w:t> </w:t>
      </w:r>
      <w:r>
        <w:rPr/>
        <w:t>1,182</w:t>
      </w:r>
      <w:r>
        <w:rPr>
          <w:spacing w:val="-65"/>
        </w:rPr>
        <w:t> </w:t>
      </w:r>
      <w:r>
        <w:rPr/>
        <w:t>万元，上升</w:t>
      </w:r>
      <w:r>
        <w:rPr>
          <w:spacing w:val="-65"/>
        </w:rPr>
        <w:t> </w:t>
      </w:r>
      <w:r>
        <w:rPr/>
        <w:t>18.2%，主要由于报告期内实现的利</w:t>
      </w:r>
      <w:r>
        <w:rPr/>
        <w:t> 润总额较上年同期增加而增加所得税费用所致。</w:t>
      </w:r>
    </w:p>
    <w:p>
      <w:pPr>
        <w:spacing w:line="240" w:lineRule="auto" w:before="7"/>
        <w:rPr>
          <w:rFonts w:ascii="宋体" w:hAnsi="宋体" w:cs="宋体" w:eastAsia="宋体" w:hint="default"/>
          <w:sz w:val="11"/>
          <w:szCs w:val="11"/>
        </w:rPr>
      </w:pPr>
    </w:p>
    <w:p>
      <w:pPr>
        <w:spacing w:after="0" w:line="240" w:lineRule="auto"/>
        <w:rPr>
          <w:rFonts w:ascii="宋体" w:hAnsi="宋体" w:cs="宋体" w:eastAsia="宋体" w:hint="default"/>
          <w:sz w:val="11"/>
          <w:szCs w:val="11"/>
        </w:rPr>
        <w:sectPr>
          <w:type w:val="continuous"/>
          <w:pgSz w:w="11910" w:h="16840"/>
          <w:pgMar w:top="1600" w:bottom="280" w:left="1220" w:right="1040"/>
        </w:sectPr>
      </w:pPr>
    </w:p>
    <w:p>
      <w:pPr>
        <w:pStyle w:val="BodyText"/>
        <w:spacing w:line="240" w:lineRule="auto" w:before="26"/>
        <w:ind w:right="-20"/>
        <w:jc w:val="left"/>
      </w:pPr>
      <w:r>
        <w:rPr/>
        <w:t>3、公司财务状况各主要指标对比分析如下</w:t>
      </w:r>
    </w:p>
    <w:p>
      <w:pPr>
        <w:spacing w:line="240" w:lineRule="auto" w:before="0"/>
        <w:rPr>
          <w:rFonts w:ascii="宋体" w:hAnsi="宋体" w:cs="宋体" w:eastAsia="宋体" w:hint="default"/>
          <w:sz w:val="20"/>
          <w:szCs w:val="20"/>
        </w:rPr>
      </w:pPr>
      <w:r>
        <w:rPr/>
        <w:br w:type="column"/>
      </w:r>
      <w:r>
        <w:rPr>
          <w:rFonts w:ascii="宋体"/>
          <w:sz w:val="20"/>
        </w:rPr>
      </w:r>
    </w:p>
    <w:p>
      <w:pPr>
        <w:spacing w:before="137"/>
        <w:ind w:left="140" w:right="0" w:firstLine="0"/>
        <w:jc w:val="left"/>
        <w:rPr>
          <w:rFonts w:ascii="宋体" w:hAnsi="宋体" w:cs="宋体" w:eastAsia="宋体" w:hint="default"/>
          <w:sz w:val="21"/>
          <w:szCs w:val="21"/>
        </w:rPr>
      </w:pPr>
      <w:r>
        <w:rPr>
          <w:rFonts w:ascii="宋体" w:hAnsi="宋体" w:cs="宋体" w:eastAsia="宋体" w:hint="default"/>
          <w:spacing w:val="-9"/>
          <w:sz w:val="21"/>
          <w:szCs w:val="21"/>
        </w:rPr>
        <w:t>单位：元；币种：人民币</w:t>
      </w:r>
    </w:p>
    <w:p>
      <w:pPr>
        <w:spacing w:after="0"/>
        <w:jc w:val="left"/>
        <w:rPr>
          <w:rFonts w:ascii="宋体" w:hAnsi="宋体" w:cs="宋体" w:eastAsia="宋体" w:hint="default"/>
          <w:sz w:val="21"/>
          <w:szCs w:val="21"/>
        </w:rPr>
        <w:sectPr>
          <w:type w:val="continuous"/>
          <w:pgSz w:w="11910" w:h="16840"/>
          <w:pgMar w:top="1600" w:bottom="280" w:left="1220" w:right="1040"/>
          <w:cols w:num="2" w:equalWidth="0">
            <w:col w:w="4581" w:space="2223"/>
            <w:col w:w="2846"/>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type w:val="continuous"/>
          <w:pgSz w:w="11910" w:h="16840"/>
          <w:pgMar w:top="1600" w:bottom="280" w:left="1220" w:right="1040"/>
        </w:sectPr>
      </w:pPr>
    </w:p>
    <w:p>
      <w:pPr>
        <w:tabs>
          <w:tab w:pos="3126" w:val="left" w:leader="none"/>
          <w:tab w:pos="4572" w:val="left" w:leader="none"/>
        </w:tabs>
        <w:spacing w:before="44"/>
        <w:ind w:left="277" w:right="-20" w:firstLine="0"/>
        <w:jc w:val="left"/>
        <w:rPr>
          <w:rFonts w:ascii="宋体" w:hAnsi="宋体" w:cs="宋体" w:eastAsia="宋体" w:hint="default"/>
          <w:sz w:val="18"/>
          <w:szCs w:val="18"/>
        </w:rPr>
      </w:pPr>
      <w:r>
        <w:rPr/>
        <w:pict>
          <v:shape style="position:absolute;margin-left:69.239998pt;margin-top:-131.527985pt;width:460pt;height:138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201"/>
                    <w:gridCol w:w="1674"/>
                    <w:gridCol w:w="1626"/>
                    <w:gridCol w:w="1600"/>
                    <w:gridCol w:w="1200"/>
                    <w:gridCol w:w="884"/>
                  </w:tblGrid>
                  <w:tr>
                    <w:trPr>
                      <w:trHeight w:val="237" w:hRule="exact"/>
                    </w:trPr>
                    <w:tc>
                      <w:tcPr>
                        <w:tcW w:w="2201" w:type="dxa"/>
                        <w:tcBorders>
                          <w:top w:val="single" w:sz="4" w:space="0" w:color="000000"/>
                          <w:left w:val="single" w:sz="4" w:space="0" w:color="000000"/>
                          <w:bottom w:val="nil" w:sz="6" w:space="0" w:color="auto"/>
                          <w:right w:val="single" w:sz="4" w:space="0" w:color="000000"/>
                        </w:tcBorders>
                      </w:tcPr>
                      <w:p>
                        <w:pPr/>
                      </w:p>
                    </w:tc>
                    <w:tc>
                      <w:tcPr>
                        <w:tcW w:w="1674"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61"/>
                          <w:jc w:val="right"/>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55"/>
                            <w:sz w:val="18"/>
                            <w:szCs w:val="18"/>
                          </w:rPr>
                          <w:t> </w:t>
                        </w:r>
                        <w:r>
                          <w:rPr>
                            <w:rFonts w:ascii="宋体" w:hAnsi="宋体" w:cs="宋体" w:eastAsia="宋体" w:hint="default"/>
                            <w:b/>
                            <w:bCs/>
                            <w:sz w:val="18"/>
                            <w:szCs w:val="18"/>
                          </w:rPr>
                          <w:t>年</w:t>
                        </w:r>
                        <w:r>
                          <w:rPr>
                            <w:rFonts w:ascii="宋体" w:hAnsi="宋体" w:cs="宋体" w:eastAsia="宋体" w:hint="default"/>
                            <w:b/>
                            <w:bCs/>
                            <w:spacing w:val="-54"/>
                            <w:sz w:val="18"/>
                            <w:szCs w:val="18"/>
                          </w:rPr>
                          <w:t> </w:t>
                        </w:r>
                        <w:r>
                          <w:rPr>
                            <w:rFonts w:ascii="宋体" w:hAnsi="宋体" w:cs="宋体" w:eastAsia="宋体" w:hint="default"/>
                            <w:b/>
                            <w:bCs/>
                            <w:sz w:val="18"/>
                            <w:szCs w:val="18"/>
                          </w:rPr>
                          <w:t>12</w:t>
                        </w:r>
                        <w:r>
                          <w:rPr>
                            <w:rFonts w:ascii="宋体" w:hAnsi="宋体" w:cs="宋体" w:eastAsia="宋体" w:hint="default"/>
                            <w:b/>
                            <w:bCs/>
                            <w:spacing w:val="-55"/>
                            <w:sz w:val="18"/>
                            <w:szCs w:val="18"/>
                          </w:rPr>
                          <w:t> </w:t>
                        </w:r>
                        <w:r>
                          <w:rPr>
                            <w:rFonts w:ascii="宋体" w:hAnsi="宋体" w:cs="宋体" w:eastAsia="宋体" w:hint="default"/>
                            <w:b/>
                            <w:bCs/>
                            <w:sz w:val="18"/>
                            <w:szCs w:val="18"/>
                          </w:rPr>
                          <w:t>月</w:t>
                        </w:r>
                        <w:r>
                          <w:rPr>
                            <w:rFonts w:ascii="宋体" w:hAnsi="宋体" w:cs="宋体" w:eastAsia="宋体" w:hint="default"/>
                            <w:b/>
                            <w:bCs/>
                            <w:spacing w:val="-54"/>
                            <w:sz w:val="18"/>
                            <w:szCs w:val="18"/>
                          </w:rPr>
                          <w:t> </w:t>
                        </w:r>
                        <w:r>
                          <w:rPr>
                            <w:rFonts w:ascii="宋体" w:hAnsi="宋体" w:cs="宋体" w:eastAsia="宋体" w:hint="default"/>
                            <w:b/>
                            <w:bCs/>
                            <w:spacing w:val="13"/>
                            <w:sz w:val="18"/>
                            <w:szCs w:val="18"/>
                          </w:rPr>
                          <w:t>31日</w:t>
                        </w:r>
                        <w:r>
                          <w:rPr>
                            <w:rFonts w:ascii="宋体" w:hAnsi="宋体" w:cs="宋体" w:eastAsia="宋体" w:hint="default"/>
                            <w:b/>
                            <w:bCs/>
                            <w:spacing w:val="-52"/>
                            <w:sz w:val="18"/>
                            <w:szCs w:val="18"/>
                          </w:rPr>
                          <w:t> </w:t>
                        </w:r>
                        <w:r>
                          <w:rPr>
                            <w:rFonts w:ascii="宋体" w:hAnsi="宋体" w:cs="宋体" w:eastAsia="宋体" w:hint="default"/>
                            <w:sz w:val="18"/>
                            <w:szCs w:val="18"/>
                          </w:rPr>
                        </w:r>
                      </w:p>
                    </w:tc>
                    <w:tc>
                      <w:tcPr>
                        <w:tcW w:w="1626"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173"/>
                          <w:jc w:val="right"/>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宋体" w:hAnsi="宋体" w:cs="宋体" w:eastAsia="宋体" w:hint="default"/>
                            <w:b/>
                            <w:bCs/>
                            <w:sz w:val="18"/>
                            <w:szCs w:val="18"/>
                          </w:rPr>
                          <w:t>31</w:t>
                        </w:r>
                        <w:r>
                          <w:rPr>
                            <w:rFonts w:ascii="宋体" w:hAnsi="宋体" w:cs="宋体" w:eastAsia="宋体" w:hint="default"/>
                            <w:sz w:val="18"/>
                            <w:szCs w:val="18"/>
                          </w:rPr>
                        </w:r>
                      </w:p>
                    </w:tc>
                    <w:tc>
                      <w:tcPr>
                        <w:tcW w:w="1600" w:type="dxa"/>
                        <w:tcBorders>
                          <w:top w:val="single" w:sz="4" w:space="0" w:color="000000"/>
                          <w:left w:val="single" w:sz="4" w:space="0" w:color="000000"/>
                          <w:bottom w:val="nil" w:sz="6" w:space="0" w:color="auto"/>
                          <w:right w:val="single" w:sz="4" w:space="0" w:color="000000"/>
                        </w:tcBorders>
                      </w:tcPr>
                      <w:p>
                        <w:pPr/>
                      </w:p>
                    </w:tc>
                    <w:tc>
                      <w:tcPr>
                        <w:tcW w:w="1200" w:type="dxa"/>
                        <w:tcBorders>
                          <w:top w:val="single" w:sz="4" w:space="0" w:color="000000"/>
                          <w:left w:val="single" w:sz="4" w:space="0" w:color="000000"/>
                          <w:bottom w:val="nil" w:sz="6" w:space="0" w:color="auto"/>
                          <w:right w:val="single" w:sz="4" w:space="0" w:color="000000"/>
                        </w:tcBorders>
                      </w:tcPr>
                      <w:p>
                        <w:pPr/>
                      </w:p>
                    </w:tc>
                    <w:tc>
                      <w:tcPr>
                        <w:tcW w:w="884" w:type="dxa"/>
                        <w:tcBorders>
                          <w:top w:val="single" w:sz="4" w:space="0" w:color="000000"/>
                          <w:left w:val="single" w:sz="4" w:space="0" w:color="000000"/>
                          <w:bottom w:val="nil" w:sz="6" w:space="0" w:color="auto"/>
                          <w:right w:val="single" w:sz="4" w:space="0" w:color="000000"/>
                        </w:tcBorders>
                      </w:tcPr>
                      <w:p>
                        <w:pPr/>
                      </w:p>
                    </w:tc>
                  </w:tr>
                  <w:tr>
                    <w:trPr>
                      <w:trHeight w:val="234" w:hRule="exact"/>
                    </w:trPr>
                    <w:tc>
                      <w:tcPr>
                        <w:tcW w:w="220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报表项目</w:t>
                        </w:r>
                        <w:r>
                          <w:rPr>
                            <w:rFonts w:ascii="宋体" w:hAnsi="宋体" w:cs="宋体" w:eastAsia="宋体" w:hint="default"/>
                            <w:sz w:val="18"/>
                            <w:szCs w:val="18"/>
                          </w:rPr>
                        </w:r>
                      </w:p>
                    </w:tc>
                    <w:tc>
                      <w:tcPr>
                        <w:tcW w:w="1674" w:type="dxa"/>
                        <w:tcBorders>
                          <w:top w:val="nil" w:sz="6" w:space="0" w:color="auto"/>
                          <w:left w:val="single" w:sz="4" w:space="0" w:color="000000"/>
                          <w:bottom w:val="nil" w:sz="6" w:space="0" w:color="auto"/>
                          <w:right w:val="single" w:sz="4" w:space="0" w:color="000000"/>
                        </w:tcBorders>
                      </w:tcPr>
                      <w:p>
                        <w:pPr>
                          <w:pStyle w:val="TableParagraph"/>
                          <w:spacing w:line="208" w:lineRule="exact"/>
                          <w:ind w:right="84"/>
                          <w:jc w:val="right"/>
                          <w:rPr>
                            <w:rFonts w:ascii="宋体" w:hAnsi="宋体" w:cs="宋体" w:eastAsia="宋体" w:hint="default"/>
                            <w:sz w:val="18"/>
                            <w:szCs w:val="18"/>
                          </w:rPr>
                        </w:pPr>
                        <w:r>
                          <w:rPr>
                            <w:rFonts w:ascii="宋体" w:hAnsi="宋体" w:cs="宋体" w:eastAsia="宋体" w:hint="default"/>
                            <w:b/>
                            <w:bCs/>
                            <w:spacing w:val="22"/>
                            <w:sz w:val="18"/>
                            <w:szCs w:val="18"/>
                          </w:rPr>
                          <w:t>/2009年1月1日</w:t>
                        </w:r>
                        <w:r>
                          <w:rPr>
                            <w:rFonts w:ascii="宋体" w:hAnsi="宋体" w:cs="宋体" w:eastAsia="宋体" w:hint="default"/>
                            <w:b/>
                            <w:bCs/>
                            <w:spacing w:val="-46"/>
                            <w:sz w:val="18"/>
                            <w:szCs w:val="18"/>
                          </w:rPr>
                          <w:t> </w:t>
                        </w:r>
                        <w:r>
                          <w:rPr>
                            <w:rFonts w:ascii="宋体" w:hAnsi="宋体" w:cs="宋体" w:eastAsia="宋体" w:hint="default"/>
                            <w:sz w:val="18"/>
                            <w:szCs w:val="18"/>
                          </w:rPr>
                        </w:r>
                      </w:p>
                    </w:tc>
                    <w:tc>
                      <w:tcPr>
                        <w:tcW w:w="1626" w:type="dxa"/>
                        <w:tcBorders>
                          <w:top w:val="nil" w:sz="6" w:space="0" w:color="auto"/>
                          <w:left w:val="single" w:sz="4" w:space="0" w:color="000000"/>
                          <w:bottom w:val="nil" w:sz="6" w:space="0" w:color="auto"/>
                          <w:right w:val="single" w:sz="4" w:space="0" w:color="000000"/>
                        </w:tcBorders>
                      </w:tcPr>
                      <w:p>
                        <w:pPr>
                          <w:pStyle w:val="TableParagraph"/>
                          <w:spacing w:line="208" w:lineRule="exact"/>
                          <w:ind w:right="127"/>
                          <w:jc w:val="right"/>
                          <w:rPr>
                            <w:rFonts w:ascii="宋体" w:hAnsi="宋体" w:cs="宋体" w:eastAsia="宋体" w:hint="default"/>
                            <w:sz w:val="18"/>
                            <w:szCs w:val="18"/>
                          </w:rPr>
                        </w:pPr>
                        <w:r>
                          <w:rPr>
                            <w:rFonts w:ascii="宋体" w:hAnsi="宋体" w:cs="宋体" w:eastAsia="宋体" w:hint="default"/>
                            <w:b/>
                            <w:bCs/>
                            <w:sz w:val="18"/>
                            <w:szCs w:val="18"/>
                          </w:rPr>
                          <w:t>日/2008</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宋体" w:hAnsi="宋体" w:cs="宋体" w:eastAsia="宋体" w:hint="default"/>
                            <w:b/>
                            <w:bCs/>
                            <w:sz w:val="18"/>
                            <w:szCs w:val="18"/>
                          </w:rPr>
                          <w:t>1</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宋体" w:hAnsi="宋体" w:cs="宋体" w:eastAsia="宋体" w:hint="default"/>
                            <w:b/>
                            <w:bCs/>
                            <w:sz w:val="18"/>
                            <w:szCs w:val="18"/>
                          </w:rPr>
                          <w:t>1</w:t>
                        </w:r>
                        <w:r>
                          <w:rPr>
                            <w:rFonts w:ascii="宋体" w:hAnsi="宋体" w:cs="宋体" w:eastAsia="宋体" w:hint="default"/>
                            <w:sz w:val="18"/>
                            <w:szCs w:val="18"/>
                          </w:rPr>
                        </w:r>
                      </w:p>
                    </w:tc>
                    <w:tc>
                      <w:tcPr>
                        <w:tcW w:w="16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523" w:right="0"/>
                          <w:jc w:val="left"/>
                          <w:rPr>
                            <w:rFonts w:ascii="宋体" w:hAnsi="宋体" w:cs="宋体" w:eastAsia="宋体" w:hint="default"/>
                            <w:sz w:val="18"/>
                            <w:szCs w:val="18"/>
                          </w:rPr>
                        </w:pPr>
                        <w:r>
                          <w:rPr>
                            <w:rFonts w:ascii="宋体" w:hAnsi="宋体" w:cs="宋体" w:eastAsia="宋体" w:hint="default"/>
                            <w:b/>
                            <w:bCs/>
                            <w:sz w:val="18"/>
                            <w:szCs w:val="18"/>
                          </w:rPr>
                          <w:t>增减额</w:t>
                        </w:r>
                        <w:r>
                          <w:rPr>
                            <w:rFonts w:ascii="宋体" w:hAnsi="宋体" w:cs="宋体" w:eastAsia="宋体" w:hint="default"/>
                            <w:sz w:val="18"/>
                            <w:szCs w:val="18"/>
                          </w:rPr>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233" w:right="0"/>
                          <w:jc w:val="left"/>
                          <w:rPr>
                            <w:rFonts w:ascii="宋体" w:hAnsi="宋体" w:cs="宋体" w:eastAsia="宋体" w:hint="default"/>
                            <w:sz w:val="18"/>
                            <w:szCs w:val="18"/>
                          </w:rPr>
                        </w:pPr>
                        <w:r>
                          <w:rPr>
                            <w:rFonts w:ascii="宋体" w:hAnsi="宋体" w:cs="宋体" w:eastAsia="宋体" w:hint="default"/>
                            <w:b/>
                            <w:bCs/>
                            <w:sz w:val="18"/>
                            <w:szCs w:val="18"/>
                          </w:rPr>
                          <w:t>增减幅度</w:t>
                        </w:r>
                        <w:r>
                          <w:rPr>
                            <w:rFonts w:ascii="宋体" w:hAnsi="宋体" w:cs="宋体" w:eastAsia="宋体" w:hint="default"/>
                            <w:sz w:val="18"/>
                            <w:szCs w:val="18"/>
                          </w:rPr>
                        </w:r>
                      </w:p>
                    </w:tc>
                    <w:tc>
                      <w:tcPr>
                        <w:tcW w:w="884"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255" w:right="0"/>
                          <w:jc w:val="left"/>
                          <w:rPr>
                            <w:rFonts w:ascii="宋体" w:hAnsi="宋体" w:cs="宋体" w:eastAsia="宋体" w:hint="default"/>
                            <w:sz w:val="18"/>
                            <w:szCs w:val="18"/>
                          </w:rPr>
                        </w:pPr>
                        <w:r>
                          <w:rPr>
                            <w:rFonts w:ascii="宋体" w:hAnsi="宋体" w:cs="宋体" w:eastAsia="宋体" w:hint="default"/>
                            <w:b/>
                            <w:bCs/>
                            <w:sz w:val="18"/>
                            <w:szCs w:val="18"/>
                          </w:rPr>
                          <w:t>说明</w:t>
                        </w:r>
                        <w:r>
                          <w:rPr>
                            <w:rFonts w:ascii="宋体" w:hAnsi="宋体" w:cs="宋体" w:eastAsia="宋体" w:hint="default"/>
                            <w:sz w:val="18"/>
                            <w:szCs w:val="18"/>
                          </w:rPr>
                        </w:r>
                      </w:p>
                    </w:tc>
                  </w:tr>
                  <w:tr>
                    <w:trPr>
                      <w:trHeight w:val="240" w:hRule="exact"/>
                    </w:trPr>
                    <w:tc>
                      <w:tcPr>
                        <w:tcW w:w="2201" w:type="dxa"/>
                        <w:tcBorders>
                          <w:top w:val="nil" w:sz="6" w:space="0" w:color="auto"/>
                          <w:left w:val="single" w:sz="4" w:space="0" w:color="000000"/>
                          <w:bottom w:val="single" w:sz="4" w:space="0" w:color="000000"/>
                          <w:right w:val="single" w:sz="4" w:space="0" w:color="000000"/>
                        </w:tcBorders>
                      </w:tcPr>
                      <w:p>
                        <w:pPr/>
                      </w:p>
                    </w:tc>
                    <w:tc>
                      <w:tcPr>
                        <w:tcW w:w="1674"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97" w:right="0"/>
                          <w:jc w:val="left"/>
                          <w:rPr>
                            <w:rFonts w:ascii="宋体" w:hAnsi="宋体" w:cs="宋体" w:eastAsia="宋体" w:hint="default"/>
                            <w:sz w:val="18"/>
                            <w:szCs w:val="18"/>
                          </w:rPr>
                        </w:pPr>
                        <w:r>
                          <w:rPr>
                            <w:rFonts w:ascii="宋体" w:hAnsi="宋体" w:cs="宋体" w:eastAsia="宋体" w:hint="default"/>
                            <w:b/>
                            <w:bCs/>
                            <w:sz w:val="18"/>
                            <w:szCs w:val="18"/>
                          </w:rPr>
                          <w:t>至</w:t>
                        </w:r>
                        <w:r>
                          <w:rPr>
                            <w:rFonts w:ascii="宋体" w:hAnsi="宋体" w:cs="宋体" w:eastAsia="宋体" w:hint="default"/>
                            <w:b/>
                            <w:bCs/>
                            <w:spacing w:val="-46"/>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宋体" w:hAnsi="宋体" w:cs="宋体" w:eastAsia="宋体" w:hint="default"/>
                            <w:b/>
                            <w:bCs/>
                            <w:sz w:val="18"/>
                            <w:szCs w:val="18"/>
                          </w:rPr>
                          <w:t>31</w:t>
                        </w:r>
                        <w:r>
                          <w:rPr>
                            <w:rFonts w:ascii="宋体" w:hAnsi="宋体" w:cs="宋体" w:eastAsia="宋体" w:hint="default"/>
                            <w:b/>
                            <w:bCs/>
                            <w:spacing w:val="-46"/>
                            <w:sz w:val="18"/>
                            <w:szCs w:val="18"/>
                          </w:rPr>
                          <w:t> </w:t>
                        </w:r>
                        <w:r>
                          <w:rPr>
                            <w:rFonts w:ascii="宋体" w:hAnsi="宋体" w:cs="宋体" w:eastAsia="宋体" w:hint="default"/>
                            <w:b/>
                            <w:bCs/>
                            <w:sz w:val="18"/>
                            <w:szCs w:val="18"/>
                          </w:rPr>
                          <w:t>日止</w:t>
                        </w:r>
                        <w:r>
                          <w:rPr>
                            <w:rFonts w:ascii="宋体" w:hAnsi="宋体" w:cs="宋体" w:eastAsia="宋体" w:hint="default"/>
                            <w:sz w:val="18"/>
                            <w:szCs w:val="18"/>
                          </w:rPr>
                        </w:r>
                      </w:p>
                    </w:tc>
                    <w:tc>
                      <w:tcPr>
                        <w:tcW w:w="1626"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right="100"/>
                          <w:jc w:val="right"/>
                          <w:rPr>
                            <w:rFonts w:ascii="宋体" w:hAnsi="宋体" w:cs="宋体" w:eastAsia="宋体" w:hint="default"/>
                            <w:sz w:val="18"/>
                            <w:szCs w:val="18"/>
                          </w:rPr>
                        </w:pPr>
                        <w:r>
                          <w:rPr>
                            <w:rFonts w:ascii="宋体" w:hAnsi="宋体" w:cs="宋体" w:eastAsia="宋体" w:hint="default"/>
                            <w:b/>
                            <w:bCs/>
                            <w:sz w:val="18"/>
                            <w:szCs w:val="18"/>
                          </w:rPr>
                          <w:t>日至</w:t>
                        </w:r>
                        <w:r>
                          <w:rPr>
                            <w:rFonts w:ascii="宋体" w:hAnsi="宋体" w:cs="宋体" w:eastAsia="宋体" w:hint="default"/>
                            <w:b/>
                            <w:bCs/>
                            <w:spacing w:val="-55"/>
                            <w:sz w:val="18"/>
                            <w:szCs w:val="18"/>
                          </w:rPr>
                          <w:t> </w:t>
                        </w:r>
                        <w:r>
                          <w:rPr>
                            <w:rFonts w:ascii="宋体" w:hAnsi="宋体" w:cs="宋体" w:eastAsia="宋体" w:hint="default"/>
                            <w:b/>
                            <w:bCs/>
                            <w:sz w:val="18"/>
                            <w:szCs w:val="18"/>
                          </w:rPr>
                          <w:t>12</w:t>
                        </w:r>
                        <w:r>
                          <w:rPr>
                            <w:rFonts w:ascii="宋体" w:hAnsi="宋体" w:cs="宋体" w:eastAsia="宋体" w:hint="default"/>
                            <w:b/>
                            <w:bCs/>
                            <w:spacing w:val="-55"/>
                            <w:sz w:val="18"/>
                            <w:szCs w:val="18"/>
                          </w:rPr>
                          <w:t> </w:t>
                        </w:r>
                        <w:r>
                          <w:rPr>
                            <w:rFonts w:ascii="宋体" w:hAnsi="宋体" w:cs="宋体" w:eastAsia="宋体" w:hint="default"/>
                            <w:b/>
                            <w:bCs/>
                            <w:sz w:val="18"/>
                            <w:szCs w:val="18"/>
                          </w:rPr>
                          <w:t>月</w:t>
                        </w:r>
                        <w:r>
                          <w:rPr>
                            <w:rFonts w:ascii="宋体" w:hAnsi="宋体" w:cs="宋体" w:eastAsia="宋体" w:hint="default"/>
                            <w:b/>
                            <w:bCs/>
                            <w:spacing w:val="-56"/>
                            <w:sz w:val="18"/>
                            <w:szCs w:val="18"/>
                          </w:rPr>
                          <w:t> </w:t>
                        </w:r>
                        <w:r>
                          <w:rPr>
                            <w:rFonts w:ascii="宋体" w:hAnsi="宋体" w:cs="宋体" w:eastAsia="宋体" w:hint="default"/>
                            <w:b/>
                            <w:bCs/>
                            <w:sz w:val="18"/>
                            <w:szCs w:val="18"/>
                          </w:rPr>
                          <w:t>31</w:t>
                        </w:r>
                        <w:r>
                          <w:rPr>
                            <w:rFonts w:ascii="宋体" w:hAnsi="宋体" w:cs="宋体" w:eastAsia="宋体" w:hint="default"/>
                            <w:b/>
                            <w:bCs/>
                            <w:spacing w:val="-56"/>
                            <w:sz w:val="18"/>
                            <w:szCs w:val="18"/>
                          </w:rPr>
                          <w:t> </w:t>
                        </w:r>
                        <w:r>
                          <w:rPr>
                            <w:rFonts w:ascii="宋体" w:hAnsi="宋体" w:cs="宋体" w:eastAsia="宋体" w:hint="default"/>
                            <w:b/>
                            <w:bCs/>
                            <w:sz w:val="18"/>
                            <w:szCs w:val="18"/>
                          </w:rPr>
                          <w:t>日止</w:t>
                        </w:r>
                        <w:r>
                          <w:rPr>
                            <w:rFonts w:ascii="宋体" w:hAnsi="宋体" w:cs="宋体" w:eastAsia="宋体" w:hint="default"/>
                            <w:sz w:val="18"/>
                            <w:szCs w:val="18"/>
                          </w:rPr>
                        </w:r>
                      </w:p>
                    </w:tc>
                    <w:tc>
                      <w:tcPr>
                        <w:tcW w:w="1600" w:type="dxa"/>
                        <w:tcBorders>
                          <w:top w:val="nil" w:sz="6" w:space="0" w:color="auto"/>
                          <w:left w:val="single" w:sz="4" w:space="0" w:color="000000"/>
                          <w:bottom w:val="single" w:sz="4" w:space="0" w:color="000000"/>
                          <w:right w:val="single" w:sz="4" w:space="0" w:color="000000"/>
                        </w:tcBorders>
                      </w:tcPr>
                      <w:p>
                        <w:pPr/>
                      </w:p>
                    </w:tc>
                    <w:tc>
                      <w:tcPr>
                        <w:tcW w:w="1200" w:type="dxa"/>
                        <w:tcBorders>
                          <w:top w:val="nil" w:sz="6" w:space="0" w:color="auto"/>
                          <w:left w:val="single" w:sz="4" w:space="0" w:color="000000"/>
                          <w:bottom w:val="single" w:sz="4" w:space="0" w:color="000000"/>
                          <w:right w:val="single" w:sz="4" w:space="0" w:color="000000"/>
                        </w:tcBorders>
                      </w:tcPr>
                      <w:p>
                        <w:pPr/>
                      </w:p>
                    </w:tc>
                    <w:tc>
                      <w:tcPr>
                        <w:tcW w:w="884" w:type="dxa"/>
                        <w:tcBorders>
                          <w:top w:val="nil" w:sz="6" w:space="0" w:color="auto"/>
                          <w:left w:val="single" w:sz="4" w:space="0" w:color="000000"/>
                          <w:bottom w:val="single" w:sz="4" w:space="0" w:color="000000"/>
                          <w:right w:val="single" w:sz="4" w:space="0" w:color="000000"/>
                        </w:tcBorders>
                      </w:tcPr>
                      <w:p>
                        <w:pPr/>
                      </w:p>
                    </w:tc>
                  </w:tr>
                  <w:tr>
                    <w:trPr>
                      <w:trHeight w:val="340"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1,617,967,716</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1,157,146,702</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01"/>
                          <w:jc w:val="right"/>
                          <w:rPr>
                            <w:rFonts w:ascii="宋体" w:hAnsi="宋体" w:cs="宋体" w:eastAsia="宋体" w:hint="default"/>
                            <w:sz w:val="18"/>
                            <w:szCs w:val="18"/>
                          </w:rPr>
                        </w:pPr>
                        <w:r>
                          <w:rPr>
                            <w:rFonts w:ascii="宋体"/>
                            <w:sz w:val="18"/>
                          </w:rPr>
                          <w:t>460,821,014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39.8%</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302" w:right="0"/>
                          <w:jc w:val="left"/>
                          <w:rPr>
                            <w:rFonts w:ascii="宋体" w:hAnsi="宋体" w:cs="宋体" w:eastAsia="宋体" w:hint="default"/>
                            <w:sz w:val="18"/>
                            <w:szCs w:val="18"/>
                          </w:rPr>
                        </w:pPr>
                        <w:r>
                          <w:rPr>
                            <w:rFonts w:ascii="宋体"/>
                            <w:sz w:val="18"/>
                          </w:rPr>
                          <w:t>(1)</w:t>
                        </w:r>
                      </w:p>
                    </w:tc>
                  </w:tr>
                  <w:tr>
                    <w:trPr>
                      <w:trHeight w:val="341"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56,402,570</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29,721,864</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26,680,706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89.8%</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302" w:right="0"/>
                          <w:jc w:val="left"/>
                          <w:rPr>
                            <w:rFonts w:ascii="宋体" w:hAnsi="宋体" w:cs="宋体" w:eastAsia="宋体" w:hint="default"/>
                            <w:sz w:val="18"/>
                            <w:szCs w:val="18"/>
                          </w:rPr>
                        </w:pPr>
                        <w:r>
                          <w:rPr>
                            <w:rFonts w:ascii="宋体"/>
                            <w:sz w:val="18"/>
                          </w:rPr>
                          <w:t>(2)</w:t>
                        </w:r>
                      </w:p>
                    </w:tc>
                  </w:tr>
                  <w:tr>
                    <w:trPr>
                      <w:trHeight w:val="340"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37,435,226</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27,921,053</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9,514,173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34.1%</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302" w:right="0"/>
                          <w:jc w:val="left"/>
                          <w:rPr>
                            <w:rFonts w:ascii="宋体" w:hAnsi="宋体" w:cs="宋体" w:eastAsia="宋体" w:hint="default"/>
                            <w:sz w:val="18"/>
                            <w:szCs w:val="18"/>
                          </w:rPr>
                        </w:pPr>
                        <w:r>
                          <w:rPr>
                            <w:rFonts w:ascii="宋体"/>
                            <w:sz w:val="18"/>
                          </w:rPr>
                          <w:t>(3)</w:t>
                        </w:r>
                      </w:p>
                    </w:tc>
                  </w:tr>
                  <w:tr>
                    <w:trPr>
                      <w:trHeight w:val="340"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80,171,609</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-80,171,609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-100.0%</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302" w:right="0"/>
                          <w:jc w:val="left"/>
                          <w:rPr>
                            <w:rFonts w:ascii="宋体" w:hAnsi="宋体" w:cs="宋体" w:eastAsia="宋体" w:hint="default"/>
                            <w:sz w:val="18"/>
                            <w:szCs w:val="18"/>
                          </w:rPr>
                        </w:pPr>
                        <w:r>
                          <w:rPr>
                            <w:rFonts w:ascii="宋体"/>
                            <w:sz w:val="18"/>
                          </w:rPr>
                          <w:t>(4)</w:t>
                        </w:r>
                      </w:p>
                    </w:tc>
                  </w:tr>
                  <w:tr>
                    <w:trPr>
                      <w:trHeight w:val="341"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154,338,369</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254,967,168</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-100,628,799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-39.5%</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302" w:right="0"/>
                          <w:jc w:val="left"/>
                          <w:rPr>
                            <w:rFonts w:ascii="宋体" w:hAnsi="宋体" w:cs="宋体" w:eastAsia="宋体" w:hint="default"/>
                            <w:sz w:val="18"/>
                            <w:szCs w:val="18"/>
                          </w:rPr>
                        </w:pPr>
                        <w:r>
                          <w:rPr>
                            <w:rFonts w:ascii="宋体"/>
                            <w:sz w:val="18"/>
                          </w:rPr>
                          <w:t>(5)</w:t>
                        </w:r>
                      </w:p>
                    </w:tc>
                  </w:tr>
                  <w:tr>
                    <w:trPr>
                      <w:trHeight w:val="340" w:hRule="exact"/>
                    </w:trPr>
                    <w:tc>
                      <w:tcPr>
                        <w:tcW w:w="2201"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
                    </w:tc>
                    <w:tc>
                      <w:tcPr>
                        <w:tcW w:w="1626" w:type="dxa"/>
                        <w:tcBorders>
                          <w:top w:val="single" w:sz="4" w:space="0" w:color="000000"/>
                          <w:left w:val="single" w:sz="4" w:space="0" w:color="000000"/>
                          <w:bottom w:val="single" w:sz="4" w:space="0" w:color="000000"/>
                          <w:right w:val="single" w:sz="4" w:space="0" w:color="000000"/>
                        </w:tcBorders>
                      </w:tcPr>
                      <w:p>
                        <w:pP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1"/>
                          <w:jc w:val="right"/>
                          <w:rPr>
                            <w:rFonts w:ascii="宋体" w:hAnsi="宋体" w:cs="宋体" w:eastAsia="宋体" w:hint="default"/>
                            <w:sz w:val="18"/>
                            <w:szCs w:val="18"/>
                          </w:rPr>
                        </w:pPr>
                        <w:r>
                          <w:rPr>
                            <w:rFonts w:ascii="宋体"/>
                            <w:sz w:val="18"/>
                          </w:rPr>
                          <w:t>-216,524,245</w:t>
                        </w:r>
                      </w:p>
                    </w:tc>
                    <w:tc>
                      <w:tcPr>
                        <w:tcW w:w="1200"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
                    </w:tc>
                  </w:tr>
                </w:tbl>
                <w:p>
                  <w:pPr/>
                </w:p>
              </w:txbxContent>
            </v:textbox>
            <w10:wrap type="none"/>
          </v:shape>
        </w:pict>
      </w:r>
      <w:r>
        <w:rPr>
          <w:rFonts w:ascii="宋体" w:hAnsi="宋体" w:cs="宋体" w:eastAsia="宋体" w:hint="default"/>
          <w:sz w:val="18"/>
          <w:szCs w:val="18"/>
        </w:rPr>
        <w:t>在建工程</w:t>
        <w:tab/>
        <w:t>6,743,945</w:t>
        <w:tab/>
        <w:t>223,268,190</w:t>
      </w:r>
    </w:p>
    <w:p>
      <w:pPr>
        <w:spacing w:line="240" w:lineRule="auto" w:before="1"/>
        <w:rPr>
          <w:rFonts w:ascii="宋体" w:hAnsi="宋体" w:cs="宋体" w:eastAsia="宋体" w:hint="default"/>
          <w:sz w:val="16"/>
          <w:szCs w:val="16"/>
        </w:rPr>
      </w:pPr>
      <w:r>
        <w:rPr/>
        <w:br w:type="column"/>
      </w:r>
      <w:r>
        <w:rPr>
          <w:rFonts w:ascii="宋体"/>
          <w:sz w:val="16"/>
        </w:rPr>
      </w:r>
    </w:p>
    <w:p>
      <w:pPr>
        <w:spacing w:before="0"/>
        <w:ind w:left="277" w:right="-20" w:firstLine="0"/>
        <w:jc w:val="left"/>
        <w:rPr>
          <w:rFonts w:ascii="宋体" w:hAnsi="宋体" w:cs="宋体" w:eastAsia="宋体" w:hint="default"/>
          <w:sz w:val="18"/>
          <w:szCs w:val="18"/>
        </w:rPr>
      </w:pPr>
      <w:r>
        <w:rPr>
          <w:rFonts w:ascii="宋体"/>
          <w:sz w:val="18"/>
        </w:rPr>
        <w:t>-97.0%</w:t>
      </w:r>
    </w:p>
    <w:p>
      <w:pPr>
        <w:spacing w:before="44"/>
        <w:ind w:left="277" w:right="0" w:firstLine="0"/>
        <w:jc w:val="left"/>
        <w:rPr>
          <w:rFonts w:ascii="宋体" w:hAnsi="宋体" w:cs="宋体" w:eastAsia="宋体" w:hint="default"/>
          <w:sz w:val="18"/>
          <w:szCs w:val="18"/>
        </w:rPr>
      </w:pPr>
      <w:r>
        <w:rPr/>
        <w:br w:type="column"/>
      </w:r>
      <w:r>
        <w:rPr>
          <w:rFonts w:ascii="宋体"/>
          <w:sz w:val="18"/>
        </w:rPr>
        <w:t>(6)</w:t>
      </w:r>
    </w:p>
    <w:p>
      <w:pPr>
        <w:spacing w:after="0"/>
        <w:jc w:val="left"/>
        <w:rPr>
          <w:rFonts w:ascii="宋体" w:hAnsi="宋体" w:cs="宋体" w:eastAsia="宋体" w:hint="default"/>
          <w:sz w:val="18"/>
          <w:szCs w:val="18"/>
        </w:rPr>
        <w:sectPr>
          <w:type w:val="continuous"/>
          <w:pgSz w:w="11910" w:h="16840"/>
          <w:pgMar w:top="1600" w:bottom="280" w:left="1220" w:right="1040"/>
          <w:cols w:num="3" w:equalWidth="0">
            <w:col w:w="5563" w:space="1982"/>
            <w:col w:w="818" w:space="137"/>
            <w:col w:w="1150"/>
          </w:cols>
        </w:sectPr>
      </w:pPr>
    </w:p>
    <w:p>
      <w:pPr>
        <w:spacing w:line="240" w:lineRule="auto" w:before="0"/>
        <w:rPr>
          <w:rFonts w:ascii="宋体" w:hAnsi="宋体" w:cs="宋体" w:eastAsia="宋体" w:hint="default"/>
          <w:sz w:val="25"/>
          <w:szCs w:val="25"/>
        </w:rPr>
      </w:pPr>
    </w:p>
    <w:tbl>
      <w:tblPr>
        <w:tblW w:w="0" w:type="auto"/>
        <w:jc w:val="left"/>
        <w:tblInd w:w="164" w:type="dxa"/>
        <w:tblLayout w:type="fixed"/>
        <w:tblCellMar>
          <w:top w:w="0" w:type="dxa"/>
          <w:left w:w="0" w:type="dxa"/>
          <w:bottom w:w="0" w:type="dxa"/>
          <w:right w:w="0" w:type="dxa"/>
        </w:tblCellMar>
        <w:tblLook w:val="01E0"/>
      </w:tblPr>
      <w:tblGrid>
        <w:gridCol w:w="2201"/>
        <w:gridCol w:w="1674"/>
        <w:gridCol w:w="1626"/>
        <w:gridCol w:w="1600"/>
        <w:gridCol w:w="1200"/>
        <w:gridCol w:w="884"/>
      </w:tblGrid>
      <w:tr>
        <w:trPr>
          <w:trHeight w:val="710"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报表项目</w:t>
            </w:r>
            <w:r>
              <w:rPr>
                <w:rFonts w:ascii="宋体" w:hAnsi="宋体" w:cs="宋体" w:eastAsia="宋体" w:hint="default"/>
                <w:sz w:val="18"/>
                <w:szCs w:val="18"/>
              </w:rPr>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55"/>
                <w:sz w:val="18"/>
                <w:szCs w:val="18"/>
              </w:rPr>
              <w:t> </w:t>
            </w:r>
            <w:r>
              <w:rPr>
                <w:rFonts w:ascii="宋体" w:hAnsi="宋体" w:cs="宋体" w:eastAsia="宋体" w:hint="default"/>
                <w:b/>
                <w:bCs/>
                <w:sz w:val="18"/>
                <w:szCs w:val="18"/>
              </w:rPr>
              <w:t>年</w:t>
            </w:r>
            <w:r>
              <w:rPr>
                <w:rFonts w:ascii="宋体" w:hAnsi="宋体" w:cs="宋体" w:eastAsia="宋体" w:hint="default"/>
                <w:b/>
                <w:bCs/>
                <w:spacing w:val="-54"/>
                <w:sz w:val="18"/>
                <w:szCs w:val="18"/>
              </w:rPr>
              <w:t> </w:t>
            </w:r>
            <w:r>
              <w:rPr>
                <w:rFonts w:ascii="宋体" w:hAnsi="宋体" w:cs="宋体" w:eastAsia="宋体" w:hint="default"/>
                <w:b/>
                <w:bCs/>
                <w:sz w:val="18"/>
                <w:szCs w:val="18"/>
              </w:rPr>
              <w:t>12</w:t>
            </w:r>
            <w:r>
              <w:rPr>
                <w:rFonts w:ascii="宋体" w:hAnsi="宋体" w:cs="宋体" w:eastAsia="宋体" w:hint="default"/>
                <w:b/>
                <w:bCs/>
                <w:spacing w:val="-55"/>
                <w:sz w:val="18"/>
                <w:szCs w:val="18"/>
              </w:rPr>
              <w:t> </w:t>
            </w:r>
            <w:r>
              <w:rPr>
                <w:rFonts w:ascii="宋体" w:hAnsi="宋体" w:cs="宋体" w:eastAsia="宋体" w:hint="default"/>
                <w:b/>
                <w:bCs/>
                <w:sz w:val="18"/>
                <w:szCs w:val="18"/>
              </w:rPr>
              <w:t>月</w:t>
            </w:r>
            <w:r>
              <w:rPr>
                <w:rFonts w:ascii="宋体" w:hAnsi="宋体" w:cs="宋体" w:eastAsia="宋体" w:hint="default"/>
                <w:b/>
                <w:bCs/>
                <w:spacing w:val="-54"/>
                <w:sz w:val="18"/>
                <w:szCs w:val="18"/>
              </w:rPr>
              <w:t> </w:t>
            </w:r>
            <w:r>
              <w:rPr>
                <w:rFonts w:ascii="宋体" w:hAnsi="宋体" w:cs="宋体" w:eastAsia="宋体" w:hint="default"/>
                <w:b/>
                <w:bCs/>
                <w:spacing w:val="13"/>
                <w:sz w:val="18"/>
                <w:szCs w:val="18"/>
              </w:rPr>
              <w:t>31日</w:t>
            </w:r>
            <w:r>
              <w:rPr>
                <w:rFonts w:ascii="宋体" w:hAnsi="宋体" w:cs="宋体" w:eastAsia="宋体" w:hint="default"/>
                <w:b/>
                <w:bCs/>
                <w:spacing w:val="-52"/>
                <w:sz w:val="18"/>
                <w:szCs w:val="18"/>
              </w:rPr>
              <w:t> </w:t>
            </w:r>
            <w:r>
              <w:rPr>
                <w:rFonts w:ascii="宋体" w:hAnsi="宋体" w:cs="宋体" w:eastAsia="宋体" w:hint="default"/>
                <w:sz w:val="18"/>
                <w:szCs w:val="18"/>
              </w:rPr>
            </w:r>
          </w:p>
          <w:p>
            <w:pPr>
              <w:pStyle w:val="TableParagraph"/>
              <w:spacing w:line="232" w:lineRule="exact" w:before="24"/>
              <w:ind w:left="197" w:right="84" w:hanging="68"/>
              <w:jc w:val="left"/>
              <w:rPr>
                <w:rFonts w:ascii="宋体" w:hAnsi="宋体" w:cs="宋体" w:eastAsia="宋体" w:hint="default"/>
                <w:sz w:val="18"/>
                <w:szCs w:val="18"/>
              </w:rPr>
            </w:pPr>
            <w:r>
              <w:rPr>
                <w:rFonts w:ascii="宋体" w:hAnsi="宋体" w:cs="宋体" w:eastAsia="宋体" w:hint="default"/>
                <w:b/>
                <w:bCs/>
                <w:spacing w:val="22"/>
                <w:sz w:val="18"/>
                <w:szCs w:val="18"/>
              </w:rPr>
              <w:t>/2009年1月1日</w:t>
            </w:r>
            <w:r>
              <w:rPr>
                <w:rFonts w:ascii="宋体" w:hAnsi="宋体" w:cs="宋体" w:eastAsia="宋体" w:hint="default"/>
                <w:b/>
                <w:bCs/>
                <w:spacing w:val="-46"/>
                <w:sz w:val="18"/>
                <w:szCs w:val="18"/>
              </w:rPr>
              <w:t> </w:t>
            </w:r>
            <w:r>
              <w:rPr>
                <w:rFonts w:ascii="宋体" w:hAnsi="宋体" w:cs="宋体" w:eastAsia="宋体" w:hint="default"/>
                <w:b/>
                <w:bCs/>
                <w:sz w:val="18"/>
                <w:szCs w:val="18"/>
              </w:rPr>
              <w:t>至</w:t>
            </w:r>
            <w:r>
              <w:rPr>
                <w:rFonts w:ascii="宋体" w:hAnsi="宋体" w:cs="宋体" w:eastAsia="宋体" w:hint="default"/>
                <w:b/>
                <w:bCs/>
                <w:spacing w:val="-46"/>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宋体" w:hAnsi="宋体" w:cs="宋体" w:eastAsia="宋体" w:hint="default"/>
                <w:b/>
                <w:bCs/>
                <w:sz w:val="18"/>
                <w:szCs w:val="18"/>
              </w:rPr>
              <w:t>31</w:t>
            </w:r>
            <w:r>
              <w:rPr>
                <w:rFonts w:ascii="宋体" w:hAnsi="宋体" w:cs="宋体" w:eastAsia="宋体" w:hint="default"/>
                <w:b/>
                <w:bCs/>
                <w:spacing w:val="-46"/>
                <w:sz w:val="18"/>
                <w:szCs w:val="18"/>
              </w:rPr>
              <w:t> </w:t>
            </w:r>
            <w:r>
              <w:rPr>
                <w:rFonts w:ascii="宋体" w:hAnsi="宋体" w:cs="宋体" w:eastAsia="宋体" w:hint="default"/>
                <w:b/>
                <w:bCs/>
                <w:sz w:val="18"/>
                <w:szCs w:val="18"/>
              </w:rPr>
              <w:t>日止</w:t>
            </w:r>
            <w:r>
              <w:rPr>
                <w:rFonts w:ascii="宋体" w:hAnsi="宋体" w:cs="宋体" w:eastAsia="宋体" w:hint="default"/>
                <w:sz w:val="18"/>
                <w:szCs w:val="18"/>
              </w:rPr>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3" w:right="0"/>
              <w:jc w:val="left"/>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宋体" w:hAnsi="宋体" w:cs="宋体" w:eastAsia="宋体" w:hint="default"/>
                <w:b/>
                <w:bCs/>
                <w:sz w:val="18"/>
                <w:szCs w:val="18"/>
              </w:rPr>
              <w:t>31</w:t>
            </w:r>
            <w:r>
              <w:rPr>
                <w:rFonts w:ascii="宋体" w:hAnsi="宋体" w:cs="宋体" w:eastAsia="宋体" w:hint="default"/>
                <w:sz w:val="18"/>
                <w:szCs w:val="18"/>
              </w:rPr>
            </w:r>
          </w:p>
          <w:p>
            <w:pPr>
              <w:pStyle w:val="TableParagraph"/>
              <w:spacing w:line="232" w:lineRule="exact" w:before="24"/>
              <w:ind w:left="103" w:right="100" w:firstLine="25"/>
              <w:jc w:val="left"/>
              <w:rPr>
                <w:rFonts w:ascii="宋体" w:hAnsi="宋体" w:cs="宋体" w:eastAsia="宋体" w:hint="default"/>
                <w:sz w:val="18"/>
                <w:szCs w:val="18"/>
              </w:rPr>
            </w:pPr>
            <w:r>
              <w:rPr>
                <w:rFonts w:ascii="宋体" w:hAnsi="宋体" w:cs="宋体" w:eastAsia="宋体" w:hint="default"/>
                <w:b/>
                <w:bCs/>
                <w:sz w:val="18"/>
                <w:szCs w:val="18"/>
              </w:rPr>
              <w:t>日/2008</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宋体" w:hAnsi="宋体" w:cs="宋体" w:eastAsia="宋体" w:hint="default"/>
                <w:b/>
                <w:bCs/>
                <w:sz w:val="18"/>
                <w:szCs w:val="18"/>
              </w:rPr>
              <w:t>1</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宋体" w:hAnsi="宋体" w:cs="宋体" w:eastAsia="宋体" w:hint="default"/>
                <w:b/>
                <w:bCs/>
                <w:sz w:val="18"/>
                <w:szCs w:val="18"/>
              </w:rPr>
              <w:t>1</w:t>
            </w:r>
            <w:r>
              <w:rPr>
                <w:rFonts w:ascii="宋体" w:hAnsi="宋体" w:cs="宋体" w:eastAsia="宋体" w:hint="default"/>
                <w:b/>
                <w:bCs/>
                <w:w w:val="99"/>
                <w:sz w:val="18"/>
                <w:szCs w:val="18"/>
              </w:rPr>
              <w:t> </w:t>
            </w:r>
            <w:r>
              <w:rPr>
                <w:rFonts w:ascii="宋体" w:hAnsi="宋体" w:cs="宋体" w:eastAsia="宋体" w:hint="default"/>
                <w:b/>
                <w:bCs/>
                <w:sz w:val="18"/>
                <w:szCs w:val="18"/>
              </w:rPr>
              <w:t>日至</w:t>
            </w:r>
            <w:r>
              <w:rPr>
                <w:rFonts w:ascii="宋体" w:hAnsi="宋体" w:cs="宋体" w:eastAsia="宋体" w:hint="default"/>
                <w:b/>
                <w:bCs/>
                <w:spacing w:val="-55"/>
                <w:sz w:val="18"/>
                <w:szCs w:val="18"/>
              </w:rPr>
              <w:t> </w:t>
            </w:r>
            <w:r>
              <w:rPr>
                <w:rFonts w:ascii="宋体" w:hAnsi="宋体" w:cs="宋体" w:eastAsia="宋体" w:hint="default"/>
                <w:b/>
                <w:bCs/>
                <w:sz w:val="18"/>
                <w:szCs w:val="18"/>
              </w:rPr>
              <w:t>12</w:t>
            </w:r>
            <w:r>
              <w:rPr>
                <w:rFonts w:ascii="宋体" w:hAnsi="宋体" w:cs="宋体" w:eastAsia="宋体" w:hint="default"/>
                <w:b/>
                <w:bCs/>
                <w:spacing w:val="-55"/>
                <w:sz w:val="18"/>
                <w:szCs w:val="18"/>
              </w:rPr>
              <w:t> </w:t>
            </w:r>
            <w:r>
              <w:rPr>
                <w:rFonts w:ascii="宋体" w:hAnsi="宋体" w:cs="宋体" w:eastAsia="宋体" w:hint="default"/>
                <w:b/>
                <w:bCs/>
                <w:sz w:val="18"/>
                <w:szCs w:val="18"/>
              </w:rPr>
              <w:t>月</w:t>
            </w:r>
            <w:r>
              <w:rPr>
                <w:rFonts w:ascii="宋体" w:hAnsi="宋体" w:cs="宋体" w:eastAsia="宋体" w:hint="default"/>
                <w:b/>
                <w:bCs/>
                <w:spacing w:val="-56"/>
                <w:sz w:val="18"/>
                <w:szCs w:val="18"/>
              </w:rPr>
              <w:t> </w:t>
            </w:r>
            <w:r>
              <w:rPr>
                <w:rFonts w:ascii="宋体" w:hAnsi="宋体" w:cs="宋体" w:eastAsia="宋体" w:hint="default"/>
                <w:b/>
                <w:bCs/>
                <w:sz w:val="18"/>
                <w:szCs w:val="18"/>
              </w:rPr>
              <w:t>31</w:t>
            </w:r>
            <w:r>
              <w:rPr>
                <w:rFonts w:ascii="宋体" w:hAnsi="宋体" w:cs="宋体" w:eastAsia="宋体" w:hint="default"/>
                <w:b/>
                <w:bCs/>
                <w:spacing w:val="-56"/>
                <w:sz w:val="18"/>
                <w:szCs w:val="18"/>
              </w:rPr>
              <w:t> </w:t>
            </w:r>
            <w:r>
              <w:rPr>
                <w:rFonts w:ascii="宋体" w:hAnsi="宋体" w:cs="宋体" w:eastAsia="宋体" w:hint="default"/>
                <w:b/>
                <w:bCs/>
                <w:sz w:val="18"/>
                <w:szCs w:val="18"/>
              </w:rPr>
              <w:t>日止</w:t>
            </w:r>
            <w:r>
              <w:rPr>
                <w:rFonts w:ascii="宋体" w:hAnsi="宋体" w:cs="宋体" w:eastAsia="宋体" w:hint="default"/>
                <w:sz w:val="18"/>
                <w:szCs w:val="18"/>
              </w:rPr>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523" w:right="0"/>
              <w:jc w:val="left"/>
              <w:rPr>
                <w:rFonts w:ascii="宋体" w:hAnsi="宋体" w:cs="宋体" w:eastAsia="宋体" w:hint="default"/>
                <w:sz w:val="18"/>
                <w:szCs w:val="18"/>
              </w:rPr>
            </w:pPr>
            <w:r>
              <w:rPr>
                <w:rFonts w:ascii="宋体" w:hAnsi="宋体" w:cs="宋体" w:eastAsia="宋体" w:hint="default"/>
                <w:b/>
                <w:bCs/>
                <w:sz w:val="18"/>
                <w:szCs w:val="18"/>
              </w:rPr>
              <w:t>增减额</w:t>
            </w:r>
            <w:r>
              <w:rPr>
                <w:rFonts w:ascii="宋体" w:hAnsi="宋体" w:cs="宋体" w:eastAsia="宋体" w:hint="default"/>
                <w:sz w:val="18"/>
                <w:szCs w:val="18"/>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3" w:right="0"/>
              <w:jc w:val="left"/>
              <w:rPr>
                <w:rFonts w:ascii="宋体" w:hAnsi="宋体" w:cs="宋体" w:eastAsia="宋体" w:hint="default"/>
                <w:sz w:val="18"/>
                <w:szCs w:val="18"/>
              </w:rPr>
            </w:pPr>
            <w:r>
              <w:rPr>
                <w:rFonts w:ascii="宋体" w:hAnsi="宋体" w:cs="宋体" w:eastAsia="宋体" w:hint="default"/>
                <w:b/>
                <w:bCs/>
                <w:sz w:val="18"/>
                <w:szCs w:val="18"/>
              </w:rPr>
              <w:t>增减幅度</w:t>
            </w:r>
            <w:r>
              <w:rPr>
                <w:rFonts w:ascii="宋体" w:hAnsi="宋体" w:cs="宋体" w:eastAsia="宋体" w:hint="default"/>
                <w:sz w:val="18"/>
                <w:szCs w:val="18"/>
              </w:rPr>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b/>
                <w:bCs/>
                <w:sz w:val="18"/>
                <w:szCs w:val="18"/>
              </w:rPr>
              <w:t>说明</w:t>
            </w:r>
            <w:r>
              <w:rPr>
                <w:rFonts w:ascii="宋体" w:hAnsi="宋体" w:cs="宋体" w:eastAsia="宋体" w:hint="default"/>
                <w:sz w:val="18"/>
                <w:szCs w:val="18"/>
              </w:rPr>
            </w:r>
          </w:p>
        </w:tc>
      </w:tr>
      <w:tr>
        <w:trPr>
          <w:trHeight w:val="340"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101,619,083</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5,740,965</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95,878,118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1670.1%</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302" w:right="0"/>
              <w:jc w:val="left"/>
              <w:rPr>
                <w:rFonts w:ascii="宋体" w:hAnsi="宋体" w:cs="宋体" w:eastAsia="宋体" w:hint="default"/>
                <w:sz w:val="18"/>
                <w:szCs w:val="18"/>
              </w:rPr>
            </w:pPr>
            <w:r>
              <w:rPr>
                <w:rFonts w:ascii="宋体"/>
                <w:sz w:val="18"/>
              </w:rPr>
              <w:t>(7)</w:t>
            </w:r>
          </w:p>
        </w:tc>
      </w:tr>
      <w:tr>
        <w:trPr>
          <w:trHeight w:val="341"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33,915,703</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24,989,044</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8,926,659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35.7%</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302" w:right="0"/>
              <w:jc w:val="left"/>
              <w:rPr>
                <w:rFonts w:ascii="宋体" w:hAnsi="宋体" w:cs="宋体" w:eastAsia="宋体" w:hint="default"/>
                <w:sz w:val="18"/>
                <w:szCs w:val="18"/>
              </w:rPr>
            </w:pPr>
            <w:r>
              <w:rPr>
                <w:rFonts w:ascii="宋体"/>
                <w:sz w:val="18"/>
              </w:rPr>
              <w:t>(8)</w:t>
            </w:r>
          </w:p>
        </w:tc>
      </w:tr>
      <w:tr>
        <w:trPr>
          <w:trHeight w:val="340"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8,760,139</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-8,760,139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-100.0%</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302" w:right="0"/>
              <w:jc w:val="left"/>
              <w:rPr>
                <w:rFonts w:ascii="宋体" w:hAnsi="宋体" w:cs="宋体" w:eastAsia="宋体" w:hint="default"/>
                <w:sz w:val="18"/>
                <w:szCs w:val="18"/>
              </w:rPr>
            </w:pPr>
            <w:r>
              <w:rPr>
                <w:rFonts w:ascii="宋体"/>
                <w:sz w:val="18"/>
              </w:rPr>
              <w:t>(9)</w:t>
            </w:r>
          </w:p>
        </w:tc>
      </w:tr>
      <w:tr>
        <w:trPr>
          <w:trHeight w:val="340"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127,940,447</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98,323,137</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29,617,310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30.1%</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56" w:right="0"/>
              <w:jc w:val="left"/>
              <w:rPr>
                <w:rFonts w:ascii="宋体" w:hAnsi="宋体" w:cs="宋体" w:eastAsia="宋体" w:hint="default"/>
                <w:sz w:val="18"/>
                <w:szCs w:val="18"/>
              </w:rPr>
            </w:pPr>
            <w:r>
              <w:rPr>
                <w:rFonts w:ascii="宋体"/>
                <w:sz w:val="18"/>
              </w:rPr>
              <w:t>(10)</w:t>
            </w:r>
          </w:p>
        </w:tc>
      </w:tr>
      <w:tr>
        <w:trPr>
          <w:trHeight w:val="341"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40,490,287</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27,147,013</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13,343,274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49.2%</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56" w:right="0"/>
              <w:jc w:val="left"/>
              <w:rPr>
                <w:rFonts w:ascii="宋体" w:hAnsi="宋体" w:cs="宋体" w:eastAsia="宋体" w:hint="default"/>
                <w:sz w:val="18"/>
                <w:szCs w:val="18"/>
              </w:rPr>
            </w:pPr>
            <w:r>
              <w:rPr>
                <w:rFonts w:ascii="宋体"/>
                <w:sz w:val="18"/>
              </w:rPr>
              <w:t>(11)</w:t>
            </w:r>
          </w:p>
        </w:tc>
      </w:tr>
      <w:tr>
        <w:trPr>
          <w:trHeight w:val="340"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275,880</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487,988</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-212,108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-43.5%</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56" w:right="0"/>
              <w:jc w:val="left"/>
              <w:rPr>
                <w:rFonts w:ascii="宋体" w:hAnsi="宋体" w:cs="宋体" w:eastAsia="宋体" w:hint="default"/>
                <w:sz w:val="18"/>
                <w:szCs w:val="18"/>
              </w:rPr>
            </w:pPr>
            <w:r>
              <w:rPr>
                <w:rFonts w:ascii="宋体"/>
                <w:sz w:val="18"/>
              </w:rPr>
              <w:t>(12)</w:t>
            </w:r>
          </w:p>
        </w:tc>
      </w:tr>
      <w:tr>
        <w:trPr>
          <w:trHeight w:val="340"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30,000,000</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-30,000,000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-100.0%</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56" w:right="0"/>
              <w:jc w:val="left"/>
              <w:rPr>
                <w:rFonts w:ascii="宋体" w:hAnsi="宋体" w:cs="宋体" w:eastAsia="宋体" w:hint="default"/>
                <w:sz w:val="18"/>
                <w:szCs w:val="18"/>
              </w:rPr>
            </w:pPr>
            <w:r>
              <w:rPr>
                <w:rFonts w:ascii="宋体"/>
                <w:sz w:val="18"/>
              </w:rPr>
              <w:t>(13)</w:t>
            </w:r>
          </w:p>
        </w:tc>
      </w:tr>
      <w:tr>
        <w:trPr>
          <w:trHeight w:val="341"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8,929,270</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21,989,144</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-13,059,874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-59.4%</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56" w:right="0"/>
              <w:jc w:val="left"/>
              <w:rPr>
                <w:rFonts w:ascii="宋体" w:hAnsi="宋体" w:cs="宋体" w:eastAsia="宋体" w:hint="default"/>
                <w:sz w:val="18"/>
                <w:szCs w:val="18"/>
              </w:rPr>
            </w:pPr>
            <w:r>
              <w:rPr>
                <w:rFonts w:ascii="宋体"/>
                <w:sz w:val="18"/>
              </w:rPr>
              <w:t>(14)</w:t>
            </w:r>
          </w:p>
        </w:tc>
      </w:tr>
      <w:tr>
        <w:trPr>
          <w:trHeight w:val="340"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152,000,000</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275,000,000</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-123,000,000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-44.7%</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56" w:right="0"/>
              <w:jc w:val="left"/>
              <w:rPr>
                <w:rFonts w:ascii="宋体" w:hAnsi="宋体" w:cs="宋体" w:eastAsia="宋体" w:hint="default"/>
                <w:sz w:val="18"/>
                <w:szCs w:val="18"/>
              </w:rPr>
            </w:pPr>
            <w:r>
              <w:rPr>
                <w:rFonts w:ascii="宋体"/>
                <w:sz w:val="18"/>
              </w:rPr>
              <w:t>(15)</w:t>
            </w:r>
          </w:p>
        </w:tc>
      </w:tr>
      <w:tr>
        <w:trPr>
          <w:trHeight w:val="340"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2,642,684</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7,899,285</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-5,256,601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-66.5%</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56" w:right="0"/>
              <w:jc w:val="left"/>
              <w:rPr>
                <w:rFonts w:ascii="宋体" w:hAnsi="宋体" w:cs="宋体" w:eastAsia="宋体" w:hint="default"/>
                <w:sz w:val="18"/>
                <w:szCs w:val="18"/>
              </w:rPr>
            </w:pPr>
            <w:r>
              <w:rPr>
                <w:rFonts w:ascii="宋体"/>
                <w:sz w:val="18"/>
              </w:rPr>
              <w:t>(16)</w:t>
            </w:r>
          </w:p>
        </w:tc>
      </w:tr>
      <w:tr>
        <w:trPr>
          <w:trHeight w:val="341"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164,085,078</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112,369,458</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51,715,620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46.0%</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56" w:right="0"/>
              <w:jc w:val="left"/>
              <w:rPr>
                <w:rFonts w:ascii="宋体" w:hAnsi="宋体" w:cs="宋体" w:eastAsia="宋体" w:hint="default"/>
                <w:sz w:val="18"/>
                <w:szCs w:val="18"/>
              </w:rPr>
            </w:pPr>
            <w:r>
              <w:rPr>
                <w:rFonts w:ascii="宋体"/>
                <w:sz w:val="18"/>
              </w:rPr>
              <w:t>(17)</w:t>
            </w:r>
          </w:p>
        </w:tc>
      </w:tr>
      <w:tr>
        <w:trPr>
          <w:trHeight w:val="340"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1,925,100,542</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1,367,404,869</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557,695,673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40.8%</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56" w:right="0"/>
              <w:jc w:val="left"/>
              <w:rPr>
                <w:rFonts w:ascii="宋体" w:hAnsi="宋体" w:cs="宋体" w:eastAsia="宋体" w:hint="default"/>
                <w:sz w:val="18"/>
                <w:szCs w:val="18"/>
              </w:rPr>
            </w:pPr>
            <w:r>
              <w:rPr>
                <w:rFonts w:ascii="宋体"/>
                <w:sz w:val="18"/>
              </w:rPr>
              <w:t>(18)</w:t>
            </w:r>
          </w:p>
        </w:tc>
      </w:tr>
      <w:tr>
        <w:trPr>
          <w:trHeight w:val="340"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17,522,498</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4,500,257</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13,022,241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289.4%</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56" w:right="0"/>
              <w:jc w:val="left"/>
              <w:rPr>
                <w:rFonts w:ascii="宋体" w:hAnsi="宋体" w:cs="宋体" w:eastAsia="宋体" w:hint="default"/>
                <w:sz w:val="18"/>
                <w:szCs w:val="18"/>
              </w:rPr>
            </w:pPr>
            <w:r>
              <w:rPr>
                <w:rFonts w:ascii="宋体"/>
                <w:sz w:val="18"/>
              </w:rPr>
              <w:t>(19)</w:t>
            </w:r>
          </w:p>
        </w:tc>
      </w:tr>
      <w:tr>
        <w:trPr>
          <w:trHeight w:val="341"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12,777,412</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24,774,630</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-11,997,218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-48.4%</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56" w:right="0"/>
              <w:jc w:val="left"/>
              <w:rPr>
                <w:rFonts w:ascii="宋体" w:hAnsi="宋体" w:cs="宋体" w:eastAsia="宋体" w:hint="default"/>
                <w:sz w:val="18"/>
                <w:szCs w:val="18"/>
              </w:rPr>
            </w:pPr>
            <w:r>
              <w:rPr>
                <w:rFonts w:ascii="宋体"/>
                <w:sz w:val="18"/>
              </w:rPr>
              <w:t>(20)</w:t>
            </w:r>
          </w:p>
        </w:tc>
      </w:tr>
      <w:tr>
        <w:trPr>
          <w:trHeight w:val="340"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公允价值变动收益</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9,196,499</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-8,760,139</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17,956,638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205.0%</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56" w:right="0"/>
              <w:jc w:val="left"/>
              <w:rPr>
                <w:rFonts w:ascii="宋体" w:hAnsi="宋体" w:cs="宋体" w:eastAsia="宋体" w:hint="default"/>
                <w:sz w:val="18"/>
                <w:szCs w:val="18"/>
              </w:rPr>
            </w:pPr>
            <w:r>
              <w:rPr>
                <w:rFonts w:ascii="宋体"/>
                <w:sz w:val="18"/>
              </w:rPr>
              <w:t>(21)</w:t>
            </w:r>
          </w:p>
        </w:tc>
      </w:tr>
      <w:tr>
        <w:trPr>
          <w:trHeight w:val="340"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112,214,666</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34,640,063</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77,574,603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223.9%</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56" w:right="0"/>
              <w:jc w:val="left"/>
              <w:rPr>
                <w:rFonts w:ascii="宋体" w:hAnsi="宋体" w:cs="宋体" w:eastAsia="宋体" w:hint="default"/>
                <w:sz w:val="18"/>
                <w:szCs w:val="18"/>
              </w:rPr>
            </w:pPr>
            <w:r>
              <w:rPr>
                <w:rFonts w:ascii="宋体"/>
                <w:sz w:val="18"/>
              </w:rPr>
              <w:t>(22)</w:t>
            </w:r>
          </w:p>
        </w:tc>
      </w:tr>
      <w:tr>
        <w:trPr>
          <w:trHeight w:val="341"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11,273,121</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34,039,065</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-22,765,944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-66.9%</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56" w:right="0"/>
              <w:jc w:val="left"/>
              <w:rPr>
                <w:rFonts w:ascii="宋体" w:hAnsi="宋体" w:cs="宋体" w:eastAsia="宋体" w:hint="default"/>
                <w:sz w:val="18"/>
                <w:szCs w:val="18"/>
              </w:rPr>
            </w:pPr>
            <w:r>
              <w:rPr>
                <w:rFonts w:ascii="宋体"/>
                <w:sz w:val="18"/>
              </w:rPr>
              <w:t>(23)</w:t>
            </w:r>
          </w:p>
        </w:tc>
      </w:tr>
      <w:tr>
        <w:trPr>
          <w:trHeight w:val="340" w:hRule="exact"/>
        </w:trPr>
        <w:tc>
          <w:tcPr>
            <w:tcW w:w="2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10,513,913</w:t>
            </w:r>
          </w:p>
        </w:tc>
        <w:tc>
          <w:tcPr>
            <w:tcW w:w="1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-18,467,772</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宋体" w:hAnsi="宋体" w:cs="宋体" w:eastAsia="宋体" w:hint="default"/>
                <w:sz w:val="18"/>
                <w:szCs w:val="18"/>
              </w:rPr>
            </w:pPr>
            <w:r>
              <w:rPr>
                <w:rFonts w:ascii="宋体"/>
                <w:sz w:val="18"/>
              </w:rPr>
              <w:t>28,981,685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01"/>
              <w:jc w:val="right"/>
              <w:rPr>
                <w:rFonts w:ascii="宋体" w:hAnsi="宋体" w:cs="宋体" w:eastAsia="宋体" w:hint="default"/>
                <w:sz w:val="18"/>
                <w:szCs w:val="18"/>
              </w:rPr>
            </w:pPr>
            <w:r>
              <w:rPr>
                <w:rFonts w:ascii="宋体"/>
                <w:sz w:val="18"/>
              </w:rPr>
              <w:t>156.9%</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56" w:right="0"/>
              <w:jc w:val="left"/>
              <w:rPr>
                <w:rFonts w:ascii="宋体" w:hAnsi="宋体" w:cs="宋体" w:eastAsia="宋体" w:hint="default"/>
                <w:sz w:val="18"/>
                <w:szCs w:val="18"/>
              </w:rPr>
            </w:pPr>
            <w:r>
              <w:rPr>
                <w:rFonts w:ascii="宋体"/>
                <w:sz w:val="18"/>
              </w:rPr>
              <w:t>(24)</w:t>
            </w:r>
          </w:p>
        </w:tc>
      </w:tr>
    </w:tbl>
    <w:p>
      <w:pPr>
        <w:spacing w:line="240" w:lineRule="auto" w:before="11"/>
        <w:rPr>
          <w:rFonts w:ascii="宋体" w:hAnsi="宋体" w:cs="宋体" w:eastAsia="宋体" w:hint="default"/>
          <w:sz w:val="18"/>
          <w:szCs w:val="18"/>
        </w:rPr>
      </w:pPr>
    </w:p>
    <w:p>
      <w:pPr>
        <w:pStyle w:val="BodyText"/>
        <w:spacing w:line="313" w:lineRule="exact" w:before="26"/>
        <w:ind w:left="498" w:right="104"/>
        <w:jc w:val="left"/>
      </w:pPr>
      <w:r>
        <w:rPr/>
        <w:t>变动说明：</w:t>
      </w:r>
    </w:p>
    <w:p>
      <w:pPr>
        <w:pStyle w:val="BodyText"/>
        <w:spacing w:line="310" w:lineRule="exact" w:before="31"/>
        <w:ind w:right="90" w:firstLine="240"/>
        <w:jc w:val="left"/>
      </w:pPr>
      <w:r>
        <w:rPr/>
        <w:t>（1）货币资金较期初增加</w:t>
      </w:r>
      <w:r>
        <w:rPr>
          <w:spacing w:val="-60"/>
        </w:rPr>
        <w:t> </w:t>
      </w:r>
      <w:r>
        <w:rPr/>
        <w:t>46,082</w:t>
      </w:r>
      <w:r>
        <w:rPr>
          <w:spacing w:val="-60"/>
        </w:rPr>
        <w:t> </w:t>
      </w:r>
      <w:r>
        <w:rPr/>
        <w:t>万元，上升</w:t>
      </w:r>
      <w:r>
        <w:rPr>
          <w:spacing w:val="-60"/>
        </w:rPr>
        <w:t> </w:t>
      </w:r>
      <w:r>
        <w:rPr/>
        <w:t>39.8%，主要由于报告期内经营活动现金</w:t>
      </w:r>
      <w:r>
        <w:rPr/>
        <w:t> 净流入</w:t>
      </w:r>
      <w:r>
        <w:rPr>
          <w:spacing w:val="-59"/>
        </w:rPr>
        <w:t> </w:t>
      </w:r>
      <w:r>
        <w:rPr/>
        <w:t>77,256</w:t>
      </w:r>
      <w:r>
        <w:rPr>
          <w:spacing w:val="-59"/>
        </w:rPr>
        <w:t> </w:t>
      </w:r>
      <w:r>
        <w:rPr>
          <w:spacing w:val="-6"/>
        </w:rPr>
        <w:t>万元，扣除投资活动净流出</w:t>
      </w:r>
      <w:r>
        <w:rPr>
          <w:spacing w:val="-59"/>
        </w:rPr>
        <w:t> </w:t>
      </w:r>
      <w:r>
        <w:rPr/>
        <w:t>13,673</w:t>
      </w:r>
      <w:r>
        <w:rPr>
          <w:spacing w:val="-59"/>
        </w:rPr>
        <w:t> </w:t>
      </w:r>
      <w:r>
        <w:rPr/>
        <w:t>万元和筹资活动净流出</w:t>
      </w:r>
      <w:r>
        <w:rPr>
          <w:spacing w:val="-59"/>
        </w:rPr>
        <w:t> </w:t>
      </w:r>
      <w:r>
        <w:rPr/>
        <w:t>16,822</w:t>
      </w:r>
      <w:r>
        <w:rPr>
          <w:spacing w:val="-59"/>
        </w:rPr>
        <w:t> </w:t>
      </w:r>
      <w:r>
        <w:rPr/>
        <w:t>万元后，</w:t>
      </w:r>
      <w:r>
        <w:rPr/>
        <w:t> 货币资金有净增加所致；</w:t>
      </w:r>
    </w:p>
    <w:p>
      <w:pPr>
        <w:pStyle w:val="BodyText"/>
        <w:spacing w:line="310" w:lineRule="exact" w:before="2"/>
        <w:ind w:right="207" w:firstLine="240"/>
        <w:jc w:val="left"/>
      </w:pPr>
      <w:r>
        <w:rPr/>
        <w:t>（2）应收票据较期初增加 2,668 万元，上升</w:t>
      </w:r>
      <w:r>
        <w:rPr>
          <w:spacing w:val="-63"/>
        </w:rPr>
        <w:t> </w:t>
      </w:r>
      <w:r>
        <w:rPr/>
        <w:t>89.8%，主要是应收软件及系统集成合同</w:t>
      </w:r>
      <w:r>
        <w:rPr/>
        <w:t> 的票据结算方式增加所致；</w:t>
      </w:r>
    </w:p>
    <w:p>
      <w:pPr>
        <w:pStyle w:val="BodyText"/>
        <w:spacing w:line="310" w:lineRule="exact" w:before="2"/>
        <w:ind w:right="207" w:firstLine="240"/>
        <w:jc w:val="left"/>
      </w:pPr>
      <w:r>
        <w:rPr/>
        <w:t>（3）预付款项较期初增加 951 万元，上升</w:t>
      </w:r>
      <w:r>
        <w:rPr>
          <w:spacing w:val="-63"/>
        </w:rPr>
        <w:t> </w:t>
      </w:r>
      <w:r>
        <w:rPr/>
        <w:t>34.1%，主要由于报告期内向主要供货商按</w:t>
      </w:r>
      <w:r>
        <w:rPr/>
        <w:t> 合同约定支付的采购预付款增加所致；</w:t>
      </w:r>
    </w:p>
    <w:p>
      <w:pPr>
        <w:pStyle w:val="BodyText"/>
        <w:spacing w:line="282" w:lineRule="exact"/>
        <w:ind w:left="380" w:right="104"/>
        <w:jc w:val="left"/>
      </w:pPr>
      <w:r>
        <w:rPr/>
        <w:t>（4）可供出售金融资产较期初减少</w:t>
      </w:r>
      <w:r>
        <w:rPr>
          <w:spacing w:val="-60"/>
        </w:rPr>
        <w:t> </w:t>
      </w:r>
      <w:r>
        <w:rPr/>
        <w:t>8,017</w:t>
      </w:r>
      <w:r>
        <w:rPr>
          <w:spacing w:val="-60"/>
        </w:rPr>
        <w:t> </w:t>
      </w:r>
      <w:r>
        <w:rPr/>
        <w:t>万元，下降</w:t>
      </w:r>
      <w:r>
        <w:rPr>
          <w:spacing w:val="-60"/>
        </w:rPr>
        <w:t> </w:t>
      </w:r>
      <w:r>
        <w:rPr/>
        <w:t>100%，是由于本公司报告期内处</w:t>
      </w:r>
    </w:p>
    <w:p>
      <w:pPr>
        <w:pStyle w:val="BodyText"/>
        <w:spacing w:line="311" w:lineRule="exact"/>
        <w:ind w:right="104"/>
        <w:jc w:val="left"/>
      </w:pPr>
      <w:r>
        <w:rPr/>
        <w:t>置全部可供出售金融资产所致；</w:t>
      </w:r>
    </w:p>
    <w:p>
      <w:pPr>
        <w:pStyle w:val="BodyText"/>
        <w:spacing w:line="237" w:lineRule="auto" w:before="1"/>
        <w:ind w:right="219" w:firstLine="240"/>
        <w:jc w:val="both"/>
      </w:pPr>
      <w:r>
        <w:rPr/>
        <w:t>（5）长期应收款较期初减少</w:t>
      </w:r>
      <w:r>
        <w:rPr>
          <w:spacing w:val="-60"/>
        </w:rPr>
        <w:t> </w:t>
      </w:r>
      <w:r>
        <w:rPr/>
        <w:t>10,063</w:t>
      </w:r>
      <w:r>
        <w:rPr>
          <w:spacing w:val="-60"/>
        </w:rPr>
        <w:t> </w:t>
      </w:r>
      <w:r>
        <w:rPr/>
        <w:t>万元，下降</w:t>
      </w:r>
      <w:r>
        <w:rPr>
          <w:spacing w:val="-60"/>
        </w:rPr>
        <w:t> </w:t>
      </w:r>
      <w:r>
        <w:rPr/>
        <w:t>39.5%，主要由于本集团之子公司成都</w:t>
      </w:r>
      <w:r>
        <w:rPr/>
        <w:t> </w:t>
      </w:r>
      <w:r>
        <w:rPr>
          <w:spacing w:val="4"/>
        </w:rPr>
        <w:t>东软信息技术发展有限公司和佛山市南海东软信息技术发展有限公司于报告期内收回以</w:t>
      </w:r>
      <w:r>
        <w:rPr>
          <w:spacing w:val="4"/>
        </w:rPr>
        <w:t> </w:t>
      </w:r>
      <w:r>
        <w:rPr/>
        <w:t>前年度资产转让款</w:t>
      </w:r>
      <w:r>
        <w:rPr>
          <w:spacing w:val="-60"/>
        </w:rPr>
        <w:t> </w:t>
      </w:r>
      <w:r>
        <w:rPr/>
        <w:t>11,544</w:t>
      </w:r>
      <w:r>
        <w:rPr>
          <w:spacing w:val="-60"/>
        </w:rPr>
        <w:t> </w:t>
      </w:r>
      <w:r>
        <w:rPr/>
        <w:t>万元所致；</w:t>
      </w:r>
    </w:p>
    <w:p>
      <w:pPr>
        <w:pStyle w:val="BodyText"/>
        <w:spacing w:line="310" w:lineRule="exact"/>
        <w:ind w:left="380" w:right="0"/>
        <w:jc w:val="left"/>
      </w:pPr>
      <w:r>
        <w:rPr>
          <w:spacing w:val="-4"/>
        </w:rPr>
        <w:t>（6）在建工程较期初减少</w:t>
      </w:r>
      <w:r>
        <w:rPr>
          <w:spacing w:val="-70"/>
        </w:rPr>
        <w:t> </w:t>
      </w:r>
      <w:r>
        <w:rPr/>
        <w:t>21,652</w:t>
      </w:r>
      <w:r>
        <w:rPr>
          <w:spacing w:val="-70"/>
        </w:rPr>
        <w:t> </w:t>
      </w:r>
      <w:r>
        <w:rPr>
          <w:spacing w:val="-9"/>
        </w:rPr>
        <w:t>万元，下降</w:t>
      </w:r>
      <w:r>
        <w:rPr>
          <w:spacing w:val="-70"/>
        </w:rPr>
        <w:t> </w:t>
      </w:r>
      <w:r>
        <w:rPr/>
        <w:t>97.0%，主要由于完工转入固定资产所致；</w:t>
      </w:r>
    </w:p>
    <w:p>
      <w:pPr>
        <w:pStyle w:val="BodyText"/>
        <w:spacing w:line="237" w:lineRule="auto" w:before="1"/>
        <w:ind w:right="93" w:firstLine="240"/>
        <w:jc w:val="left"/>
      </w:pPr>
      <w:r>
        <w:rPr/>
        <w:t>（7）商誉较期初增加</w:t>
      </w:r>
      <w:r>
        <w:rPr>
          <w:spacing w:val="-60"/>
        </w:rPr>
        <w:t> </w:t>
      </w:r>
      <w:r>
        <w:rPr/>
        <w:t>9,588</w:t>
      </w:r>
      <w:r>
        <w:rPr>
          <w:spacing w:val="-60"/>
        </w:rPr>
        <w:t> </w:t>
      </w:r>
      <w:r>
        <w:rPr/>
        <w:t>万元，上升</w:t>
      </w:r>
      <w:r>
        <w:rPr>
          <w:spacing w:val="-60"/>
        </w:rPr>
        <w:t> </w:t>
      </w:r>
      <w:r>
        <w:rPr/>
        <w:t>1,670.1%，主要由于本公司之子公司东软（欧</w:t>
      </w:r>
      <w:r>
        <w:rPr/>
        <w:t> </w:t>
      </w:r>
      <w:r>
        <w:rPr>
          <w:spacing w:val="-3"/>
        </w:rPr>
        <w:t>洲）有限公司收购</w:t>
      </w:r>
      <w:r>
        <w:rPr>
          <w:spacing w:val="-60"/>
        </w:rPr>
        <w:t> </w:t>
      </w:r>
      <w:r>
        <w:rPr/>
        <w:t>Sesca</w:t>
      </w:r>
      <w:r>
        <w:rPr>
          <w:spacing w:val="-60"/>
        </w:rPr>
        <w:t> </w:t>
      </w:r>
      <w:r>
        <w:rPr/>
        <w:t>Mobile</w:t>
      </w:r>
      <w:r>
        <w:rPr>
          <w:spacing w:val="-60"/>
        </w:rPr>
        <w:t> </w:t>
      </w:r>
      <w:r>
        <w:rPr/>
        <w:t>Software</w:t>
      </w:r>
      <w:r>
        <w:rPr>
          <w:spacing w:val="-60"/>
        </w:rPr>
        <w:t> </w:t>
      </w:r>
      <w:r>
        <w:rPr>
          <w:spacing w:val="-3"/>
        </w:rPr>
        <w:t>Oy（后更名为</w:t>
      </w:r>
      <w:r>
        <w:rPr>
          <w:spacing w:val="-60"/>
        </w:rPr>
        <w:t> </w:t>
      </w:r>
      <w:r>
        <w:rPr/>
        <w:t>Neusoft</w:t>
      </w:r>
      <w:r>
        <w:rPr>
          <w:spacing w:val="-60"/>
        </w:rPr>
        <w:t> </w:t>
      </w:r>
      <w:r>
        <w:rPr/>
        <w:t>Mobile</w:t>
      </w:r>
      <w:r>
        <w:rPr>
          <w:spacing w:val="-60"/>
        </w:rPr>
        <w:t> </w:t>
      </w:r>
      <w:r>
        <w:rPr/>
        <w:t>Solutions</w:t>
      </w:r>
      <w:r>
        <w:rPr>
          <w:spacing w:val="-60"/>
        </w:rPr>
        <w:t> </w:t>
      </w:r>
      <w:r>
        <w:rPr>
          <w:spacing w:val="-6"/>
        </w:rPr>
        <w:t>Oy）、</w:t>
      </w:r>
      <w:r>
        <w:rPr/>
        <w:t> Almitas</w:t>
      </w:r>
      <w:r>
        <w:rPr>
          <w:spacing w:val="-9"/>
        </w:rPr>
        <w:t> </w:t>
      </w:r>
      <w:r>
        <w:rPr/>
        <w:t>Oy</w:t>
      </w:r>
      <w:r>
        <w:rPr>
          <w:spacing w:val="-9"/>
        </w:rPr>
        <w:t> </w:t>
      </w:r>
      <w:r>
        <w:rPr/>
        <w:t>和</w:t>
      </w:r>
      <w:r>
        <w:rPr>
          <w:spacing w:val="-60"/>
        </w:rPr>
        <w:t> </w:t>
      </w:r>
      <w:r>
        <w:rPr/>
        <w:t>Sesca</w:t>
      </w:r>
      <w:r>
        <w:rPr>
          <w:spacing w:val="-10"/>
        </w:rPr>
        <w:t> </w:t>
      </w:r>
      <w:r>
        <w:rPr/>
        <w:t>Technologies</w:t>
      </w:r>
      <w:r>
        <w:rPr>
          <w:spacing w:val="-9"/>
        </w:rPr>
        <w:t> </w:t>
      </w:r>
      <w:r>
        <w:rPr/>
        <w:t>SRL（后更名为</w:t>
      </w:r>
      <w:r>
        <w:rPr>
          <w:spacing w:val="-60"/>
        </w:rPr>
        <w:t> </w:t>
      </w:r>
      <w:r>
        <w:rPr/>
        <w:t>Neusoft</w:t>
      </w:r>
      <w:r>
        <w:rPr>
          <w:spacing w:val="-9"/>
        </w:rPr>
        <w:t> </w:t>
      </w:r>
      <w:r>
        <w:rPr/>
        <w:t>Mobile</w:t>
      </w:r>
      <w:r>
        <w:rPr>
          <w:spacing w:val="-9"/>
        </w:rPr>
        <w:t> </w:t>
      </w:r>
      <w:r>
        <w:rPr/>
        <w:t>Solutions</w:t>
      </w:r>
      <w:r>
        <w:rPr>
          <w:spacing w:val="-9"/>
        </w:rPr>
        <w:t> </w:t>
      </w:r>
      <w:r>
        <w:rPr/>
        <w:t>SRL）三</w:t>
      </w:r>
      <w:r>
        <w:rPr/>
        <w:t> 家子公司</w:t>
      </w:r>
      <w:r>
        <w:rPr>
          <w:spacing w:val="-60"/>
        </w:rPr>
        <w:t> </w:t>
      </w:r>
      <w:r>
        <w:rPr/>
        <w:t>100%的股权，购买价高于应享有的可辨认净资产公允价值部分确认商誉所致；</w:t>
      </w:r>
    </w:p>
    <w:p>
      <w:pPr>
        <w:pStyle w:val="BodyText"/>
        <w:spacing w:line="237" w:lineRule="auto"/>
        <w:ind w:right="221" w:firstLine="240"/>
        <w:jc w:val="both"/>
      </w:pPr>
      <w:r>
        <w:rPr/>
        <w:t>（8）递延所得税资产较期初增加 893 万元，上升</w:t>
      </w:r>
      <w:r>
        <w:rPr>
          <w:spacing w:val="-63"/>
        </w:rPr>
        <w:t> </w:t>
      </w:r>
      <w:r>
        <w:rPr/>
        <w:t>35.7%，主要由于报告期内预提员工</w:t>
      </w:r>
      <w:r>
        <w:rPr/>
        <w:t> </w:t>
      </w:r>
      <w:r>
        <w:rPr>
          <w:spacing w:val="-2"/>
        </w:rPr>
        <w:t>奖金、资产减值准备、外币远期结汇合同公允价值变动以及计入递延收益的政府补助等形</w:t>
      </w:r>
      <w:r>
        <w:rPr>
          <w:spacing w:val="-102"/>
        </w:rPr>
        <w:t> </w:t>
      </w:r>
      <w:r>
        <w:rPr>
          <w:spacing w:val="-102"/>
        </w:rPr>
      </w:r>
      <w:r>
        <w:rPr/>
        <w:t>成的可抵扣的暂时性差异较期初增加所致；</w:t>
      </w:r>
    </w:p>
    <w:p>
      <w:pPr>
        <w:spacing w:after="0" w:line="237" w:lineRule="auto"/>
        <w:jc w:val="both"/>
        <w:sectPr>
          <w:pgSz w:w="11910" w:h="16840"/>
          <w:pgMar w:header="720" w:footer="721" w:top="1100" w:bottom="920" w:left="1220" w:right="1020"/>
        </w:sectPr>
      </w:pPr>
    </w:p>
    <w:p>
      <w:pPr>
        <w:spacing w:line="240" w:lineRule="auto" w:before="1"/>
        <w:rPr>
          <w:rFonts w:ascii="宋体" w:hAnsi="宋体" w:cs="宋体" w:eastAsia="宋体" w:hint="default"/>
          <w:sz w:val="20"/>
          <w:szCs w:val="20"/>
        </w:rPr>
      </w:pPr>
    </w:p>
    <w:p>
      <w:pPr>
        <w:pStyle w:val="BodyText"/>
        <w:spacing w:line="237" w:lineRule="auto" w:before="28"/>
        <w:ind w:left="498" w:right="121"/>
        <w:jc w:val="both"/>
      </w:pPr>
      <w:r>
        <w:rPr/>
        <w:t>（9）交易性金融负债较期初减少</w:t>
      </w:r>
      <w:r>
        <w:rPr>
          <w:spacing w:val="-87"/>
        </w:rPr>
        <w:t> </w:t>
      </w:r>
      <w:r>
        <w:rPr/>
        <w:t>876</w:t>
      </w:r>
      <w:r>
        <w:rPr>
          <w:spacing w:val="-87"/>
        </w:rPr>
        <w:t> </w:t>
      </w:r>
      <w:r>
        <w:rPr/>
        <w:t>万元，主要由于本公司为锁定部分外汇变动风险</w:t>
      </w:r>
      <w:r>
        <w:rPr/>
        <w:t> 而签订的外币远期结汇合同，本报告期末根据公开市场汇率报价计算，将预计的浮动</w:t>
      </w:r>
      <w:r>
        <w:rPr>
          <w:spacing w:val="-82"/>
        </w:rPr>
        <w:t> </w:t>
      </w:r>
      <w:r>
        <w:rPr>
          <w:spacing w:val="-82"/>
        </w:rPr>
      </w:r>
      <w:r>
        <w:rPr/>
        <w:t>收益计入公允价值变动收益并作为交易性金融资产列报，同时冲回上年末确认的交易</w:t>
      </w:r>
      <w:r>
        <w:rPr>
          <w:spacing w:val="-82"/>
        </w:rPr>
        <w:t> </w:t>
      </w:r>
      <w:r>
        <w:rPr>
          <w:spacing w:val="-82"/>
        </w:rPr>
      </w:r>
      <w:r>
        <w:rPr/>
        <w:t>性金融负债（差异亦计入公允价值变动收益）；</w:t>
      </w:r>
    </w:p>
    <w:p>
      <w:pPr>
        <w:pStyle w:val="BodyText"/>
        <w:spacing w:line="310" w:lineRule="exact" w:before="30"/>
        <w:ind w:left="498" w:right="122"/>
        <w:jc w:val="both"/>
      </w:pPr>
      <w:r>
        <w:rPr>
          <w:spacing w:val="-4"/>
        </w:rPr>
        <w:t>（10）应付票据较期初增加</w:t>
      </w:r>
      <w:r>
        <w:rPr>
          <w:spacing w:val="-69"/>
        </w:rPr>
        <w:t> </w:t>
      </w:r>
      <w:r>
        <w:rPr/>
        <w:t>2,962</w:t>
      </w:r>
      <w:r>
        <w:rPr>
          <w:spacing w:val="-69"/>
        </w:rPr>
        <w:t> </w:t>
      </w:r>
      <w:r>
        <w:rPr>
          <w:spacing w:val="-8"/>
        </w:rPr>
        <w:t>万元，上升</w:t>
      </w:r>
      <w:r>
        <w:rPr>
          <w:spacing w:val="-69"/>
        </w:rPr>
        <w:t> </w:t>
      </w:r>
      <w:r>
        <w:rPr/>
        <w:t>30.1%，主要由于向供应商采购并根据合</w:t>
      </w:r>
      <w:r>
        <w:rPr/>
        <w:t> 同约定条款以票据方式结算的业务量增加所致；</w:t>
      </w:r>
    </w:p>
    <w:p>
      <w:pPr>
        <w:pStyle w:val="BodyText"/>
        <w:spacing w:line="282" w:lineRule="exact"/>
        <w:ind w:left="498" w:right="0"/>
        <w:jc w:val="both"/>
      </w:pPr>
      <w:r>
        <w:rPr/>
        <w:t>（11）</w:t>
      </w:r>
      <w:r>
        <w:rPr>
          <w:spacing w:val="-16"/>
        </w:rPr>
        <w:t> </w:t>
      </w:r>
      <w:r>
        <w:rPr/>
        <w:t>应交税费较期初增加</w:t>
      </w:r>
      <w:r>
        <w:rPr>
          <w:spacing w:val="-67"/>
        </w:rPr>
        <w:t> </w:t>
      </w:r>
      <w:r>
        <w:rPr/>
        <w:t>1,334</w:t>
      </w:r>
      <w:r>
        <w:rPr>
          <w:spacing w:val="-67"/>
        </w:rPr>
        <w:t> </w:t>
      </w:r>
      <w:r>
        <w:rPr/>
        <w:t>万元，上升</w:t>
      </w:r>
      <w:r>
        <w:rPr>
          <w:spacing w:val="-67"/>
        </w:rPr>
        <w:t> </w:t>
      </w:r>
      <w:r>
        <w:rPr/>
        <w:t>49.2%，主要由于本公司报告期末应交</w:t>
      </w:r>
    </w:p>
    <w:p>
      <w:pPr>
        <w:pStyle w:val="BodyText"/>
        <w:spacing w:line="311" w:lineRule="exact"/>
        <w:ind w:left="498" w:right="0"/>
        <w:jc w:val="both"/>
      </w:pPr>
      <w:r>
        <w:rPr/>
        <w:t>企业所得税较期初增加</w:t>
      </w:r>
      <w:r>
        <w:rPr>
          <w:spacing w:val="-60"/>
        </w:rPr>
        <w:t> </w:t>
      </w:r>
      <w:r>
        <w:rPr/>
        <w:t>1,287</w:t>
      </w:r>
      <w:r>
        <w:rPr>
          <w:spacing w:val="-60"/>
        </w:rPr>
        <w:t> </w:t>
      </w:r>
      <w:r>
        <w:rPr/>
        <w:t>万元所致；</w:t>
      </w:r>
    </w:p>
    <w:p>
      <w:pPr>
        <w:pStyle w:val="BodyText"/>
        <w:spacing w:line="237" w:lineRule="auto" w:before="1"/>
        <w:ind w:left="498" w:right="121"/>
        <w:jc w:val="both"/>
      </w:pPr>
      <w:r>
        <w:rPr/>
        <w:t>（12）</w:t>
      </w:r>
      <w:r>
        <w:rPr>
          <w:spacing w:val="-84"/>
        </w:rPr>
        <w:t> </w:t>
      </w:r>
      <w:r>
        <w:rPr/>
        <w:t>应付利息较期初减少</w:t>
      </w:r>
      <w:r>
        <w:rPr>
          <w:spacing w:val="-66"/>
        </w:rPr>
        <w:t> </w:t>
      </w:r>
      <w:r>
        <w:rPr/>
        <w:t>21</w:t>
      </w:r>
      <w:r>
        <w:rPr>
          <w:spacing w:val="-66"/>
        </w:rPr>
        <w:t> </w:t>
      </w:r>
      <w:r>
        <w:rPr>
          <w:spacing w:val="-4"/>
        </w:rPr>
        <w:t>万元，下降</w:t>
      </w:r>
      <w:r>
        <w:rPr>
          <w:spacing w:val="-66"/>
        </w:rPr>
        <w:t> </w:t>
      </w:r>
      <w:r>
        <w:rPr/>
        <w:t>43.5%，主要由于本集团之子公司大连东软</w:t>
      </w:r>
      <w:r>
        <w:rPr/>
        <w:t> 软件园产业发展有限公司于报告期内偿付部分长期银行借款，本期末计提的应付利息</w:t>
      </w:r>
      <w:r>
        <w:rPr>
          <w:spacing w:val="-82"/>
        </w:rPr>
        <w:t> </w:t>
      </w:r>
      <w:r>
        <w:rPr>
          <w:spacing w:val="-82"/>
        </w:rPr>
      </w:r>
      <w:r>
        <w:rPr/>
        <w:t>因而少于上年末金额；</w:t>
      </w:r>
    </w:p>
    <w:p>
      <w:pPr>
        <w:pStyle w:val="BodyText"/>
        <w:spacing w:line="237" w:lineRule="auto"/>
        <w:ind w:left="498" w:right="121"/>
        <w:jc w:val="both"/>
      </w:pPr>
      <w:r>
        <w:rPr/>
        <w:t>（13）一年内到期的非流动负债较期初减少</w:t>
      </w:r>
      <w:r>
        <w:rPr>
          <w:spacing w:val="-70"/>
        </w:rPr>
        <w:t> </w:t>
      </w:r>
      <w:r>
        <w:rPr/>
        <w:t>3,000</w:t>
      </w:r>
      <w:r>
        <w:rPr>
          <w:spacing w:val="-70"/>
        </w:rPr>
        <w:t> </w:t>
      </w:r>
      <w:r>
        <w:rPr/>
        <w:t>万元，下降</w:t>
      </w:r>
      <w:r>
        <w:rPr>
          <w:spacing w:val="-70"/>
        </w:rPr>
        <w:t> </w:t>
      </w:r>
      <w:r>
        <w:rPr/>
        <w:t>100%，主要由于本集团</w:t>
      </w:r>
      <w:r>
        <w:rPr>
          <w:spacing w:val="-1"/>
        </w:rPr>
        <w:t> </w:t>
      </w:r>
      <w:r>
        <w:rPr/>
        <w:t>之子公司大连东软软件园产业发展有限公司于本报告期内归还了将于一年内到期的长</w:t>
      </w:r>
      <w:r>
        <w:rPr>
          <w:spacing w:val="-82"/>
        </w:rPr>
        <w:t> </w:t>
      </w:r>
      <w:r>
        <w:rPr>
          <w:spacing w:val="-82"/>
        </w:rPr>
      </w:r>
      <w:r>
        <w:rPr/>
        <w:t>期银行借款所致；</w:t>
      </w:r>
    </w:p>
    <w:p>
      <w:pPr>
        <w:pStyle w:val="BodyText"/>
        <w:spacing w:line="237" w:lineRule="auto"/>
        <w:ind w:left="498" w:right="122"/>
        <w:jc w:val="both"/>
      </w:pPr>
      <w:r>
        <w:rPr>
          <w:spacing w:val="-3"/>
        </w:rPr>
        <w:t>（14）其他流动负债较期初减少</w:t>
      </w:r>
      <w:r>
        <w:rPr>
          <w:spacing w:val="-54"/>
        </w:rPr>
        <w:t> </w:t>
      </w:r>
      <w:r>
        <w:rPr/>
        <w:t>1,306</w:t>
      </w:r>
      <w:r>
        <w:rPr>
          <w:spacing w:val="-54"/>
        </w:rPr>
        <w:t> </w:t>
      </w:r>
      <w:r>
        <w:rPr>
          <w:spacing w:val="-8"/>
        </w:rPr>
        <w:t>万元，下降</w:t>
      </w:r>
      <w:r>
        <w:rPr>
          <w:spacing w:val="-54"/>
        </w:rPr>
        <w:t> </w:t>
      </w:r>
      <w:r>
        <w:rPr>
          <w:spacing w:val="-3"/>
        </w:rPr>
        <w:t>59.4%，主要由于上年同期本集团之</w:t>
      </w:r>
      <w:r>
        <w:rPr/>
        <w:t> 子公司成都东软信息技术发展有限公司预提了在四川地震中受损的资产修复支出，本</w:t>
      </w:r>
      <w:r>
        <w:rPr>
          <w:spacing w:val="-82"/>
        </w:rPr>
        <w:t> </w:t>
      </w:r>
      <w:r>
        <w:rPr>
          <w:spacing w:val="-82"/>
        </w:rPr>
      </w:r>
      <w:r>
        <w:rPr/>
        <w:t>报告期内根据实际工程进度支付</w:t>
      </w:r>
      <w:r>
        <w:rPr>
          <w:spacing w:val="-60"/>
        </w:rPr>
        <w:t> </w:t>
      </w:r>
      <w:r>
        <w:rPr/>
        <w:t>1,181</w:t>
      </w:r>
      <w:r>
        <w:rPr>
          <w:spacing w:val="-60"/>
        </w:rPr>
        <w:t> </w:t>
      </w:r>
      <w:r>
        <w:rPr/>
        <w:t>万元所致；</w:t>
      </w:r>
    </w:p>
    <w:p>
      <w:pPr>
        <w:pStyle w:val="BodyText"/>
        <w:spacing w:line="237" w:lineRule="auto"/>
        <w:ind w:left="498" w:right="121"/>
        <w:jc w:val="both"/>
      </w:pPr>
      <w:r>
        <w:rPr/>
        <w:t>（15）长期借款较期初减少</w:t>
      </w:r>
      <w:r>
        <w:rPr>
          <w:spacing w:val="-70"/>
        </w:rPr>
        <w:t> </w:t>
      </w:r>
      <w:r>
        <w:rPr/>
        <w:t>12,300</w:t>
      </w:r>
      <w:r>
        <w:rPr>
          <w:spacing w:val="-70"/>
        </w:rPr>
        <w:t> </w:t>
      </w:r>
      <w:r>
        <w:rPr/>
        <w:t>万元，下降</w:t>
      </w:r>
      <w:r>
        <w:rPr>
          <w:spacing w:val="-70"/>
        </w:rPr>
        <w:t> </w:t>
      </w:r>
      <w:r>
        <w:rPr/>
        <w:t>44.7%，主要由于本公司之子公司东软</w:t>
      </w:r>
      <w:r>
        <w:rPr>
          <w:spacing w:val="-1"/>
        </w:rPr>
        <w:t> </w:t>
      </w:r>
      <w:r>
        <w:rPr/>
        <w:t>集团（大连）有限公司及本集团之子公司大连东软软件园产业发展有限公司于本报告</w:t>
      </w:r>
      <w:r>
        <w:rPr>
          <w:spacing w:val="-82"/>
        </w:rPr>
        <w:t> </w:t>
      </w:r>
      <w:r>
        <w:rPr>
          <w:spacing w:val="-82"/>
        </w:rPr>
      </w:r>
      <w:r>
        <w:rPr/>
        <w:t>期内归还了长期银行借款所致；</w:t>
      </w:r>
    </w:p>
    <w:p>
      <w:pPr>
        <w:pStyle w:val="BodyText"/>
        <w:spacing w:line="310" w:lineRule="exact" w:before="30"/>
        <w:ind w:left="498" w:right="115"/>
        <w:jc w:val="both"/>
      </w:pPr>
      <w:r>
        <w:rPr>
          <w:spacing w:val="-3"/>
        </w:rPr>
        <w:t>（16）递延所得税负债较期初减少</w:t>
      </w:r>
      <w:r>
        <w:rPr>
          <w:spacing w:val="-54"/>
        </w:rPr>
        <w:t> </w:t>
      </w:r>
      <w:r>
        <w:rPr/>
        <w:t>526</w:t>
      </w:r>
      <w:r>
        <w:rPr>
          <w:spacing w:val="-54"/>
        </w:rPr>
        <w:t> </w:t>
      </w:r>
      <w:r>
        <w:rPr>
          <w:spacing w:val="-8"/>
        </w:rPr>
        <w:t>万元，下降</w:t>
      </w:r>
      <w:r>
        <w:rPr>
          <w:spacing w:val="-54"/>
        </w:rPr>
        <w:t> </w:t>
      </w:r>
      <w:r>
        <w:rPr>
          <w:spacing w:val="-3"/>
        </w:rPr>
        <w:t>66.5%，主要由于本公司报告期内因</w:t>
      </w:r>
      <w:r>
        <w:rPr/>
        <w:t> </w:t>
      </w:r>
      <w:r>
        <w:rPr>
          <w:spacing w:val="8"/>
        </w:rPr>
        <w:t>处置按照公允价值计量的可供出售金融资产而使得应纳税暂时性差异较期初减少所</w:t>
      </w:r>
      <w:r>
        <w:rPr>
          <w:spacing w:val="8"/>
        </w:rPr>
        <w:t> </w:t>
      </w:r>
      <w:r>
        <w:rPr/>
        <w:t>致；</w:t>
      </w:r>
    </w:p>
    <w:p>
      <w:pPr>
        <w:pStyle w:val="BodyText"/>
        <w:spacing w:line="310" w:lineRule="exact" w:before="2"/>
        <w:ind w:left="498" w:right="122"/>
        <w:jc w:val="both"/>
      </w:pPr>
      <w:r>
        <w:rPr>
          <w:spacing w:val="-3"/>
        </w:rPr>
        <w:t>（17）其他非流动负债较期初增加</w:t>
      </w:r>
      <w:r>
        <w:rPr>
          <w:spacing w:val="-54"/>
        </w:rPr>
        <w:t> </w:t>
      </w:r>
      <w:r>
        <w:rPr/>
        <w:t>5,172</w:t>
      </w:r>
      <w:r>
        <w:rPr>
          <w:spacing w:val="-54"/>
        </w:rPr>
        <w:t> </w:t>
      </w:r>
      <w:r>
        <w:rPr>
          <w:spacing w:val="-8"/>
        </w:rPr>
        <w:t>万元，上升</w:t>
      </w:r>
      <w:r>
        <w:rPr>
          <w:spacing w:val="-54"/>
        </w:rPr>
        <w:t> </w:t>
      </w:r>
      <w:r>
        <w:rPr>
          <w:spacing w:val="-3"/>
        </w:rPr>
        <w:t>46.0%，主要由于报告期收到的尚</w:t>
      </w:r>
      <w:r>
        <w:rPr/>
        <w:t> 未满足收益确认条件的政府补助较上年同期增加而使得递延收益增加所致；</w:t>
      </w:r>
    </w:p>
    <w:p>
      <w:pPr>
        <w:pStyle w:val="BodyText"/>
        <w:spacing w:line="282" w:lineRule="exact"/>
        <w:ind w:left="498" w:right="0"/>
        <w:jc w:val="both"/>
      </w:pPr>
      <w:r>
        <w:rPr/>
        <w:t>（18）未分配利润较期初增加</w:t>
      </w:r>
      <w:r>
        <w:rPr>
          <w:spacing w:val="-73"/>
        </w:rPr>
        <w:t> </w:t>
      </w:r>
      <w:r>
        <w:rPr/>
        <w:t>55,770</w:t>
      </w:r>
      <w:r>
        <w:rPr>
          <w:spacing w:val="-73"/>
        </w:rPr>
        <w:t> </w:t>
      </w:r>
      <w:r>
        <w:rPr/>
        <w:t>万元，上升</w:t>
      </w:r>
      <w:r>
        <w:rPr>
          <w:spacing w:val="-73"/>
        </w:rPr>
        <w:t> </w:t>
      </w:r>
      <w:r>
        <w:rPr/>
        <w:t>40.8%，主要由于报告期实现净利润</w:t>
      </w:r>
    </w:p>
    <w:p>
      <w:pPr>
        <w:pStyle w:val="BodyText"/>
        <w:spacing w:line="311" w:lineRule="exact"/>
        <w:ind w:left="498" w:right="0"/>
        <w:jc w:val="both"/>
      </w:pPr>
      <w:r>
        <w:rPr/>
        <w:t>较上年同期增加所致；</w:t>
      </w:r>
    </w:p>
    <w:p>
      <w:pPr>
        <w:pStyle w:val="BodyText"/>
        <w:spacing w:line="312" w:lineRule="exact" w:before="29"/>
        <w:ind w:left="498" w:right="121"/>
        <w:jc w:val="both"/>
      </w:pPr>
      <w:r>
        <w:rPr/>
        <w:t>（19）财务费用较上年同期增加</w:t>
      </w:r>
      <w:r>
        <w:rPr>
          <w:spacing w:val="-70"/>
        </w:rPr>
        <w:t> </w:t>
      </w:r>
      <w:r>
        <w:rPr/>
        <w:t>1,302</w:t>
      </w:r>
      <w:r>
        <w:rPr>
          <w:spacing w:val="-70"/>
        </w:rPr>
        <w:t> </w:t>
      </w:r>
      <w:r>
        <w:rPr/>
        <w:t>万元，上升</w:t>
      </w:r>
      <w:r>
        <w:rPr>
          <w:spacing w:val="-70"/>
        </w:rPr>
        <w:t> </w:t>
      </w:r>
      <w:r>
        <w:rPr/>
        <w:t>289.4%，主要由于报告期汇兑损失</w:t>
      </w:r>
      <w:r>
        <w:rPr>
          <w:spacing w:val="-1"/>
        </w:rPr>
        <w:t> </w:t>
      </w:r>
      <w:r>
        <w:rPr/>
        <w:t>较上年同期增加所致；</w:t>
      </w:r>
    </w:p>
    <w:p>
      <w:pPr>
        <w:pStyle w:val="BodyText"/>
        <w:spacing w:line="281" w:lineRule="exact"/>
        <w:ind w:left="498" w:right="0"/>
        <w:jc w:val="both"/>
      </w:pPr>
      <w:r>
        <w:rPr>
          <w:spacing w:val="-3"/>
        </w:rPr>
        <w:t>（20）资产减值损失较上年同期减少</w:t>
      </w:r>
      <w:r>
        <w:rPr>
          <w:spacing w:val="-54"/>
        </w:rPr>
        <w:t> </w:t>
      </w:r>
      <w:r>
        <w:rPr/>
        <w:t>1,200</w:t>
      </w:r>
      <w:r>
        <w:rPr>
          <w:spacing w:val="-54"/>
        </w:rPr>
        <w:t> </w:t>
      </w:r>
      <w:r>
        <w:rPr>
          <w:spacing w:val="-8"/>
        </w:rPr>
        <w:t>万元，下降</w:t>
      </w:r>
      <w:r>
        <w:rPr>
          <w:spacing w:val="-54"/>
        </w:rPr>
        <w:t> </w:t>
      </w:r>
      <w:r>
        <w:rPr>
          <w:spacing w:val="-3"/>
        </w:rPr>
        <w:t>48.4%，主要由于报告期本集团</w:t>
      </w:r>
    </w:p>
    <w:p>
      <w:pPr>
        <w:pStyle w:val="BodyText"/>
        <w:spacing w:line="312" w:lineRule="exact" w:before="29"/>
        <w:ind w:left="498" w:right="108"/>
        <w:jc w:val="both"/>
      </w:pPr>
      <w:r>
        <w:rPr>
          <w:spacing w:val="15"/>
        </w:rPr>
        <w:t>之子公司成都东软信息技术发展有限公司于上年计提的长期应收款坏账准备转回 </w:t>
      </w:r>
      <w:r>
        <w:rPr/>
        <w:t>1,340</w:t>
      </w:r>
      <w:r>
        <w:rPr>
          <w:spacing w:val="-60"/>
        </w:rPr>
        <w:t> </w:t>
      </w:r>
      <w:r>
        <w:rPr/>
        <w:t>万元所致；</w:t>
      </w:r>
    </w:p>
    <w:p>
      <w:pPr>
        <w:pStyle w:val="BodyText"/>
        <w:spacing w:line="281" w:lineRule="exact"/>
        <w:ind w:left="498" w:right="0"/>
        <w:jc w:val="both"/>
      </w:pPr>
      <w:r>
        <w:rPr/>
        <w:t>（21）公允价值变动收益较上年同期增加</w:t>
      </w:r>
      <w:r>
        <w:rPr>
          <w:spacing w:val="-73"/>
        </w:rPr>
        <w:t> </w:t>
      </w:r>
      <w:r>
        <w:rPr/>
        <w:t>1,796</w:t>
      </w:r>
      <w:r>
        <w:rPr>
          <w:spacing w:val="-73"/>
        </w:rPr>
        <w:t> </w:t>
      </w:r>
      <w:r>
        <w:rPr/>
        <w:t>万元，上升</w:t>
      </w:r>
      <w:r>
        <w:rPr>
          <w:spacing w:val="-73"/>
        </w:rPr>
        <w:t> </w:t>
      </w:r>
      <w:r>
        <w:rPr/>
        <w:t>205.0%，主要由于外币远</w:t>
      </w:r>
    </w:p>
    <w:p>
      <w:pPr>
        <w:pStyle w:val="BodyText"/>
        <w:spacing w:line="311" w:lineRule="exact"/>
        <w:ind w:left="498" w:right="0"/>
        <w:jc w:val="both"/>
      </w:pPr>
      <w:r>
        <w:rPr/>
        <w:t>期结汇合同公允价值变动所致，参见上述第（9）项；</w:t>
      </w:r>
    </w:p>
    <w:p>
      <w:pPr>
        <w:pStyle w:val="BodyText"/>
        <w:spacing w:line="310" w:lineRule="exact" w:before="31"/>
        <w:ind w:left="498" w:right="121"/>
        <w:jc w:val="both"/>
      </w:pPr>
      <w:r>
        <w:rPr/>
        <w:t>（22）投资收益较上年同期增加</w:t>
      </w:r>
      <w:r>
        <w:rPr>
          <w:spacing w:val="-70"/>
        </w:rPr>
        <w:t> </w:t>
      </w:r>
      <w:r>
        <w:rPr/>
        <w:t>7,757</w:t>
      </w:r>
      <w:r>
        <w:rPr>
          <w:spacing w:val="-70"/>
        </w:rPr>
        <w:t> </w:t>
      </w:r>
      <w:r>
        <w:rPr/>
        <w:t>万元，上升</w:t>
      </w:r>
      <w:r>
        <w:rPr>
          <w:spacing w:val="-70"/>
        </w:rPr>
        <w:t> </w:t>
      </w:r>
      <w:r>
        <w:rPr/>
        <w:t>223.9%，主要由于本报告期内处置</w:t>
      </w:r>
      <w:r>
        <w:rPr>
          <w:spacing w:val="-1"/>
        </w:rPr>
        <w:t> </w:t>
      </w:r>
      <w:r>
        <w:rPr/>
        <w:t>全部可供出售金融资产，投资收益较上年同期显著增加所致；</w:t>
      </w:r>
    </w:p>
    <w:p>
      <w:pPr>
        <w:pStyle w:val="BodyText"/>
        <w:spacing w:line="310" w:lineRule="exact" w:before="2"/>
        <w:ind w:left="498" w:right="121"/>
        <w:jc w:val="both"/>
      </w:pPr>
      <w:r>
        <w:rPr>
          <w:spacing w:val="-3"/>
        </w:rPr>
        <w:t>（23）营业外支出较上年同期减少</w:t>
      </w:r>
      <w:r>
        <w:rPr>
          <w:spacing w:val="-55"/>
        </w:rPr>
        <w:t> </w:t>
      </w:r>
      <w:r>
        <w:rPr/>
        <w:t>2,277</w:t>
      </w:r>
      <w:r>
        <w:rPr>
          <w:spacing w:val="-55"/>
        </w:rPr>
        <w:t> </w:t>
      </w:r>
      <w:r>
        <w:rPr>
          <w:spacing w:val="-8"/>
        </w:rPr>
        <w:t>万元，下降</w:t>
      </w:r>
      <w:r>
        <w:rPr>
          <w:spacing w:val="-55"/>
        </w:rPr>
        <w:t> </w:t>
      </w:r>
      <w:r>
        <w:rPr>
          <w:spacing w:val="-3"/>
        </w:rPr>
        <w:t>66.9%，主要由于上年同期本集团</w:t>
      </w:r>
      <w:r>
        <w:rPr/>
        <w:t> 之子公司成都东软信息技术发展有限公司因四川地震预提了受损资产修复支出</w:t>
      </w:r>
      <w:r>
        <w:rPr>
          <w:spacing w:val="46"/>
        </w:rPr>
        <w:t> </w:t>
      </w:r>
      <w:r>
        <w:rPr/>
        <w:t>2,922</w:t>
      </w:r>
      <w:r>
        <w:rPr>
          <w:spacing w:val="-114"/>
        </w:rPr>
        <w:t> </w:t>
      </w:r>
      <w:r>
        <w:rPr>
          <w:spacing w:val="-114"/>
        </w:rPr>
      </w:r>
      <w:r>
        <w:rPr/>
        <w:t>万元而计入当期营业外支出所致；</w:t>
      </w:r>
    </w:p>
    <w:p>
      <w:pPr>
        <w:pStyle w:val="BodyText"/>
        <w:spacing w:line="310" w:lineRule="exact" w:before="2"/>
        <w:ind w:left="498" w:right="121"/>
        <w:jc w:val="both"/>
      </w:pPr>
      <w:r>
        <w:rPr/>
        <w:t>（24）少数股东损益较上年同期增加</w:t>
      </w:r>
      <w:r>
        <w:rPr>
          <w:spacing w:val="-70"/>
        </w:rPr>
        <w:t> </w:t>
      </w:r>
      <w:r>
        <w:rPr/>
        <w:t>2,898</w:t>
      </w:r>
      <w:r>
        <w:rPr>
          <w:spacing w:val="-70"/>
        </w:rPr>
        <w:t> </w:t>
      </w:r>
      <w:r>
        <w:rPr/>
        <w:t>万元，上升</w:t>
      </w:r>
      <w:r>
        <w:rPr>
          <w:spacing w:val="-70"/>
        </w:rPr>
        <w:t> </w:t>
      </w:r>
      <w:r>
        <w:rPr/>
        <w:t>156.9%，主要由于本集团之子</w:t>
      </w:r>
      <w:r>
        <w:rPr>
          <w:spacing w:val="-1"/>
        </w:rPr>
        <w:t> </w:t>
      </w:r>
      <w:r>
        <w:rPr/>
        <w:t>公司成都东软信息技术发展有限公司利润额较上年同期增加所致。</w:t>
      </w:r>
    </w:p>
    <w:p>
      <w:pPr>
        <w:spacing w:after="0" w:line="310" w:lineRule="exact"/>
        <w:jc w:val="both"/>
        <w:sectPr>
          <w:pgSz w:w="11910" w:h="16840"/>
          <w:pgMar w:header="720" w:footer="721" w:top="1100" w:bottom="920" w:left="1220" w:right="1120"/>
        </w:sectPr>
      </w:pPr>
    </w:p>
    <w:p>
      <w:pPr>
        <w:spacing w:line="240" w:lineRule="auto" w:before="1"/>
        <w:rPr>
          <w:rFonts w:ascii="宋体" w:hAnsi="宋体" w:cs="宋体" w:eastAsia="宋体" w:hint="default"/>
          <w:sz w:val="20"/>
          <w:szCs w:val="20"/>
        </w:rPr>
      </w:pPr>
    </w:p>
    <w:p>
      <w:pPr>
        <w:pStyle w:val="BodyText"/>
        <w:spacing w:line="240" w:lineRule="auto" w:before="26"/>
        <w:ind w:left="500" w:right="144"/>
        <w:jc w:val="left"/>
      </w:pPr>
      <w:r>
        <w:rPr/>
        <w:t>4、公司现金流量各指标对比分析如下:</w:t>
      </w:r>
    </w:p>
    <w:p>
      <w:pPr>
        <w:spacing w:line="240" w:lineRule="auto" w:before="0"/>
        <w:rPr>
          <w:rFonts w:ascii="宋体" w:hAnsi="宋体" w:cs="宋体" w:eastAsia="宋体" w:hint="default"/>
          <w:sz w:val="21"/>
          <w:szCs w:val="21"/>
        </w:rPr>
      </w:pPr>
    </w:p>
    <w:p>
      <w:pPr>
        <w:tabs>
          <w:tab w:pos="945" w:val="left" w:leader="none"/>
        </w:tabs>
        <w:spacing w:before="35"/>
        <w:ind w:left="0" w:right="139" w:firstLine="0"/>
        <w:jc w:val="right"/>
        <w:rPr>
          <w:rFonts w:ascii="宋体" w:hAnsi="宋体" w:cs="宋体" w:eastAsia="宋体" w:hint="default"/>
          <w:sz w:val="21"/>
          <w:szCs w:val="21"/>
        </w:rPr>
      </w:pPr>
      <w:r>
        <w:rPr>
          <w:rFonts w:ascii="宋体" w:hAnsi="宋体" w:cs="宋体" w:eastAsia="宋体" w:hint="default"/>
          <w:sz w:val="21"/>
          <w:szCs w:val="21"/>
        </w:rPr>
        <w:t>单位:元</w:t>
        <w:tab/>
      </w:r>
      <w:r>
        <w:rPr>
          <w:rFonts w:ascii="宋体" w:hAnsi="宋体" w:cs="宋体" w:eastAsia="宋体" w:hint="default"/>
          <w:spacing w:val="-1"/>
          <w:sz w:val="21"/>
          <w:szCs w:val="21"/>
        </w:rPr>
        <w:t>币种:人民币</w:t>
      </w:r>
    </w:p>
    <w:tbl>
      <w:tblPr>
        <w:tblW w:w="0" w:type="auto"/>
        <w:jc w:val="left"/>
        <w:tblInd w:w="226" w:type="dxa"/>
        <w:tblLayout w:type="fixed"/>
        <w:tblCellMar>
          <w:top w:w="0" w:type="dxa"/>
          <w:left w:w="0" w:type="dxa"/>
          <w:bottom w:w="0" w:type="dxa"/>
          <w:right w:w="0" w:type="dxa"/>
        </w:tblCellMar>
        <w:tblLook w:val="01E0"/>
      </w:tblPr>
      <w:tblGrid>
        <w:gridCol w:w="2736"/>
        <w:gridCol w:w="1364"/>
        <w:gridCol w:w="1476"/>
        <w:gridCol w:w="1656"/>
        <w:gridCol w:w="1116"/>
        <w:gridCol w:w="756"/>
      </w:tblGrid>
      <w:tr>
        <w:trPr>
          <w:trHeight w:val="498" w:hRule="exact"/>
        </w:trPr>
        <w:tc>
          <w:tcPr>
            <w:tcW w:w="2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52"/>
              <w:jc w:val="center"/>
              <w:rPr>
                <w:rFonts w:ascii="宋体" w:hAnsi="宋体" w:cs="宋体" w:eastAsia="宋体" w:hint="default"/>
                <w:sz w:val="20"/>
                <w:szCs w:val="20"/>
              </w:rPr>
            </w:pPr>
            <w:r>
              <w:rPr>
                <w:rFonts w:ascii="宋体" w:hAnsi="宋体" w:cs="宋体" w:eastAsia="宋体" w:hint="default"/>
                <w:b/>
                <w:bCs/>
                <w:sz w:val="20"/>
                <w:szCs w:val="20"/>
              </w:rPr>
              <w:t>项</w:t>
            </w:r>
            <w:r>
              <w:rPr>
                <w:rFonts w:ascii="宋体" w:hAnsi="宋体" w:cs="宋体" w:eastAsia="宋体" w:hint="default"/>
                <w:b/>
                <w:bCs/>
                <w:spacing w:val="50"/>
                <w:sz w:val="20"/>
                <w:szCs w:val="20"/>
              </w:rPr>
              <w:t> </w:t>
            </w:r>
            <w:r>
              <w:rPr>
                <w:rFonts w:ascii="宋体" w:hAnsi="宋体" w:cs="宋体" w:eastAsia="宋体" w:hint="default"/>
                <w:b/>
                <w:bCs/>
                <w:sz w:val="20"/>
                <w:szCs w:val="20"/>
              </w:rPr>
              <w:t>目</w:t>
            </w:r>
            <w:r>
              <w:rPr>
                <w:rFonts w:ascii="宋体" w:hAnsi="宋体" w:cs="宋体" w:eastAsia="宋体" w:hint="default"/>
                <w:sz w:val="20"/>
                <w:szCs w:val="20"/>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291" w:right="0"/>
              <w:jc w:val="left"/>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49"/>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346" w:right="0"/>
              <w:jc w:val="left"/>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9"/>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460" w:right="0"/>
              <w:jc w:val="left"/>
              <w:rPr>
                <w:rFonts w:ascii="宋体" w:hAnsi="宋体" w:cs="宋体" w:eastAsia="宋体" w:hint="default"/>
                <w:sz w:val="18"/>
                <w:szCs w:val="18"/>
              </w:rPr>
            </w:pPr>
            <w:r>
              <w:rPr>
                <w:rFonts w:ascii="宋体" w:hAnsi="宋体" w:cs="宋体" w:eastAsia="宋体" w:hint="default"/>
                <w:b/>
                <w:bCs/>
                <w:sz w:val="18"/>
                <w:szCs w:val="18"/>
              </w:rPr>
              <w:t>变动金额</w:t>
            </w:r>
            <w:r>
              <w:rPr>
                <w:rFonts w:ascii="宋体" w:hAnsi="宋体" w:cs="宋体" w:eastAsia="宋体" w:hint="default"/>
                <w:sz w:val="18"/>
                <w:szCs w:val="18"/>
              </w:rPr>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90" w:right="0"/>
              <w:jc w:val="left"/>
              <w:rPr>
                <w:rFonts w:ascii="宋体" w:hAnsi="宋体" w:cs="宋体" w:eastAsia="宋体" w:hint="default"/>
                <w:sz w:val="18"/>
                <w:szCs w:val="18"/>
              </w:rPr>
            </w:pPr>
            <w:r>
              <w:rPr>
                <w:rFonts w:ascii="宋体" w:hAnsi="宋体" w:cs="宋体" w:eastAsia="宋体" w:hint="default"/>
                <w:b/>
                <w:bCs/>
                <w:sz w:val="18"/>
                <w:szCs w:val="18"/>
              </w:rPr>
              <w:t>变动幅度</w:t>
            </w:r>
            <w:r>
              <w:rPr>
                <w:rFonts w:ascii="宋体" w:hAnsi="宋体" w:cs="宋体" w:eastAsia="宋体" w:hint="default"/>
                <w:sz w:val="18"/>
                <w:szCs w:val="18"/>
              </w:rPr>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297" w:right="0"/>
              <w:jc w:val="left"/>
              <w:rPr>
                <w:rFonts w:ascii="宋体" w:hAnsi="宋体" w:cs="宋体" w:eastAsia="宋体" w:hint="default"/>
                <w:sz w:val="18"/>
                <w:szCs w:val="18"/>
              </w:rPr>
            </w:pPr>
            <w:r>
              <w:rPr>
                <w:rFonts w:ascii="宋体" w:hAnsi="宋体" w:cs="宋体" w:eastAsia="宋体" w:hint="default"/>
                <w:b/>
                <w:bCs/>
                <w:sz w:val="18"/>
                <w:szCs w:val="18"/>
              </w:rPr>
              <w:t>说明</w:t>
            </w:r>
            <w:r>
              <w:rPr>
                <w:rFonts w:ascii="宋体" w:hAnsi="宋体" w:cs="宋体" w:eastAsia="宋体" w:hint="default"/>
                <w:sz w:val="18"/>
                <w:szCs w:val="18"/>
              </w:rPr>
            </w:r>
          </w:p>
        </w:tc>
      </w:tr>
      <w:tr>
        <w:trPr>
          <w:trHeight w:val="350" w:hRule="exact"/>
        </w:trPr>
        <w:tc>
          <w:tcPr>
            <w:tcW w:w="273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114"/>
              <w:jc w:val="center"/>
              <w:rPr>
                <w:rFonts w:ascii="宋体" w:hAnsi="宋体" w:cs="宋体" w:eastAsia="宋体" w:hint="default"/>
                <w:sz w:val="20"/>
                <w:szCs w:val="20"/>
              </w:rPr>
            </w:pPr>
            <w:r>
              <w:rPr>
                <w:rFonts w:ascii="宋体" w:hAnsi="宋体" w:cs="宋体" w:eastAsia="宋体" w:hint="default"/>
                <w:sz w:val="20"/>
                <w:szCs w:val="20"/>
              </w:rPr>
              <w:t>经营活动产生的现金流量净额</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358" w:right="0"/>
              <w:jc w:val="left"/>
              <w:rPr>
                <w:rFonts w:ascii="宋体" w:hAnsi="宋体" w:cs="宋体" w:eastAsia="宋体" w:hint="default"/>
                <w:sz w:val="18"/>
                <w:szCs w:val="18"/>
              </w:rPr>
            </w:pPr>
            <w:r>
              <w:rPr>
                <w:rFonts w:ascii="宋体"/>
                <w:sz w:val="18"/>
              </w:rPr>
              <w:t>772,564,482</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5"/>
              <w:jc w:val="right"/>
              <w:rPr>
                <w:rFonts w:ascii="宋体" w:hAnsi="宋体" w:cs="宋体" w:eastAsia="宋体" w:hint="default"/>
                <w:sz w:val="18"/>
                <w:szCs w:val="18"/>
              </w:rPr>
            </w:pPr>
            <w:r>
              <w:rPr>
                <w:rFonts w:ascii="宋体"/>
                <w:sz w:val="18"/>
              </w:rPr>
              <w:t>732,360,398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5"/>
              <w:jc w:val="right"/>
              <w:rPr>
                <w:rFonts w:ascii="宋体" w:hAnsi="宋体" w:cs="宋体" w:eastAsia="宋体" w:hint="default"/>
                <w:sz w:val="18"/>
                <w:szCs w:val="18"/>
              </w:rPr>
            </w:pPr>
            <w:r>
              <w:rPr>
                <w:rFonts w:ascii="宋体"/>
                <w:sz w:val="18"/>
              </w:rPr>
              <w:t>40,204,084</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5"/>
              <w:jc w:val="right"/>
              <w:rPr>
                <w:rFonts w:ascii="宋体" w:hAnsi="宋体" w:cs="宋体" w:eastAsia="宋体" w:hint="default"/>
                <w:sz w:val="18"/>
                <w:szCs w:val="18"/>
              </w:rPr>
            </w:pPr>
            <w:r>
              <w:rPr>
                <w:rFonts w:ascii="宋体"/>
                <w:sz w:val="18"/>
              </w:rPr>
              <w:t>5.5%</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90" w:right="0"/>
              <w:jc w:val="left"/>
              <w:rPr>
                <w:rFonts w:ascii="宋体" w:hAnsi="宋体" w:cs="宋体" w:eastAsia="宋体" w:hint="default"/>
                <w:sz w:val="18"/>
                <w:szCs w:val="18"/>
              </w:rPr>
            </w:pPr>
            <w:r>
              <w:rPr>
                <w:rFonts w:ascii="宋体"/>
                <w:sz w:val="18"/>
              </w:rPr>
              <w:t>(1)</w:t>
            </w:r>
          </w:p>
        </w:tc>
      </w:tr>
      <w:tr>
        <w:trPr>
          <w:trHeight w:val="350" w:hRule="exact"/>
        </w:trPr>
        <w:tc>
          <w:tcPr>
            <w:tcW w:w="273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114"/>
              <w:jc w:val="center"/>
              <w:rPr>
                <w:rFonts w:ascii="宋体" w:hAnsi="宋体" w:cs="宋体" w:eastAsia="宋体" w:hint="default"/>
                <w:sz w:val="20"/>
                <w:szCs w:val="20"/>
              </w:rPr>
            </w:pPr>
            <w:r>
              <w:rPr>
                <w:rFonts w:ascii="宋体" w:hAnsi="宋体" w:cs="宋体" w:eastAsia="宋体" w:hint="default"/>
                <w:sz w:val="20"/>
                <w:szCs w:val="20"/>
              </w:rPr>
              <w:t>投资活动产生的现金流量净额</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68" w:right="0"/>
              <w:jc w:val="left"/>
              <w:rPr>
                <w:rFonts w:ascii="宋体" w:hAnsi="宋体" w:cs="宋体" w:eastAsia="宋体" w:hint="default"/>
                <w:sz w:val="18"/>
                <w:szCs w:val="18"/>
              </w:rPr>
            </w:pPr>
            <w:r>
              <w:rPr>
                <w:rFonts w:ascii="宋体"/>
                <w:sz w:val="18"/>
              </w:rPr>
              <w:t>-136,729,150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5"/>
              <w:jc w:val="right"/>
              <w:rPr>
                <w:rFonts w:ascii="宋体" w:hAnsi="宋体" w:cs="宋体" w:eastAsia="宋体" w:hint="default"/>
                <w:sz w:val="18"/>
                <w:szCs w:val="18"/>
              </w:rPr>
            </w:pPr>
            <w:r>
              <w:rPr>
                <w:rFonts w:ascii="宋体"/>
                <w:sz w:val="18"/>
              </w:rPr>
              <w:t>-457,354,800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5"/>
              <w:jc w:val="right"/>
              <w:rPr>
                <w:rFonts w:ascii="宋体" w:hAnsi="宋体" w:cs="宋体" w:eastAsia="宋体" w:hint="default"/>
                <w:sz w:val="18"/>
                <w:szCs w:val="18"/>
              </w:rPr>
            </w:pPr>
            <w:r>
              <w:rPr>
                <w:rFonts w:ascii="宋体"/>
                <w:sz w:val="18"/>
              </w:rPr>
              <w:t>320,625,650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5"/>
              <w:jc w:val="right"/>
              <w:rPr>
                <w:rFonts w:ascii="宋体" w:hAnsi="宋体" w:cs="宋体" w:eastAsia="宋体" w:hint="default"/>
                <w:sz w:val="18"/>
                <w:szCs w:val="18"/>
              </w:rPr>
            </w:pPr>
            <w:r>
              <w:rPr>
                <w:rFonts w:ascii="宋体"/>
                <w:sz w:val="18"/>
              </w:rPr>
              <w:t>70.1%</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90" w:right="0"/>
              <w:jc w:val="left"/>
              <w:rPr>
                <w:rFonts w:ascii="宋体" w:hAnsi="宋体" w:cs="宋体" w:eastAsia="宋体" w:hint="default"/>
                <w:sz w:val="18"/>
                <w:szCs w:val="18"/>
              </w:rPr>
            </w:pPr>
            <w:r>
              <w:rPr>
                <w:rFonts w:ascii="宋体"/>
                <w:sz w:val="18"/>
              </w:rPr>
              <w:t>(2)</w:t>
            </w:r>
          </w:p>
        </w:tc>
      </w:tr>
      <w:tr>
        <w:trPr>
          <w:trHeight w:val="350" w:hRule="exact"/>
        </w:trPr>
        <w:tc>
          <w:tcPr>
            <w:tcW w:w="273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114"/>
              <w:jc w:val="center"/>
              <w:rPr>
                <w:rFonts w:ascii="宋体" w:hAnsi="宋体" w:cs="宋体" w:eastAsia="宋体" w:hint="default"/>
                <w:sz w:val="20"/>
                <w:szCs w:val="20"/>
              </w:rPr>
            </w:pPr>
            <w:r>
              <w:rPr>
                <w:rFonts w:ascii="宋体" w:hAnsi="宋体" w:cs="宋体" w:eastAsia="宋体" w:hint="default"/>
                <w:sz w:val="20"/>
                <w:szCs w:val="20"/>
              </w:rPr>
              <w:t>筹资活动产生的现金流量净额</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68" w:right="0"/>
              <w:jc w:val="left"/>
              <w:rPr>
                <w:rFonts w:ascii="宋体" w:hAnsi="宋体" w:cs="宋体" w:eastAsia="宋体" w:hint="default"/>
                <w:sz w:val="18"/>
                <w:szCs w:val="18"/>
              </w:rPr>
            </w:pPr>
            <w:r>
              <w:rPr>
                <w:rFonts w:ascii="宋体"/>
                <w:sz w:val="18"/>
              </w:rPr>
              <w:t>-168,219,567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5"/>
              <w:jc w:val="right"/>
              <w:rPr>
                <w:rFonts w:ascii="宋体" w:hAnsi="宋体" w:cs="宋体" w:eastAsia="宋体" w:hint="default"/>
                <w:sz w:val="18"/>
                <w:szCs w:val="18"/>
              </w:rPr>
            </w:pPr>
            <w:r>
              <w:rPr>
                <w:rFonts w:ascii="宋体"/>
                <w:sz w:val="18"/>
              </w:rPr>
              <w:t>-510,584,438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5"/>
              <w:jc w:val="right"/>
              <w:rPr>
                <w:rFonts w:ascii="宋体" w:hAnsi="宋体" w:cs="宋体" w:eastAsia="宋体" w:hint="default"/>
                <w:sz w:val="18"/>
                <w:szCs w:val="18"/>
              </w:rPr>
            </w:pPr>
            <w:r>
              <w:rPr>
                <w:rFonts w:ascii="宋体"/>
                <w:sz w:val="18"/>
              </w:rPr>
              <w:t>342,364,871</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5"/>
              <w:jc w:val="right"/>
              <w:rPr>
                <w:rFonts w:ascii="宋体" w:hAnsi="宋体" w:cs="宋体" w:eastAsia="宋体" w:hint="default"/>
                <w:sz w:val="18"/>
                <w:szCs w:val="18"/>
              </w:rPr>
            </w:pPr>
            <w:r>
              <w:rPr>
                <w:rFonts w:ascii="宋体"/>
                <w:sz w:val="18"/>
              </w:rPr>
              <w:t>67.1%</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90" w:right="0"/>
              <w:jc w:val="left"/>
              <w:rPr>
                <w:rFonts w:ascii="宋体" w:hAnsi="宋体" w:cs="宋体" w:eastAsia="宋体" w:hint="default"/>
                <w:sz w:val="18"/>
                <w:szCs w:val="18"/>
              </w:rPr>
            </w:pPr>
            <w:r>
              <w:rPr>
                <w:rFonts w:ascii="宋体"/>
                <w:sz w:val="18"/>
              </w:rPr>
              <w:t>(3)</w:t>
            </w:r>
          </w:p>
        </w:tc>
      </w:tr>
    </w:tbl>
    <w:p>
      <w:pPr>
        <w:spacing w:line="240" w:lineRule="auto" w:before="10"/>
        <w:rPr>
          <w:rFonts w:ascii="宋体" w:hAnsi="宋体" w:cs="宋体" w:eastAsia="宋体" w:hint="default"/>
          <w:sz w:val="19"/>
          <w:szCs w:val="19"/>
        </w:rPr>
      </w:pPr>
    </w:p>
    <w:p>
      <w:pPr>
        <w:pStyle w:val="BodyText"/>
        <w:spacing w:line="308" w:lineRule="exact" w:before="26"/>
        <w:ind w:left="486" w:right="144"/>
        <w:jc w:val="left"/>
      </w:pPr>
      <w:r>
        <w:rPr/>
        <w:t>变动说明：</w:t>
      </w:r>
    </w:p>
    <w:p>
      <w:pPr>
        <w:pStyle w:val="BodyText"/>
        <w:spacing w:line="310" w:lineRule="exact" w:before="26"/>
        <w:ind w:right="144" w:firstLine="480"/>
        <w:jc w:val="left"/>
      </w:pPr>
      <w:r>
        <w:rPr/>
        <w:t>(1)经营活动产生的现金流量净额较上年同期增加</w:t>
      </w:r>
      <w:r>
        <w:rPr>
          <w:spacing w:val="-58"/>
        </w:rPr>
        <w:t> </w:t>
      </w:r>
      <w:r>
        <w:rPr/>
        <w:t>4,020</w:t>
      </w:r>
      <w:r>
        <w:rPr>
          <w:spacing w:val="-58"/>
        </w:rPr>
        <w:t> </w:t>
      </w:r>
      <w:r>
        <w:rPr>
          <w:spacing w:val="-6"/>
        </w:rPr>
        <w:t>万元，上升</w:t>
      </w:r>
      <w:r>
        <w:rPr>
          <w:spacing w:val="-58"/>
        </w:rPr>
        <w:t> </w:t>
      </w:r>
      <w:r>
        <w:rPr>
          <w:spacing w:val="-4"/>
        </w:rPr>
        <w:t>5.5%，主要是由</w:t>
      </w:r>
      <w:r>
        <w:rPr/>
        <w:t> 于报告期内经营性现金流入同比增加超过经营性现金支出的增加所致；</w:t>
      </w:r>
    </w:p>
    <w:p>
      <w:pPr>
        <w:pStyle w:val="BodyText"/>
        <w:spacing w:line="310" w:lineRule="exact" w:before="2"/>
        <w:ind w:left="248" w:right="86" w:firstLine="357"/>
        <w:jc w:val="left"/>
      </w:pPr>
      <w:r>
        <w:rPr/>
        <w:t>(2)投资活动现金净流量比上年同期增加</w:t>
      </w:r>
      <w:r>
        <w:rPr>
          <w:spacing w:val="-60"/>
        </w:rPr>
        <w:t> </w:t>
      </w:r>
      <w:r>
        <w:rPr/>
        <w:t>32,063</w:t>
      </w:r>
      <w:r>
        <w:rPr>
          <w:spacing w:val="-47"/>
        </w:rPr>
        <w:t> </w:t>
      </w:r>
      <w:r>
        <w:rPr/>
        <w:t>万元；上升</w:t>
      </w:r>
      <w:r>
        <w:rPr>
          <w:spacing w:val="-60"/>
        </w:rPr>
        <w:t> </w:t>
      </w:r>
      <w:r>
        <w:rPr/>
        <w:t>70.1%，主要由于报告期</w:t>
      </w:r>
      <w:r>
        <w:rPr/>
        <w:t> 内处置可供出售金融资产使投资活动现金流入较上年同期增加</w:t>
      </w:r>
      <w:r>
        <w:rPr>
          <w:spacing w:val="-57"/>
        </w:rPr>
        <w:t> </w:t>
      </w:r>
      <w:r>
        <w:rPr/>
        <w:t>10,267</w:t>
      </w:r>
      <w:r>
        <w:rPr>
          <w:spacing w:val="-57"/>
        </w:rPr>
        <w:t> </w:t>
      </w:r>
      <w:r>
        <w:rPr>
          <w:spacing w:val="-7"/>
        </w:rPr>
        <w:t>万元，以及报告期</w:t>
      </w:r>
    </w:p>
    <w:p>
      <w:pPr>
        <w:pStyle w:val="BodyText"/>
        <w:spacing w:line="310" w:lineRule="exact" w:before="2"/>
        <w:ind w:left="248" w:right="156"/>
        <w:jc w:val="left"/>
      </w:pPr>
      <w:r>
        <w:rPr/>
        <w:t>内购建支出较上年同期减少以及取得子公司及其他营业单位支付的现金净额较上年同期 增加使投资活动现金流出较上年同期减少</w:t>
      </w:r>
      <w:r>
        <w:rPr>
          <w:spacing w:val="-60"/>
        </w:rPr>
        <w:t> </w:t>
      </w:r>
      <w:r>
        <w:rPr/>
        <w:t>19,078</w:t>
      </w:r>
      <w:r>
        <w:rPr>
          <w:spacing w:val="-60"/>
        </w:rPr>
        <w:t> </w:t>
      </w:r>
      <w:r>
        <w:rPr/>
        <w:t>万元所致；</w:t>
      </w:r>
    </w:p>
    <w:p>
      <w:pPr>
        <w:pStyle w:val="BodyText"/>
        <w:spacing w:line="282" w:lineRule="exact"/>
        <w:ind w:left="606" w:right="0"/>
        <w:jc w:val="left"/>
      </w:pPr>
      <w:r>
        <w:rPr/>
        <w:t>(3)筹资活动现金净流量比上年同期增加</w:t>
      </w:r>
      <w:r>
        <w:rPr>
          <w:spacing w:val="-47"/>
        </w:rPr>
        <w:t> </w:t>
      </w:r>
      <w:r>
        <w:rPr/>
        <w:t>34,236</w:t>
      </w:r>
      <w:r>
        <w:rPr>
          <w:spacing w:val="-60"/>
        </w:rPr>
        <w:t> </w:t>
      </w:r>
      <w:r>
        <w:rPr/>
        <w:t>万元，上升</w:t>
      </w:r>
      <w:r>
        <w:rPr>
          <w:spacing w:val="-60"/>
        </w:rPr>
        <w:t> </w:t>
      </w:r>
      <w:r>
        <w:rPr/>
        <w:t>67.1%，主要由于报告期</w:t>
      </w:r>
    </w:p>
    <w:p>
      <w:pPr>
        <w:pStyle w:val="BodyText"/>
        <w:spacing w:line="313" w:lineRule="exact"/>
        <w:ind w:left="248" w:right="144"/>
        <w:jc w:val="left"/>
      </w:pPr>
      <w:r>
        <w:rPr/>
        <w:t>内净归还银行借款</w:t>
      </w:r>
      <w:r>
        <w:rPr>
          <w:spacing w:val="-60"/>
        </w:rPr>
        <w:t> </w:t>
      </w:r>
      <w:r>
        <w:rPr/>
        <w:t>15,300</w:t>
      </w:r>
      <w:r>
        <w:rPr>
          <w:spacing w:val="-60"/>
        </w:rPr>
        <w:t> </w:t>
      </w:r>
      <w:r>
        <w:rPr/>
        <w:t>万元，上年同期净归还银行借款</w:t>
      </w:r>
      <w:r>
        <w:rPr>
          <w:spacing w:val="-60"/>
        </w:rPr>
        <w:t> </w:t>
      </w:r>
      <w:r>
        <w:rPr/>
        <w:t>47,000</w:t>
      </w:r>
      <w:r>
        <w:rPr>
          <w:spacing w:val="-60"/>
        </w:rPr>
        <w:t> </w:t>
      </w:r>
      <w:r>
        <w:rPr/>
        <w:t>万元所致。</w:t>
      </w:r>
    </w:p>
    <w:p>
      <w:pPr>
        <w:spacing w:line="240" w:lineRule="auto" w:before="0"/>
        <w:rPr>
          <w:rFonts w:ascii="宋体" w:hAnsi="宋体" w:cs="宋体" w:eastAsia="宋体" w:hint="default"/>
          <w:sz w:val="35"/>
          <w:szCs w:val="35"/>
        </w:rPr>
      </w:pPr>
    </w:p>
    <w:p>
      <w:pPr>
        <w:pStyle w:val="BodyText"/>
        <w:spacing w:line="312" w:lineRule="exact"/>
        <w:ind w:right="144"/>
        <w:jc w:val="left"/>
      </w:pPr>
      <w:r>
        <w:rPr>
          <w:spacing w:val="-4"/>
        </w:rPr>
        <w:t>（三）经营成果和利润构成与上年度相比发生重大变化的原因分析；整体财务状况与上年</w:t>
      </w:r>
      <w:r>
        <w:rPr>
          <w:spacing w:val="-82"/>
        </w:rPr>
        <w:t> </w:t>
      </w:r>
      <w:r>
        <w:rPr>
          <w:spacing w:val="-82"/>
        </w:rPr>
      </w:r>
      <w:r>
        <w:rPr/>
        <w:t>度相比发生重大变化的原因分析</w:t>
      </w:r>
    </w:p>
    <w:p>
      <w:pPr>
        <w:tabs>
          <w:tab w:pos="1154" w:val="left" w:leader="none"/>
        </w:tabs>
        <w:spacing w:line="247" w:lineRule="exact" w:before="0"/>
        <w:ind w:left="0" w:right="159"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336" w:type="dxa"/>
        <w:tblLayout w:type="fixed"/>
        <w:tblCellMar>
          <w:top w:w="0" w:type="dxa"/>
          <w:left w:w="0" w:type="dxa"/>
          <w:bottom w:w="0" w:type="dxa"/>
          <w:right w:w="0" w:type="dxa"/>
        </w:tblCellMar>
        <w:tblLook w:val="01E0"/>
      </w:tblPr>
      <w:tblGrid>
        <w:gridCol w:w="1738"/>
        <w:gridCol w:w="1614"/>
        <w:gridCol w:w="1938"/>
        <w:gridCol w:w="1614"/>
        <w:gridCol w:w="1938"/>
      </w:tblGrid>
      <w:tr>
        <w:trPr>
          <w:trHeight w:val="346" w:hRule="exact"/>
        </w:trPr>
        <w:tc>
          <w:tcPr>
            <w:tcW w:w="1738" w:type="dxa"/>
            <w:vMerge w:val="restart"/>
            <w:tcBorders>
              <w:top w:val="single" w:sz="4" w:space="0" w:color="000000"/>
              <w:left w:val="single" w:sz="4" w:space="0" w:color="000000"/>
              <w:right w:val="single" w:sz="4" w:space="0" w:color="000000"/>
            </w:tcBorders>
          </w:tcPr>
          <w:p>
            <w:pPr>
              <w:pStyle w:val="TableParagraph"/>
              <w:spacing w:line="240" w:lineRule="auto" w:before="147"/>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4" w:right="0"/>
              <w:jc w:val="center"/>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3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4" w:right="0"/>
              <w:jc w:val="center"/>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312" w:hRule="exact"/>
        </w:trPr>
        <w:tc>
          <w:tcPr>
            <w:tcW w:w="1738" w:type="dxa"/>
            <w:vMerge/>
            <w:tcBorders>
              <w:left w:val="single" w:sz="4" w:space="0" w:color="000000"/>
              <w:bottom w:val="single" w:sz="4" w:space="0" w:color="000000"/>
              <w:right w:val="single" w:sz="4" w:space="0" w:color="000000"/>
            </w:tcBorders>
          </w:tcPr>
          <w:p>
            <w:pP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6"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35"/>
              <w:jc w:val="right"/>
              <w:rPr>
                <w:rFonts w:ascii="宋体" w:hAnsi="宋体" w:cs="宋体" w:eastAsia="宋体" w:hint="default"/>
                <w:sz w:val="21"/>
                <w:szCs w:val="21"/>
              </w:rPr>
            </w:pPr>
            <w:r>
              <w:rPr>
                <w:rFonts w:ascii="宋体" w:hAnsi="宋体" w:cs="宋体" w:eastAsia="宋体" w:hint="default"/>
                <w:b/>
                <w:bCs/>
                <w:w w:val="95"/>
                <w:sz w:val="21"/>
                <w:szCs w:val="21"/>
              </w:rPr>
              <w:t>占利润总额的比例</w:t>
            </w:r>
            <w:r>
              <w:rPr>
                <w:rFonts w:ascii="宋体" w:hAnsi="宋体" w:cs="宋体" w:eastAsia="宋体" w:hint="default"/>
                <w:sz w:val="21"/>
                <w:szCs w:val="21"/>
              </w:rPr>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5"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18"/>
              <w:jc w:val="right"/>
              <w:rPr>
                <w:rFonts w:ascii="宋体" w:hAnsi="宋体" w:cs="宋体" w:eastAsia="宋体" w:hint="default"/>
                <w:sz w:val="21"/>
                <w:szCs w:val="21"/>
              </w:rPr>
            </w:pPr>
            <w:r>
              <w:rPr>
                <w:rFonts w:ascii="宋体" w:hAnsi="宋体" w:cs="宋体" w:eastAsia="宋体" w:hint="default"/>
                <w:b/>
                <w:bCs/>
                <w:w w:val="95"/>
                <w:sz w:val="21"/>
                <w:szCs w:val="21"/>
              </w:rPr>
              <w:t>占利润总额的比例</w:t>
            </w:r>
            <w:r>
              <w:rPr>
                <w:rFonts w:ascii="宋体" w:hAnsi="宋体" w:cs="宋体" w:eastAsia="宋体" w:hint="default"/>
                <w:sz w:val="21"/>
                <w:szCs w:val="21"/>
              </w:rPr>
            </w:r>
          </w:p>
        </w:tc>
      </w:tr>
      <w:tr>
        <w:trPr>
          <w:trHeight w:val="311"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4,166,055,393</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572.5%</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3,711,345,600</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690.9%</w:t>
            </w:r>
          </w:p>
        </w:tc>
      </w:tr>
      <w:tr>
        <w:trPr>
          <w:trHeight w:val="311"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2,711,973,065</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372.6%</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2,355,303,276</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438.5%</w:t>
            </w:r>
          </w:p>
        </w:tc>
      </w:tr>
      <w:tr>
        <w:trPr>
          <w:trHeight w:val="311"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期间费用</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836,914,522</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115.0%</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809,091,603</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150.6%</w:t>
            </w:r>
          </w:p>
        </w:tc>
      </w:tr>
      <w:tr>
        <w:trPr>
          <w:trHeight w:val="311"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671,687,541</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92.3%</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502,595,940</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93.6%</w:t>
            </w:r>
          </w:p>
        </w:tc>
      </w:tr>
      <w:tr>
        <w:trPr>
          <w:trHeight w:val="311"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112,214,666</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15.4%</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34,640,063</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6.5%</w:t>
            </w:r>
          </w:p>
        </w:tc>
      </w:tr>
      <w:tr>
        <w:trPr>
          <w:trHeight w:val="312"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营业外收支净额</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56,069,176</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7.7%</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34,573,446</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6.4%</w:t>
            </w:r>
          </w:p>
        </w:tc>
      </w:tr>
      <w:tr>
        <w:trPr>
          <w:trHeight w:val="311"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727,756,717</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100.0%</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537,169,386</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01"/>
              <w:jc w:val="right"/>
              <w:rPr>
                <w:rFonts w:ascii="宋体" w:hAnsi="宋体" w:cs="宋体" w:eastAsia="宋体" w:hint="default"/>
                <w:sz w:val="18"/>
                <w:szCs w:val="18"/>
              </w:rPr>
            </w:pPr>
            <w:r>
              <w:rPr>
                <w:rFonts w:ascii="宋体"/>
                <w:sz w:val="18"/>
              </w:rPr>
              <w:t>100.0%</w:t>
            </w:r>
          </w:p>
        </w:tc>
      </w:tr>
    </w:tbl>
    <w:p>
      <w:pPr>
        <w:spacing w:line="240" w:lineRule="auto" w:before="1"/>
        <w:rPr>
          <w:rFonts w:ascii="宋体" w:hAnsi="宋体" w:cs="宋体" w:eastAsia="宋体" w:hint="default"/>
          <w:sz w:val="28"/>
          <w:szCs w:val="28"/>
        </w:rPr>
      </w:pPr>
    </w:p>
    <w:p>
      <w:pPr>
        <w:pStyle w:val="BodyText"/>
        <w:spacing w:line="310" w:lineRule="exact" w:before="58"/>
        <w:ind w:right="141" w:firstLine="480"/>
        <w:jc w:val="left"/>
      </w:pPr>
      <w:r>
        <w:rPr/>
        <w:t>与</w:t>
      </w:r>
      <w:r>
        <w:rPr>
          <w:spacing w:val="-67"/>
        </w:rPr>
        <w:t> </w:t>
      </w:r>
      <w:r>
        <w:rPr/>
        <w:t>2008</w:t>
      </w:r>
      <w:r>
        <w:rPr>
          <w:spacing w:val="-67"/>
        </w:rPr>
        <w:t> </w:t>
      </w:r>
      <w:r>
        <w:rPr>
          <w:spacing w:val="-4"/>
        </w:rPr>
        <w:t>年度相比，2009</w:t>
      </w:r>
      <w:r>
        <w:rPr>
          <w:spacing w:val="-67"/>
        </w:rPr>
        <w:t> </w:t>
      </w:r>
      <w:r>
        <w:rPr/>
        <w:t>年度利润构成的主要变化是投资收益比重的增加，报告期内</w:t>
      </w:r>
      <w:r>
        <w:rPr/>
        <w:t> 公司处置所持全部中国联通股票，使投资收益占利润总额的比重较上年度增加。</w:t>
      </w:r>
    </w:p>
    <w:p>
      <w:pPr>
        <w:tabs>
          <w:tab w:pos="1154" w:val="left" w:leader="none"/>
        </w:tabs>
        <w:spacing w:line="247" w:lineRule="exact" w:before="0"/>
        <w:ind w:left="0" w:right="159" w:firstLine="0"/>
        <w:jc w:val="righ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72" w:type="dxa"/>
        <w:tblLayout w:type="fixed"/>
        <w:tblCellMar>
          <w:top w:w="0" w:type="dxa"/>
          <w:left w:w="0" w:type="dxa"/>
          <w:bottom w:w="0" w:type="dxa"/>
          <w:right w:w="0" w:type="dxa"/>
        </w:tblCellMar>
        <w:tblLook w:val="01E0"/>
      </w:tblPr>
      <w:tblGrid>
        <w:gridCol w:w="1730"/>
        <w:gridCol w:w="1642"/>
        <w:gridCol w:w="2117"/>
        <w:gridCol w:w="1643"/>
        <w:gridCol w:w="2039"/>
      </w:tblGrid>
      <w:tr>
        <w:trPr>
          <w:trHeight w:val="283" w:hRule="exact"/>
        </w:trPr>
        <w:tc>
          <w:tcPr>
            <w:tcW w:w="1730" w:type="dxa"/>
            <w:vMerge w:val="restart"/>
            <w:tcBorders>
              <w:top w:val="single" w:sz="4" w:space="0" w:color="000000"/>
              <w:left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75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02"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368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963"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282" w:hRule="exact"/>
        </w:trPr>
        <w:tc>
          <w:tcPr>
            <w:tcW w:w="1730" w:type="dxa"/>
            <w:vMerge/>
            <w:tcBorders>
              <w:left w:val="single" w:sz="4" w:space="0" w:color="000000"/>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0" w:right="0"/>
              <w:jc w:val="left"/>
              <w:rPr>
                <w:rFonts w:ascii="宋体" w:hAnsi="宋体" w:cs="宋体" w:eastAsia="宋体" w:hint="default"/>
                <w:sz w:val="21"/>
                <w:szCs w:val="21"/>
              </w:rPr>
            </w:pPr>
            <w:r>
              <w:rPr>
                <w:rFonts w:ascii="宋体" w:hAnsi="宋体" w:cs="宋体" w:eastAsia="宋体" w:hint="default"/>
                <w:b/>
                <w:bCs/>
                <w:sz w:val="21"/>
                <w:szCs w:val="21"/>
              </w:rPr>
              <w:t>占资产总额的比例</w:t>
            </w:r>
            <w:r>
              <w:rPr>
                <w:rFonts w:ascii="宋体" w:hAnsi="宋体" w:cs="宋体" w:eastAsia="宋体" w:hint="default"/>
                <w:sz w:val="21"/>
                <w:szCs w:val="21"/>
              </w:rPr>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03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70" w:right="0"/>
              <w:jc w:val="left"/>
              <w:rPr>
                <w:rFonts w:ascii="宋体" w:hAnsi="宋体" w:cs="宋体" w:eastAsia="宋体" w:hint="default"/>
                <w:sz w:val="21"/>
                <w:szCs w:val="21"/>
              </w:rPr>
            </w:pPr>
            <w:r>
              <w:rPr>
                <w:rFonts w:ascii="宋体" w:hAnsi="宋体" w:cs="宋体" w:eastAsia="宋体" w:hint="default"/>
                <w:b/>
                <w:bCs/>
                <w:sz w:val="21"/>
                <w:szCs w:val="21"/>
              </w:rPr>
              <w:t>占资产总额的比例</w:t>
            </w:r>
            <w:r>
              <w:rPr>
                <w:rFonts w:ascii="宋体" w:hAnsi="宋体" w:cs="宋体" w:eastAsia="宋体" w:hint="default"/>
                <w:sz w:val="21"/>
                <w:szCs w:val="21"/>
              </w:rPr>
            </w:r>
          </w:p>
        </w:tc>
      </w:tr>
      <w:tr>
        <w:trPr>
          <w:trHeight w:val="282" w:hRule="exact"/>
        </w:trPr>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729,987,044</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11.8%</w:t>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700,347,979</w:t>
            </w:r>
          </w:p>
        </w:tc>
        <w:tc>
          <w:tcPr>
            <w:tcW w:w="2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12.5%</w:t>
            </w:r>
          </w:p>
        </w:tc>
      </w:tr>
      <w:tr>
        <w:trPr>
          <w:trHeight w:val="282" w:hRule="exact"/>
        </w:trPr>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297,282,431</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4.8%</w:t>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338,795,036</w:t>
            </w:r>
          </w:p>
        </w:tc>
        <w:tc>
          <w:tcPr>
            <w:tcW w:w="2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6.1%</w:t>
            </w:r>
          </w:p>
        </w:tc>
      </w:tr>
      <w:tr>
        <w:trPr>
          <w:trHeight w:val="283" w:hRule="exact"/>
        </w:trPr>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561,655,794</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9.1%</w:t>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539,641,206</w:t>
            </w:r>
          </w:p>
        </w:tc>
        <w:tc>
          <w:tcPr>
            <w:tcW w:w="2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9.7%</w:t>
            </w:r>
          </w:p>
        </w:tc>
      </w:tr>
      <w:tr>
        <w:trPr>
          <w:trHeight w:val="282" w:hRule="exact"/>
        </w:trPr>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577,887,360</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9.3%</w:t>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573,463,670</w:t>
            </w:r>
          </w:p>
        </w:tc>
        <w:tc>
          <w:tcPr>
            <w:tcW w:w="2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10.3%</w:t>
            </w:r>
          </w:p>
        </w:tc>
      </w:tr>
      <w:tr>
        <w:trPr>
          <w:trHeight w:val="282" w:hRule="exact"/>
        </w:trPr>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1,475,833,486</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23.8%</w:t>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1,162,364,043</w:t>
            </w:r>
          </w:p>
        </w:tc>
        <w:tc>
          <w:tcPr>
            <w:tcW w:w="2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20.8%</w:t>
            </w:r>
          </w:p>
        </w:tc>
      </w:tr>
      <w:tr>
        <w:trPr>
          <w:trHeight w:val="283" w:hRule="exact"/>
        </w:trPr>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6,743,945</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0.1%</w:t>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223,268,190</w:t>
            </w:r>
          </w:p>
        </w:tc>
        <w:tc>
          <w:tcPr>
            <w:tcW w:w="2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4.0%</w:t>
            </w:r>
          </w:p>
        </w:tc>
      </w:tr>
      <w:tr>
        <w:trPr>
          <w:trHeight w:val="282" w:hRule="exact"/>
        </w:trPr>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152,000,000</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2.5%</w:t>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275,000,000</w:t>
            </w:r>
          </w:p>
        </w:tc>
        <w:tc>
          <w:tcPr>
            <w:tcW w:w="2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4.9%</w:t>
            </w:r>
          </w:p>
        </w:tc>
      </w:tr>
      <w:tr>
        <w:trPr>
          <w:trHeight w:val="282" w:hRule="exact"/>
        </w:trPr>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资产总额</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6,209,047,971</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100.00%</w:t>
            </w:r>
          </w:p>
        </w:tc>
        <w:tc>
          <w:tcPr>
            <w:tcW w:w="1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5,592,974,892</w:t>
            </w:r>
          </w:p>
        </w:tc>
        <w:tc>
          <w:tcPr>
            <w:tcW w:w="2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100.00%</w:t>
            </w:r>
          </w:p>
        </w:tc>
      </w:tr>
    </w:tbl>
    <w:p>
      <w:pPr>
        <w:spacing w:after="0" w:line="240" w:lineRule="auto"/>
        <w:jc w:val="right"/>
        <w:rPr>
          <w:rFonts w:ascii="宋体" w:hAnsi="宋体" w:cs="宋体" w:eastAsia="宋体" w:hint="default"/>
          <w:sz w:val="18"/>
          <w:szCs w:val="18"/>
        </w:rPr>
        <w:sectPr>
          <w:pgSz w:w="11910" w:h="16840"/>
          <w:pgMar w:header="720" w:footer="721" w:top="1100" w:bottom="920" w:left="1220" w:right="1140"/>
        </w:sectPr>
      </w:pPr>
    </w:p>
    <w:p>
      <w:pPr>
        <w:spacing w:line="240" w:lineRule="auto" w:before="1"/>
        <w:rPr>
          <w:rFonts w:ascii="宋体" w:hAnsi="宋体" w:cs="宋体" w:eastAsia="宋体" w:hint="default"/>
          <w:sz w:val="20"/>
          <w:szCs w:val="20"/>
        </w:rPr>
      </w:pPr>
    </w:p>
    <w:p>
      <w:pPr>
        <w:pStyle w:val="BodyText"/>
        <w:spacing w:line="237" w:lineRule="auto" w:before="28"/>
        <w:ind w:left="340" w:right="439" w:firstLine="480"/>
        <w:jc w:val="both"/>
      </w:pPr>
      <w:r>
        <w:rPr/>
        <w:t>与</w:t>
      </w:r>
      <w:r>
        <w:rPr>
          <w:spacing w:val="-67"/>
        </w:rPr>
        <w:t> </w:t>
      </w:r>
      <w:r>
        <w:rPr/>
        <w:t>2008</w:t>
      </w:r>
      <w:r>
        <w:rPr>
          <w:spacing w:val="-67"/>
        </w:rPr>
        <w:t> </w:t>
      </w:r>
      <w:r>
        <w:rPr>
          <w:spacing w:val="-4"/>
        </w:rPr>
        <w:t>年末相比，2009</w:t>
      </w:r>
      <w:r>
        <w:rPr>
          <w:spacing w:val="-67"/>
        </w:rPr>
        <w:t> </w:t>
      </w:r>
      <w:r>
        <w:rPr/>
        <w:t>年末资产构成没有重大变化。固定资产较上年末的增加及在</w:t>
      </w:r>
      <w:r>
        <w:rPr/>
        <w:t> </w:t>
      </w:r>
      <w:r>
        <w:rPr>
          <w:spacing w:val="-4"/>
        </w:rPr>
        <w:t>建工程的减少主要由于报告期内在建工程达到预定可使用状态转入固定资产所致；长期借</w:t>
      </w:r>
      <w:r>
        <w:rPr>
          <w:spacing w:val="-82"/>
        </w:rPr>
        <w:t> </w:t>
      </w:r>
      <w:r>
        <w:rPr>
          <w:spacing w:val="-82"/>
        </w:rPr>
      </w:r>
      <w:r>
        <w:rPr/>
        <w:t>款较上年末的减少是由于报告期内归还银行借款所致。</w:t>
      </w:r>
    </w:p>
    <w:p>
      <w:pPr>
        <w:spacing w:line="240" w:lineRule="auto" w:before="1"/>
        <w:rPr>
          <w:rFonts w:ascii="宋体" w:hAnsi="宋体" w:cs="宋体" w:eastAsia="宋体" w:hint="default"/>
          <w:sz w:val="26"/>
          <w:szCs w:val="26"/>
        </w:rPr>
      </w:pPr>
    </w:p>
    <w:p>
      <w:pPr>
        <w:pStyle w:val="BodyText"/>
        <w:spacing w:line="310" w:lineRule="exact"/>
        <w:ind w:left="820" w:right="1984" w:hanging="480"/>
        <w:jc w:val="left"/>
      </w:pPr>
      <w:r>
        <w:rPr/>
        <w:t>（四）主营业务盈利能力（毛利率）与上年相比发生重大变化的原因说明 与</w:t>
      </w:r>
      <w:r>
        <w:rPr>
          <w:spacing w:val="-60"/>
        </w:rPr>
        <w:t> </w:t>
      </w:r>
      <w:r>
        <w:rPr/>
        <w:t>2008</w:t>
      </w:r>
      <w:r>
        <w:rPr>
          <w:spacing w:val="-60"/>
        </w:rPr>
        <w:t> </w:t>
      </w:r>
      <w:r>
        <w:rPr/>
        <w:t>年度相比，2009</w:t>
      </w:r>
      <w:r>
        <w:rPr>
          <w:spacing w:val="-60"/>
        </w:rPr>
        <w:t> </w:t>
      </w:r>
      <w:r>
        <w:rPr/>
        <w:t>年度主营业务盈利能力没有发生重大变化。</w:t>
      </w:r>
    </w:p>
    <w:p>
      <w:pPr>
        <w:spacing w:line="240" w:lineRule="auto" w:before="6"/>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pgSz w:w="11910" w:h="16840"/>
          <w:pgMar w:header="720" w:footer="721" w:top="1100" w:bottom="920" w:left="1020" w:right="860"/>
        </w:sectPr>
      </w:pPr>
    </w:p>
    <w:p>
      <w:pPr>
        <w:pStyle w:val="BodyText"/>
        <w:spacing w:line="240" w:lineRule="auto" w:before="26"/>
        <w:ind w:left="340" w:right="-20"/>
        <w:jc w:val="left"/>
      </w:pPr>
      <w:r>
        <w:rPr/>
        <w:t>（五）公司投资情况</w:t>
      </w:r>
    </w:p>
    <w:p>
      <w:pPr>
        <w:spacing w:line="240" w:lineRule="auto" w:before="2"/>
        <w:rPr>
          <w:rFonts w:ascii="宋体" w:hAnsi="宋体" w:cs="宋体" w:eastAsia="宋体" w:hint="default"/>
          <w:sz w:val="26"/>
          <w:szCs w:val="26"/>
        </w:rPr>
      </w:pPr>
      <w:r>
        <w:rPr/>
        <w:br w:type="column"/>
      </w:r>
      <w:r>
        <w:rPr>
          <w:rFonts w:ascii="宋体"/>
          <w:sz w:val="26"/>
        </w:rPr>
      </w:r>
    </w:p>
    <w:p>
      <w:pPr>
        <w:tabs>
          <w:tab w:pos="1286" w:val="left" w:leader="none"/>
        </w:tabs>
        <w:spacing w:before="0"/>
        <w:ind w:left="340" w:right="0" w:firstLine="0"/>
        <w:jc w:val="left"/>
        <w:rPr>
          <w:rFonts w:ascii="宋体" w:hAnsi="宋体" w:cs="宋体" w:eastAsia="宋体" w:hint="default"/>
          <w:sz w:val="21"/>
          <w:szCs w:val="21"/>
        </w:rPr>
      </w:pPr>
      <w:r>
        <w:rPr>
          <w:rFonts w:ascii="宋体" w:hAnsi="宋体" w:cs="宋体" w:eastAsia="宋体" w:hint="default"/>
          <w:sz w:val="21"/>
          <w:szCs w:val="21"/>
        </w:rPr>
        <w:t>单位:元</w:t>
        <w:tab/>
        <w:t>币种:人民币</w:t>
      </w:r>
    </w:p>
    <w:p>
      <w:pPr>
        <w:spacing w:after="0"/>
        <w:jc w:val="left"/>
        <w:rPr>
          <w:rFonts w:ascii="宋体" w:hAnsi="宋体" w:cs="宋体" w:eastAsia="宋体" w:hint="default"/>
          <w:sz w:val="21"/>
          <w:szCs w:val="21"/>
        </w:rPr>
        <w:sectPr>
          <w:type w:val="continuous"/>
          <w:pgSz w:w="11910" w:h="16840"/>
          <w:pgMar w:top="1600" w:bottom="280" w:left="1020" w:right="860"/>
          <w:cols w:num="2" w:equalWidth="0">
            <w:col w:w="2501" w:space="4641"/>
            <w:col w:w="2888"/>
          </w:cols>
        </w:sectPr>
      </w:pPr>
    </w:p>
    <w:p>
      <w:pPr>
        <w:spacing w:line="240" w:lineRule="auto" w:before="7"/>
        <w:rPr>
          <w:rFonts w:ascii="宋体" w:hAnsi="宋体" w:cs="宋体" w:eastAsia="宋体" w:hint="default"/>
          <w:sz w:val="2"/>
          <w:szCs w:val="2"/>
        </w:rPr>
      </w:pPr>
    </w:p>
    <w:tbl>
      <w:tblPr>
        <w:tblW w:w="0" w:type="auto"/>
        <w:jc w:val="left"/>
        <w:tblInd w:w="325" w:type="dxa"/>
        <w:tblLayout w:type="fixed"/>
        <w:tblCellMar>
          <w:top w:w="0" w:type="dxa"/>
          <w:left w:w="0" w:type="dxa"/>
          <w:bottom w:w="0" w:type="dxa"/>
          <w:right w:w="0" w:type="dxa"/>
        </w:tblCellMar>
        <w:tblLook w:val="01E0"/>
      </w:tblPr>
      <w:tblGrid>
        <w:gridCol w:w="4134"/>
        <w:gridCol w:w="5166"/>
      </w:tblGrid>
      <w:tr>
        <w:trPr>
          <w:trHeight w:val="287"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报告期内实际投资额</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419,127,232</w:t>
            </w:r>
            <w:r>
              <w:rPr>
                <w:rFonts w:ascii="宋体"/>
                <w:sz w:val="21"/>
              </w:rPr>
            </w:r>
          </w:p>
        </w:tc>
      </w:tr>
      <w:tr>
        <w:trPr>
          <w:trHeight w:val="287"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投资额增减变动数</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-103,145,230</w:t>
            </w:r>
            <w:r>
              <w:rPr>
                <w:rFonts w:ascii="宋体"/>
                <w:sz w:val="21"/>
              </w:rPr>
            </w:r>
          </w:p>
        </w:tc>
      </w:tr>
      <w:tr>
        <w:trPr>
          <w:trHeight w:val="288"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上年同期投资额</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522,272,462</w:t>
            </w:r>
            <w:r>
              <w:rPr>
                <w:rFonts w:ascii="宋体"/>
                <w:sz w:val="21"/>
              </w:rPr>
            </w:r>
          </w:p>
        </w:tc>
      </w:tr>
      <w:tr>
        <w:trPr>
          <w:trHeight w:val="288"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投资额增减幅度（%）</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宋体" w:hAnsi="宋体" w:cs="宋体" w:eastAsia="宋体" w:hint="default"/>
                <w:sz w:val="21"/>
                <w:szCs w:val="21"/>
              </w:rPr>
            </w:pPr>
            <w:r>
              <w:rPr>
                <w:rFonts w:ascii="宋体"/>
                <w:sz w:val="21"/>
              </w:rPr>
              <w:t>-19.7%</w:t>
            </w:r>
          </w:p>
        </w:tc>
      </w:tr>
    </w:tbl>
    <w:p>
      <w:pPr>
        <w:spacing w:line="240" w:lineRule="auto" w:before="11"/>
        <w:rPr>
          <w:rFonts w:ascii="宋体" w:hAnsi="宋体" w:cs="宋体" w:eastAsia="宋体" w:hint="default"/>
          <w:sz w:val="15"/>
          <w:szCs w:val="15"/>
        </w:rPr>
      </w:pPr>
    </w:p>
    <w:p>
      <w:pPr>
        <w:pStyle w:val="BodyText"/>
        <w:spacing w:line="240" w:lineRule="auto" w:before="26"/>
        <w:ind w:left="340" w:right="1984"/>
        <w:jc w:val="left"/>
      </w:pPr>
      <w:r>
        <w:rPr/>
        <w:t>1、被投资公司情况：</w:t>
      </w:r>
    </w:p>
    <w:p>
      <w:pPr>
        <w:spacing w:line="240" w:lineRule="auto" w:before="10"/>
        <w:rPr>
          <w:rFonts w:ascii="宋体" w:hAnsi="宋体" w:cs="宋体" w:eastAsia="宋体" w:hint="default"/>
          <w:sz w:val="2"/>
          <w:szCs w:val="2"/>
        </w:rPr>
      </w:pPr>
    </w:p>
    <w:tbl>
      <w:tblPr>
        <w:tblW w:w="0" w:type="auto"/>
        <w:jc w:val="left"/>
        <w:tblInd w:w="108" w:type="dxa"/>
        <w:tblLayout w:type="fixed"/>
        <w:tblCellMar>
          <w:top w:w="0" w:type="dxa"/>
          <w:left w:w="0" w:type="dxa"/>
          <w:bottom w:w="0" w:type="dxa"/>
          <w:right w:w="0" w:type="dxa"/>
        </w:tblCellMar>
        <w:tblLook w:val="01E0"/>
      </w:tblPr>
      <w:tblGrid>
        <w:gridCol w:w="3320"/>
        <w:gridCol w:w="3526"/>
        <w:gridCol w:w="991"/>
        <w:gridCol w:w="1856"/>
      </w:tblGrid>
      <w:tr>
        <w:trPr>
          <w:trHeight w:val="1104" w:hRule="exact"/>
        </w:trPr>
        <w:tc>
          <w:tcPr>
            <w:tcW w:w="3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810" w:right="0"/>
              <w:jc w:val="left"/>
              <w:rPr>
                <w:rFonts w:ascii="宋体" w:hAnsi="宋体" w:cs="宋体" w:eastAsia="宋体" w:hint="default"/>
                <w:sz w:val="21"/>
                <w:szCs w:val="21"/>
              </w:rPr>
            </w:pPr>
            <w:r>
              <w:rPr>
                <w:rFonts w:ascii="宋体" w:hAnsi="宋体" w:cs="宋体" w:eastAsia="宋体" w:hint="default"/>
                <w:b/>
                <w:bCs/>
                <w:sz w:val="21"/>
                <w:szCs w:val="21"/>
              </w:rPr>
              <w:t>被投资的公司名称</w:t>
            </w:r>
            <w:r>
              <w:rPr>
                <w:rFonts w:ascii="宋体" w:hAnsi="宋体" w:cs="宋体" w:eastAsia="宋体" w:hint="default"/>
                <w:sz w:val="21"/>
                <w:szCs w:val="21"/>
              </w:rPr>
            </w:r>
          </w:p>
        </w:tc>
        <w:tc>
          <w:tcPr>
            <w:tcW w:w="3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121" w:right="0"/>
              <w:jc w:val="left"/>
              <w:rPr>
                <w:rFonts w:ascii="宋体" w:hAnsi="宋体" w:cs="宋体" w:eastAsia="宋体" w:hint="default"/>
                <w:sz w:val="21"/>
                <w:szCs w:val="21"/>
              </w:rPr>
            </w:pPr>
            <w:r>
              <w:rPr>
                <w:rFonts w:ascii="宋体" w:hAnsi="宋体" w:cs="宋体" w:eastAsia="宋体" w:hint="default"/>
                <w:b/>
                <w:bCs/>
                <w:sz w:val="21"/>
                <w:szCs w:val="21"/>
              </w:rPr>
              <w:t>主要经营活动</w:t>
            </w:r>
            <w:r>
              <w:rPr>
                <w:rFonts w:ascii="宋体" w:hAnsi="宋体" w:cs="宋体" w:eastAsia="宋体" w:hint="default"/>
                <w:sz w:val="21"/>
                <w:szCs w:val="21"/>
              </w:rPr>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71" w:right="0"/>
              <w:jc w:val="both"/>
              <w:rPr>
                <w:rFonts w:ascii="宋体" w:hAnsi="宋体" w:cs="宋体" w:eastAsia="宋体" w:hint="default"/>
                <w:sz w:val="21"/>
                <w:szCs w:val="21"/>
              </w:rPr>
            </w:pPr>
            <w:r>
              <w:rPr>
                <w:rFonts w:ascii="宋体" w:hAnsi="宋体" w:cs="宋体" w:eastAsia="宋体" w:hint="default"/>
                <w:b/>
                <w:bCs/>
                <w:sz w:val="21"/>
                <w:szCs w:val="21"/>
              </w:rPr>
              <w:t>占被投</w:t>
            </w:r>
            <w:r>
              <w:rPr>
                <w:rFonts w:ascii="宋体" w:hAnsi="宋体" w:cs="宋体" w:eastAsia="宋体" w:hint="default"/>
                <w:sz w:val="21"/>
                <w:szCs w:val="21"/>
              </w:rPr>
            </w:r>
          </w:p>
          <w:p>
            <w:pPr>
              <w:pStyle w:val="TableParagraph"/>
              <w:spacing w:line="272" w:lineRule="exact" w:before="26"/>
              <w:ind w:left="171" w:right="169"/>
              <w:jc w:val="both"/>
              <w:rPr>
                <w:rFonts w:ascii="宋体" w:hAnsi="宋体" w:cs="宋体" w:eastAsia="宋体" w:hint="default"/>
                <w:sz w:val="21"/>
                <w:szCs w:val="21"/>
              </w:rPr>
            </w:pPr>
            <w:r>
              <w:rPr>
                <w:rFonts w:ascii="宋体" w:hAnsi="宋体" w:cs="宋体" w:eastAsia="宋体" w:hint="default"/>
                <w:b/>
                <w:bCs/>
                <w:sz w:val="21"/>
                <w:szCs w:val="21"/>
              </w:rPr>
              <w:t>资公司</w:t>
            </w:r>
            <w:r>
              <w:rPr>
                <w:rFonts w:ascii="宋体" w:hAnsi="宋体" w:cs="宋体" w:eastAsia="宋体" w:hint="default"/>
                <w:b/>
                <w:bCs/>
                <w:spacing w:val="1"/>
                <w:w w:val="99"/>
                <w:sz w:val="21"/>
                <w:szCs w:val="21"/>
              </w:rPr>
              <w:t> </w:t>
            </w:r>
            <w:r>
              <w:rPr>
                <w:rFonts w:ascii="宋体" w:hAnsi="宋体" w:cs="宋体" w:eastAsia="宋体" w:hint="default"/>
                <w:b/>
                <w:bCs/>
                <w:sz w:val="21"/>
                <w:szCs w:val="21"/>
              </w:rPr>
              <w:t>权益的</w:t>
            </w:r>
            <w:r>
              <w:rPr>
                <w:rFonts w:ascii="宋体" w:hAnsi="宋体" w:cs="宋体" w:eastAsia="宋体" w:hint="default"/>
                <w:b/>
                <w:bCs/>
                <w:spacing w:val="1"/>
                <w:w w:val="99"/>
                <w:sz w:val="21"/>
                <w:szCs w:val="21"/>
              </w:rPr>
              <w:t> </w:t>
            </w:r>
            <w:r>
              <w:rPr>
                <w:rFonts w:ascii="宋体" w:hAnsi="宋体" w:cs="宋体" w:eastAsia="宋体" w:hint="default"/>
                <w:b/>
                <w:bCs/>
                <w:sz w:val="21"/>
                <w:szCs w:val="21"/>
              </w:rPr>
              <w:t>比例</w:t>
            </w:r>
            <w:r>
              <w:rPr>
                <w:rFonts w:ascii="宋体" w:hAnsi="宋体" w:cs="宋体" w:eastAsia="宋体" w:hint="default"/>
                <w:sz w:val="21"/>
                <w:szCs w:val="21"/>
              </w:rPr>
            </w:r>
          </w:p>
        </w:tc>
        <w:tc>
          <w:tcPr>
            <w:tcW w:w="1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b/>
                <w:bCs/>
                <w:sz w:val="21"/>
                <w:szCs w:val="21"/>
              </w:rPr>
              <w:t>备注</w:t>
            </w:r>
            <w:r>
              <w:rPr>
                <w:rFonts w:ascii="宋体" w:hAnsi="宋体" w:cs="宋体" w:eastAsia="宋体" w:hint="default"/>
                <w:sz w:val="21"/>
                <w:szCs w:val="21"/>
              </w:rPr>
            </w:r>
          </w:p>
        </w:tc>
      </w:tr>
      <w:tr>
        <w:trPr>
          <w:trHeight w:val="275" w:hRule="exact"/>
        </w:trPr>
        <w:tc>
          <w:tcPr>
            <w:tcW w:w="332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杭州东软软件有限公司</w:t>
            </w:r>
          </w:p>
        </w:tc>
        <w:tc>
          <w:tcPr>
            <w:tcW w:w="352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计算机软硬件、技术咨询、服务</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285"/>
              <w:jc w:val="right"/>
              <w:rPr>
                <w:rFonts w:ascii="宋体" w:hAnsi="宋体" w:cs="宋体" w:eastAsia="宋体" w:hint="default"/>
                <w:sz w:val="20"/>
                <w:szCs w:val="20"/>
              </w:rPr>
            </w:pPr>
            <w:r>
              <w:rPr>
                <w:rFonts w:ascii="宋体"/>
                <w:sz w:val="20"/>
              </w:rPr>
              <w:t>100%</w:t>
            </w:r>
          </w:p>
        </w:tc>
        <w:tc>
          <w:tcPr>
            <w:tcW w:w="18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新设立全资子公司</w:t>
            </w:r>
          </w:p>
        </w:tc>
      </w:tr>
      <w:tr>
        <w:trPr>
          <w:trHeight w:val="272" w:hRule="exact"/>
        </w:trPr>
        <w:tc>
          <w:tcPr>
            <w:tcW w:w="3320" w:type="dxa"/>
            <w:tcBorders>
              <w:top w:val="single" w:sz="6" w:space="0" w:color="000000"/>
              <w:left w:val="single" w:sz="6" w:space="0" w:color="000000"/>
              <w:bottom w:val="single" w:sz="4"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东软（欧洲）有限公司</w:t>
            </w:r>
          </w:p>
        </w:tc>
        <w:tc>
          <w:tcPr>
            <w:tcW w:w="3526" w:type="dxa"/>
            <w:tcBorders>
              <w:top w:val="single" w:sz="6" w:space="0" w:color="000000"/>
              <w:left w:val="single" w:sz="6" w:space="0" w:color="000000"/>
              <w:bottom w:val="single" w:sz="4"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计算机软硬件，技术咨询、服务等</w:t>
            </w:r>
          </w:p>
        </w:tc>
        <w:tc>
          <w:tcPr>
            <w:tcW w:w="991" w:type="dxa"/>
            <w:tcBorders>
              <w:top w:val="single" w:sz="6" w:space="0" w:color="000000"/>
              <w:left w:val="single" w:sz="6" w:space="0" w:color="000000"/>
              <w:bottom w:val="single" w:sz="4" w:space="0" w:color="000000"/>
              <w:right w:val="single" w:sz="6" w:space="0" w:color="000000"/>
            </w:tcBorders>
          </w:tcPr>
          <w:p>
            <w:pPr>
              <w:pStyle w:val="TableParagraph"/>
              <w:spacing w:line="231" w:lineRule="exact"/>
              <w:ind w:right="285"/>
              <w:jc w:val="right"/>
              <w:rPr>
                <w:rFonts w:ascii="宋体" w:hAnsi="宋体" w:cs="宋体" w:eastAsia="宋体" w:hint="default"/>
                <w:sz w:val="20"/>
                <w:szCs w:val="20"/>
              </w:rPr>
            </w:pPr>
            <w:r>
              <w:rPr>
                <w:rFonts w:ascii="宋体"/>
                <w:sz w:val="20"/>
              </w:rPr>
              <w:t>100%</w:t>
            </w:r>
          </w:p>
        </w:tc>
        <w:tc>
          <w:tcPr>
            <w:tcW w:w="1856" w:type="dxa"/>
            <w:tcBorders>
              <w:top w:val="single" w:sz="6" w:space="0" w:color="000000"/>
              <w:left w:val="single" w:sz="6" w:space="0" w:color="000000"/>
              <w:bottom w:val="single" w:sz="4"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新设立全资子公司</w:t>
            </w:r>
          </w:p>
        </w:tc>
      </w:tr>
      <w:tr>
        <w:trPr>
          <w:trHeight w:val="269" w:hRule="exact"/>
        </w:trPr>
        <w:tc>
          <w:tcPr>
            <w:tcW w:w="3320"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东软科技有限公司</w:t>
            </w:r>
          </w:p>
        </w:tc>
        <w:tc>
          <w:tcPr>
            <w:tcW w:w="352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计算机软硬件，技术咨询、服务</w:t>
            </w:r>
          </w:p>
        </w:tc>
        <w:tc>
          <w:tcPr>
            <w:tcW w:w="991"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right="285"/>
              <w:jc w:val="right"/>
              <w:rPr>
                <w:rFonts w:ascii="宋体" w:hAnsi="宋体" w:cs="宋体" w:eastAsia="宋体" w:hint="default"/>
                <w:sz w:val="20"/>
                <w:szCs w:val="20"/>
              </w:rPr>
            </w:pPr>
            <w:r>
              <w:rPr>
                <w:rFonts w:ascii="宋体"/>
                <w:sz w:val="20"/>
              </w:rPr>
              <w:t>100%</w:t>
            </w:r>
          </w:p>
        </w:tc>
        <w:tc>
          <w:tcPr>
            <w:tcW w:w="185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增加投资</w:t>
            </w:r>
          </w:p>
        </w:tc>
      </w:tr>
      <w:tr>
        <w:trPr>
          <w:trHeight w:val="270" w:hRule="exact"/>
        </w:trPr>
        <w:tc>
          <w:tcPr>
            <w:tcW w:w="3320"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天津东软信息技术服务有限公司</w:t>
            </w:r>
          </w:p>
        </w:tc>
        <w:tc>
          <w:tcPr>
            <w:tcW w:w="352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计算机软硬件，技术咨询</w:t>
            </w:r>
          </w:p>
        </w:tc>
        <w:tc>
          <w:tcPr>
            <w:tcW w:w="991"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right="285"/>
              <w:jc w:val="right"/>
              <w:rPr>
                <w:rFonts w:ascii="宋体" w:hAnsi="宋体" w:cs="宋体" w:eastAsia="宋体" w:hint="default"/>
                <w:sz w:val="20"/>
                <w:szCs w:val="20"/>
              </w:rPr>
            </w:pPr>
            <w:r>
              <w:rPr>
                <w:rFonts w:ascii="宋体"/>
                <w:sz w:val="20"/>
              </w:rPr>
              <w:t>100%</w:t>
            </w:r>
          </w:p>
        </w:tc>
        <w:tc>
          <w:tcPr>
            <w:tcW w:w="185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新设立全资子公司</w:t>
            </w:r>
          </w:p>
        </w:tc>
      </w:tr>
      <w:tr>
        <w:trPr>
          <w:trHeight w:val="269" w:hRule="exact"/>
        </w:trPr>
        <w:tc>
          <w:tcPr>
            <w:tcW w:w="3320"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天津神舟通用数据技术有限公司</w:t>
            </w:r>
          </w:p>
        </w:tc>
        <w:tc>
          <w:tcPr>
            <w:tcW w:w="352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1" w:right="0"/>
              <w:jc w:val="left"/>
              <w:rPr>
                <w:rFonts w:ascii="宋体" w:hAnsi="宋体" w:cs="宋体" w:eastAsia="宋体" w:hint="default"/>
                <w:sz w:val="20"/>
                <w:szCs w:val="20"/>
              </w:rPr>
            </w:pPr>
            <w:r>
              <w:rPr>
                <w:rFonts w:ascii="宋体" w:hAnsi="宋体" w:cs="宋体" w:eastAsia="宋体" w:hint="default"/>
                <w:sz w:val="20"/>
                <w:szCs w:val="20"/>
              </w:rPr>
              <w:t>基础软件</w:t>
            </w:r>
          </w:p>
        </w:tc>
        <w:tc>
          <w:tcPr>
            <w:tcW w:w="991"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right="0"/>
              <w:jc w:val="center"/>
              <w:rPr>
                <w:rFonts w:ascii="宋体" w:hAnsi="宋体" w:cs="宋体" w:eastAsia="宋体" w:hint="default"/>
                <w:sz w:val="20"/>
                <w:szCs w:val="20"/>
              </w:rPr>
            </w:pPr>
            <w:r>
              <w:rPr>
                <w:rFonts w:ascii="宋体"/>
                <w:sz w:val="20"/>
              </w:rPr>
              <w:t>5%</w:t>
            </w:r>
          </w:p>
        </w:tc>
        <w:tc>
          <w:tcPr>
            <w:tcW w:w="185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新设立参股公司</w:t>
            </w:r>
          </w:p>
        </w:tc>
      </w:tr>
      <w:tr>
        <w:trPr>
          <w:trHeight w:val="529" w:hRule="exact"/>
        </w:trPr>
        <w:tc>
          <w:tcPr>
            <w:tcW w:w="3320"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97"/>
              <w:ind w:left="100" w:right="0"/>
              <w:jc w:val="left"/>
              <w:rPr>
                <w:rFonts w:ascii="宋体" w:hAnsi="宋体" w:cs="宋体" w:eastAsia="宋体" w:hint="default"/>
                <w:sz w:val="20"/>
                <w:szCs w:val="20"/>
              </w:rPr>
            </w:pPr>
            <w:r>
              <w:rPr>
                <w:rFonts w:ascii="宋体" w:hAnsi="宋体" w:cs="宋体" w:eastAsia="宋体" w:hint="default"/>
                <w:sz w:val="20"/>
                <w:szCs w:val="20"/>
              </w:rPr>
              <w:t>深圳市东软移动终端设计有限公司</w:t>
            </w:r>
          </w:p>
        </w:tc>
        <w:tc>
          <w:tcPr>
            <w:tcW w:w="3526" w:type="dxa"/>
            <w:tcBorders>
              <w:top w:val="single" w:sz="4" w:space="0" w:color="000000"/>
              <w:left w:val="single" w:sz="6" w:space="0" w:color="000000"/>
              <w:bottom w:val="single" w:sz="4" w:space="0" w:color="000000"/>
              <w:right w:val="single" w:sz="6" w:space="0" w:color="000000"/>
            </w:tcBorders>
          </w:tcPr>
          <w:p>
            <w:pPr>
              <w:pStyle w:val="TableParagraph"/>
              <w:spacing w:line="228" w:lineRule="exact"/>
              <w:ind w:left="100" w:right="-1"/>
              <w:jc w:val="left"/>
              <w:rPr>
                <w:rFonts w:ascii="宋体" w:hAnsi="宋体" w:cs="宋体" w:eastAsia="宋体" w:hint="default"/>
                <w:sz w:val="20"/>
                <w:szCs w:val="20"/>
              </w:rPr>
            </w:pPr>
            <w:r>
              <w:rPr>
                <w:rFonts w:ascii="宋体" w:hAnsi="宋体" w:cs="宋体" w:eastAsia="宋体" w:hint="default"/>
                <w:spacing w:val="-12"/>
                <w:sz w:val="20"/>
                <w:szCs w:val="20"/>
              </w:rPr>
              <w:t>电子产品技术开发、销售、咨询、销售；</w:t>
            </w:r>
          </w:p>
          <w:p>
            <w:pPr>
              <w:pStyle w:val="TableParagraph"/>
              <w:spacing w:line="260" w:lineRule="exact"/>
              <w:ind w:left="101" w:right="0"/>
              <w:jc w:val="left"/>
              <w:rPr>
                <w:rFonts w:ascii="宋体" w:hAnsi="宋体" w:cs="宋体" w:eastAsia="宋体" w:hint="default"/>
                <w:sz w:val="20"/>
                <w:szCs w:val="20"/>
              </w:rPr>
            </w:pPr>
            <w:r>
              <w:rPr>
                <w:rFonts w:ascii="宋体" w:hAnsi="宋体" w:cs="宋体" w:eastAsia="宋体" w:hint="default"/>
                <w:sz w:val="20"/>
                <w:szCs w:val="20"/>
              </w:rPr>
              <w:t>商务信息咨询</w:t>
            </w:r>
          </w:p>
        </w:tc>
        <w:tc>
          <w:tcPr>
            <w:tcW w:w="991"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97"/>
              <w:ind w:right="336"/>
              <w:jc w:val="right"/>
              <w:rPr>
                <w:rFonts w:ascii="宋体" w:hAnsi="宋体" w:cs="宋体" w:eastAsia="宋体" w:hint="default"/>
                <w:sz w:val="20"/>
                <w:szCs w:val="20"/>
              </w:rPr>
            </w:pPr>
            <w:r>
              <w:rPr>
                <w:rFonts w:ascii="宋体"/>
                <w:sz w:val="20"/>
              </w:rPr>
              <w:t>70%</w:t>
            </w:r>
          </w:p>
        </w:tc>
        <w:tc>
          <w:tcPr>
            <w:tcW w:w="1856"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97"/>
              <w:ind w:left="100" w:right="0"/>
              <w:jc w:val="left"/>
              <w:rPr>
                <w:rFonts w:ascii="宋体" w:hAnsi="宋体" w:cs="宋体" w:eastAsia="宋体" w:hint="default"/>
                <w:sz w:val="20"/>
                <w:szCs w:val="20"/>
              </w:rPr>
            </w:pPr>
            <w:r>
              <w:rPr>
                <w:rFonts w:ascii="宋体" w:hAnsi="宋体" w:cs="宋体" w:eastAsia="宋体" w:hint="default"/>
                <w:sz w:val="20"/>
                <w:szCs w:val="20"/>
              </w:rPr>
              <w:t>新设立控股子公司</w:t>
            </w:r>
          </w:p>
        </w:tc>
      </w:tr>
      <w:tr>
        <w:trPr>
          <w:trHeight w:val="269" w:hRule="exact"/>
        </w:trPr>
        <w:tc>
          <w:tcPr>
            <w:tcW w:w="3320"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北京东软越通技术有限公司</w:t>
            </w:r>
          </w:p>
        </w:tc>
        <w:tc>
          <w:tcPr>
            <w:tcW w:w="352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1" w:right="0"/>
              <w:jc w:val="left"/>
              <w:rPr>
                <w:rFonts w:ascii="宋体" w:hAnsi="宋体" w:cs="宋体" w:eastAsia="宋体" w:hint="default"/>
                <w:sz w:val="20"/>
                <w:szCs w:val="20"/>
              </w:rPr>
            </w:pPr>
            <w:r>
              <w:rPr>
                <w:rFonts w:ascii="宋体" w:hAnsi="宋体" w:cs="宋体" w:eastAsia="宋体" w:hint="default"/>
                <w:sz w:val="20"/>
                <w:szCs w:val="20"/>
              </w:rPr>
              <w:t>计算机软、硬件以及服务</w:t>
            </w:r>
          </w:p>
        </w:tc>
        <w:tc>
          <w:tcPr>
            <w:tcW w:w="991"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right="335"/>
              <w:jc w:val="right"/>
              <w:rPr>
                <w:rFonts w:ascii="宋体" w:hAnsi="宋体" w:cs="宋体" w:eastAsia="宋体" w:hint="default"/>
                <w:sz w:val="20"/>
                <w:szCs w:val="20"/>
              </w:rPr>
            </w:pPr>
            <w:r>
              <w:rPr>
                <w:rFonts w:ascii="宋体"/>
                <w:sz w:val="20"/>
              </w:rPr>
              <w:t>70%</w:t>
            </w:r>
          </w:p>
        </w:tc>
        <w:tc>
          <w:tcPr>
            <w:tcW w:w="185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1" w:right="0"/>
              <w:jc w:val="left"/>
              <w:rPr>
                <w:rFonts w:ascii="宋体" w:hAnsi="宋体" w:cs="宋体" w:eastAsia="宋体" w:hint="default"/>
                <w:sz w:val="20"/>
                <w:szCs w:val="20"/>
              </w:rPr>
            </w:pPr>
            <w:r>
              <w:rPr>
                <w:rFonts w:ascii="宋体" w:hAnsi="宋体" w:cs="宋体" w:eastAsia="宋体" w:hint="default"/>
                <w:sz w:val="20"/>
                <w:szCs w:val="20"/>
              </w:rPr>
              <w:t>新设立控股子公司</w:t>
            </w:r>
          </w:p>
        </w:tc>
      </w:tr>
      <w:tr>
        <w:trPr>
          <w:trHeight w:val="270" w:hRule="exact"/>
        </w:trPr>
        <w:tc>
          <w:tcPr>
            <w:tcW w:w="3320"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北京英博睿智咨询有限公司</w:t>
            </w:r>
          </w:p>
        </w:tc>
        <w:tc>
          <w:tcPr>
            <w:tcW w:w="352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招聘外包、提供猎头服务</w:t>
            </w:r>
          </w:p>
        </w:tc>
        <w:tc>
          <w:tcPr>
            <w:tcW w:w="991"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right="285"/>
              <w:jc w:val="right"/>
              <w:rPr>
                <w:rFonts w:ascii="宋体" w:hAnsi="宋体" w:cs="宋体" w:eastAsia="宋体" w:hint="default"/>
                <w:sz w:val="20"/>
                <w:szCs w:val="20"/>
              </w:rPr>
            </w:pPr>
            <w:r>
              <w:rPr>
                <w:rFonts w:ascii="宋体"/>
                <w:sz w:val="20"/>
              </w:rPr>
              <w:t>100%</w:t>
            </w:r>
          </w:p>
        </w:tc>
        <w:tc>
          <w:tcPr>
            <w:tcW w:w="185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新设立全资子公司</w:t>
            </w:r>
          </w:p>
        </w:tc>
      </w:tr>
      <w:tr>
        <w:trPr>
          <w:trHeight w:val="269" w:hRule="exact"/>
        </w:trPr>
        <w:tc>
          <w:tcPr>
            <w:tcW w:w="3320"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11"/>
              <w:ind w:left="100" w:right="0"/>
              <w:jc w:val="left"/>
              <w:rPr>
                <w:rFonts w:ascii="Arial" w:hAnsi="Arial" w:cs="Arial" w:eastAsia="Arial" w:hint="default"/>
                <w:sz w:val="20"/>
                <w:szCs w:val="20"/>
              </w:rPr>
            </w:pPr>
            <w:r>
              <w:rPr>
                <w:rFonts w:ascii="Arial"/>
                <w:sz w:val="20"/>
              </w:rPr>
              <w:t>Almitas</w:t>
            </w:r>
            <w:r>
              <w:rPr>
                <w:rFonts w:ascii="Arial"/>
                <w:spacing w:val="-7"/>
                <w:sz w:val="20"/>
              </w:rPr>
              <w:t> </w:t>
            </w:r>
            <w:r>
              <w:rPr>
                <w:rFonts w:ascii="Arial"/>
                <w:sz w:val="20"/>
              </w:rPr>
              <w:t>Oy</w:t>
            </w:r>
          </w:p>
        </w:tc>
        <w:tc>
          <w:tcPr>
            <w:tcW w:w="352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移动通信软件开发服务</w:t>
            </w:r>
          </w:p>
        </w:tc>
        <w:tc>
          <w:tcPr>
            <w:tcW w:w="991"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right="285"/>
              <w:jc w:val="right"/>
              <w:rPr>
                <w:rFonts w:ascii="宋体" w:hAnsi="宋体" w:cs="宋体" w:eastAsia="宋体" w:hint="default"/>
                <w:sz w:val="20"/>
                <w:szCs w:val="20"/>
              </w:rPr>
            </w:pPr>
            <w:r>
              <w:rPr>
                <w:rFonts w:ascii="宋体"/>
                <w:sz w:val="20"/>
              </w:rPr>
              <w:t>100%</w:t>
            </w:r>
          </w:p>
        </w:tc>
        <w:tc>
          <w:tcPr>
            <w:tcW w:w="185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收购兼并</w:t>
            </w:r>
          </w:p>
        </w:tc>
      </w:tr>
      <w:tr>
        <w:trPr>
          <w:trHeight w:val="270" w:hRule="exact"/>
        </w:trPr>
        <w:tc>
          <w:tcPr>
            <w:tcW w:w="3320"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11"/>
              <w:ind w:left="100" w:right="0"/>
              <w:jc w:val="left"/>
              <w:rPr>
                <w:rFonts w:ascii="Arial" w:hAnsi="Arial" w:cs="Arial" w:eastAsia="Arial" w:hint="default"/>
                <w:sz w:val="20"/>
                <w:szCs w:val="20"/>
              </w:rPr>
            </w:pPr>
            <w:r>
              <w:rPr>
                <w:rFonts w:ascii="Arial"/>
                <w:sz w:val="20"/>
              </w:rPr>
              <w:t>Neusoft Mobile Solutions</w:t>
            </w:r>
            <w:r>
              <w:rPr>
                <w:rFonts w:ascii="Arial"/>
                <w:spacing w:val="-21"/>
                <w:sz w:val="20"/>
              </w:rPr>
              <w:t> </w:t>
            </w:r>
            <w:r>
              <w:rPr>
                <w:rFonts w:ascii="Arial"/>
                <w:sz w:val="20"/>
              </w:rPr>
              <w:t>Oy</w:t>
            </w:r>
          </w:p>
        </w:tc>
        <w:tc>
          <w:tcPr>
            <w:tcW w:w="352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智能手机软件开发服务</w:t>
            </w:r>
          </w:p>
        </w:tc>
        <w:tc>
          <w:tcPr>
            <w:tcW w:w="991"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right="285"/>
              <w:jc w:val="right"/>
              <w:rPr>
                <w:rFonts w:ascii="宋体" w:hAnsi="宋体" w:cs="宋体" w:eastAsia="宋体" w:hint="default"/>
                <w:sz w:val="20"/>
                <w:szCs w:val="20"/>
              </w:rPr>
            </w:pPr>
            <w:r>
              <w:rPr>
                <w:rFonts w:ascii="宋体"/>
                <w:sz w:val="20"/>
              </w:rPr>
              <w:t>100%</w:t>
            </w:r>
          </w:p>
        </w:tc>
        <w:tc>
          <w:tcPr>
            <w:tcW w:w="185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收购兼并</w:t>
            </w:r>
          </w:p>
        </w:tc>
      </w:tr>
      <w:tr>
        <w:trPr>
          <w:trHeight w:val="269" w:hRule="exact"/>
        </w:trPr>
        <w:tc>
          <w:tcPr>
            <w:tcW w:w="3320"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11"/>
              <w:ind w:left="100" w:right="0"/>
              <w:jc w:val="left"/>
              <w:rPr>
                <w:rFonts w:ascii="Arial" w:hAnsi="Arial" w:cs="Arial" w:eastAsia="Arial" w:hint="default"/>
                <w:sz w:val="20"/>
                <w:szCs w:val="20"/>
              </w:rPr>
            </w:pPr>
            <w:r>
              <w:rPr>
                <w:rFonts w:ascii="Arial"/>
                <w:sz w:val="20"/>
              </w:rPr>
              <w:t>Neusoft Mobile Solutions</w:t>
            </w:r>
            <w:r>
              <w:rPr>
                <w:rFonts w:ascii="Arial"/>
                <w:spacing w:val="-21"/>
                <w:sz w:val="20"/>
              </w:rPr>
              <w:t> </w:t>
            </w:r>
            <w:r>
              <w:rPr>
                <w:rFonts w:ascii="Arial"/>
                <w:sz w:val="20"/>
              </w:rPr>
              <w:t>SRL</w:t>
            </w:r>
          </w:p>
        </w:tc>
        <w:tc>
          <w:tcPr>
            <w:tcW w:w="352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智能手机软件开发、测试</w:t>
            </w:r>
          </w:p>
        </w:tc>
        <w:tc>
          <w:tcPr>
            <w:tcW w:w="991"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right="285"/>
              <w:jc w:val="right"/>
              <w:rPr>
                <w:rFonts w:ascii="宋体" w:hAnsi="宋体" w:cs="宋体" w:eastAsia="宋体" w:hint="default"/>
                <w:sz w:val="20"/>
                <w:szCs w:val="20"/>
              </w:rPr>
            </w:pPr>
            <w:r>
              <w:rPr>
                <w:rFonts w:ascii="宋体"/>
                <w:sz w:val="20"/>
              </w:rPr>
              <w:t>100%</w:t>
            </w:r>
          </w:p>
        </w:tc>
        <w:tc>
          <w:tcPr>
            <w:tcW w:w="185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收购兼并</w:t>
            </w:r>
          </w:p>
        </w:tc>
      </w:tr>
      <w:tr>
        <w:trPr>
          <w:trHeight w:val="270" w:hRule="exact"/>
        </w:trPr>
        <w:tc>
          <w:tcPr>
            <w:tcW w:w="3320"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大连东软商业流程咨询有限公司</w:t>
            </w:r>
          </w:p>
        </w:tc>
        <w:tc>
          <w:tcPr>
            <w:tcW w:w="352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计算机软、硬件</w:t>
            </w:r>
          </w:p>
        </w:tc>
        <w:tc>
          <w:tcPr>
            <w:tcW w:w="991"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right="285"/>
              <w:jc w:val="right"/>
              <w:rPr>
                <w:rFonts w:ascii="宋体" w:hAnsi="宋体" w:cs="宋体" w:eastAsia="宋体" w:hint="default"/>
                <w:sz w:val="20"/>
                <w:szCs w:val="20"/>
              </w:rPr>
            </w:pPr>
            <w:r>
              <w:rPr>
                <w:rFonts w:ascii="宋体"/>
                <w:sz w:val="20"/>
              </w:rPr>
              <w:t>100%</w:t>
            </w:r>
          </w:p>
        </w:tc>
        <w:tc>
          <w:tcPr>
            <w:tcW w:w="1856" w:type="dxa"/>
            <w:tcBorders>
              <w:top w:val="single" w:sz="4" w:space="0" w:color="000000"/>
              <w:left w:val="single" w:sz="6" w:space="0" w:color="000000"/>
              <w:bottom w:val="single" w:sz="4"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新设立全资子公司</w:t>
            </w:r>
          </w:p>
        </w:tc>
      </w:tr>
      <w:tr>
        <w:trPr>
          <w:trHeight w:val="271" w:hRule="exact"/>
        </w:trPr>
        <w:tc>
          <w:tcPr>
            <w:tcW w:w="3320" w:type="dxa"/>
            <w:tcBorders>
              <w:top w:val="single" w:sz="4"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北京源越通软件技术有限公司</w:t>
            </w:r>
          </w:p>
        </w:tc>
        <w:tc>
          <w:tcPr>
            <w:tcW w:w="3526" w:type="dxa"/>
            <w:tcBorders>
              <w:top w:val="single" w:sz="4" w:space="0" w:color="000000"/>
              <w:left w:val="single" w:sz="6" w:space="0" w:color="000000"/>
              <w:bottom w:val="single" w:sz="6" w:space="0" w:color="000000"/>
              <w:right w:val="single" w:sz="6" w:space="0" w:color="000000"/>
            </w:tcBorders>
          </w:tcPr>
          <w:p>
            <w:pPr>
              <w:pStyle w:val="TableParagraph"/>
              <w:spacing w:line="230" w:lineRule="exact"/>
              <w:ind w:left="101" w:right="0"/>
              <w:jc w:val="left"/>
              <w:rPr>
                <w:rFonts w:ascii="宋体" w:hAnsi="宋体" w:cs="宋体" w:eastAsia="宋体" w:hint="default"/>
                <w:sz w:val="20"/>
                <w:szCs w:val="20"/>
              </w:rPr>
            </w:pPr>
            <w:r>
              <w:rPr>
                <w:rFonts w:ascii="宋体" w:hAnsi="宋体" w:cs="宋体" w:eastAsia="宋体" w:hint="default"/>
                <w:sz w:val="20"/>
                <w:szCs w:val="20"/>
              </w:rPr>
              <w:t>计算机软件开发以及服务</w:t>
            </w:r>
          </w:p>
        </w:tc>
        <w:tc>
          <w:tcPr>
            <w:tcW w:w="991" w:type="dxa"/>
            <w:tcBorders>
              <w:top w:val="single" w:sz="4" w:space="0" w:color="000000"/>
              <w:left w:val="single" w:sz="6" w:space="0" w:color="000000"/>
              <w:bottom w:val="single" w:sz="6" w:space="0" w:color="000000"/>
              <w:right w:val="single" w:sz="6" w:space="0" w:color="000000"/>
            </w:tcBorders>
          </w:tcPr>
          <w:p>
            <w:pPr>
              <w:pStyle w:val="TableParagraph"/>
              <w:spacing w:line="230" w:lineRule="exact"/>
              <w:ind w:right="335"/>
              <w:jc w:val="right"/>
              <w:rPr>
                <w:rFonts w:ascii="宋体" w:hAnsi="宋体" w:cs="宋体" w:eastAsia="宋体" w:hint="default"/>
                <w:sz w:val="20"/>
                <w:szCs w:val="20"/>
              </w:rPr>
            </w:pPr>
            <w:r>
              <w:rPr>
                <w:rFonts w:ascii="宋体"/>
                <w:sz w:val="20"/>
              </w:rPr>
              <w:t>74%</w:t>
            </w:r>
          </w:p>
        </w:tc>
        <w:tc>
          <w:tcPr>
            <w:tcW w:w="1856" w:type="dxa"/>
            <w:tcBorders>
              <w:top w:val="single" w:sz="4" w:space="0" w:color="000000"/>
              <w:left w:val="single" w:sz="6" w:space="0" w:color="000000"/>
              <w:bottom w:val="single" w:sz="6" w:space="0" w:color="000000"/>
              <w:right w:val="single" w:sz="6" w:space="0" w:color="000000"/>
            </w:tcBorders>
          </w:tcPr>
          <w:p>
            <w:pPr>
              <w:pStyle w:val="TableParagraph"/>
              <w:spacing w:line="230" w:lineRule="exact"/>
              <w:ind w:left="101" w:right="0"/>
              <w:jc w:val="left"/>
              <w:rPr>
                <w:rFonts w:ascii="宋体" w:hAnsi="宋体" w:cs="宋体" w:eastAsia="宋体" w:hint="default"/>
                <w:sz w:val="20"/>
                <w:szCs w:val="20"/>
              </w:rPr>
            </w:pPr>
            <w:r>
              <w:rPr>
                <w:rFonts w:ascii="宋体" w:hAnsi="宋体" w:cs="宋体" w:eastAsia="宋体" w:hint="default"/>
                <w:sz w:val="20"/>
                <w:szCs w:val="20"/>
              </w:rPr>
              <w:t>收购兼并</w:t>
            </w:r>
          </w:p>
        </w:tc>
      </w:tr>
      <w:tr>
        <w:trPr>
          <w:trHeight w:val="275" w:hRule="exact"/>
        </w:trPr>
        <w:tc>
          <w:tcPr>
            <w:tcW w:w="332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辽宁盛京熙康健康管理有限公司</w:t>
            </w:r>
          </w:p>
        </w:tc>
        <w:tc>
          <w:tcPr>
            <w:tcW w:w="352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1" w:right="0"/>
              <w:jc w:val="left"/>
              <w:rPr>
                <w:rFonts w:ascii="宋体" w:hAnsi="宋体" w:cs="宋体" w:eastAsia="宋体" w:hint="default"/>
                <w:sz w:val="20"/>
                <w:szCs w:val="20"/>
              </w:rPr>
            </w:pPr>
            <w:r>
              <w:rPr>
                <w:rFonts w:ascii="宋体" w:hAnsi="宋体" w:cs="宋体" w:eastAsia="宋体" w:hint="default"/>
                <w:sz w:val="20"/>
                <w:szCs w:val="20"/>
              </w:rPr>
              <w:t>健康科技项目开发，健康咨询、服务</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336"/>
              <w:jc w:val="right"/>
              <w:rPr>
                <w:rFonts w:ascii="宋体" w:hAnsi="宋体" w:cs="宋体" w:eastAsia="宋体" w:hint="default"/>
                <w:sz w:val="20"/>
                <w:szCs w:val="20"/>
              </w:rPr>
            </w:pPr>
            <w:r>
              <w:rPr>
                <w:rFonts w:ascii="宋体"/>
                <w:sz w:val="20"/>
              </w:rPr>
              <w:t>49%</w:t>
            </w:r>
          </w:p>
        </w:tc>
        <w:tc>
          <w:tcPr>
            <w:tcW w:w="18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新设立参股公司</w:t>
            </w:r>
          </w:p>
        </w:tc>
      </w:tr>
    </w:tbl>
    <w:p>
      <w:pPr>
        <w:pStyle w:val="BodyText"/>
        <w:spacing w:line="274" w:lineRule="exact"/>
        <w:ind w:left="926" w:right="0"/>
        <w:jc w:val="left"/>
      </w:pPr>
      <w:r>
        <w:rPr/>
        <w:t>2009</w:t>
      </w:r>
      <w:r>
        <w:rPr>
          <w:spacing w:val="-60"/>
        </w:rPr>
        <w:t> </w:t>
      </w:r>
      <w:r>
        <w:rPr/>
        <w:t>年</w:t>
      </w:r>
      <w:r>
        <w:rPr>
          <w:spacing w:val="-60"/>
        </w:rPr>
        <w:t> </w:t>
      </w:r>
      <w:r>
        <w:rPr/>
        <w:t>6</w:t>
      </w:r>
      <w:r>
        <w:rPr>
          <w:spacing w:val="-60"/>
        </w:rPr>
        <w:t> </w:t>
      </w:r>
      <w:r>
        <w:rPr/>
        <w:t>月，本公司出资</w:t>
      </w:r>
      <w:r>
        <w:rPr>
          <w:spacing w:val="-60"/>
        </w:rPr>
        <w:t> </w:t>
      </w:r>
      <w:r>
        <w:rPr/>
        <w:t>50</w:t>
      </w:r>
      <w:r>
        <w:rPr>
          <w:spacing w:val="-60"/>
        </w:rPr>
        <w:t> </w:t>
      </w:r>
      <w:r>
        <w:rPr/>
        <w:t>万元设立杭州东软软件有限公司，持股比例</w:t>
      </w:r>
      <w:r>
        <w:rPr>
          <w:spacing w:val="-60"/>
        </w:rPr>
        <w:t> </w:t>
      </w:r>
      <w:r>
        <w:rPr/>
        <w:t>100%；</w:t>
      </w:r>
    </w:p>
    <w:p>
      <w:pPr>
        <w:pStyle w:val="BodyText"/>
        <w:spacing w:line="311" w:lineRule="exact"/>
        <w:ind w:left="926" w:right="0"/>
        <w:jc w:val="left"/>
      </w:pPr>
      <w:r>
        <w:rPr/>
        <w:t>200</w:t>
      </w:r>
      <w:r>
        <w:rPr>
          <w:spacing w:val="44"/>
        </w:rPr>
        <w:t>9年</w:t>
      </w:r>
      <w:r>
        <w:rPr/>
        <w:t>8</w:t>
      </w:r>
      <w:r>
        <w:rPr>
          <w:spacing w:val="-76"/>
        </w:rPr>
        <w:t> </w:t>
      </w:r>
      <w:r>
        <w:rPr>
          <w:spacing w:val="-2"/>
        </w:rPr>
        <w:t>月</w:t>
      </w:r>
      <w:r>
        <w:rPr>
          <w:spacing w:val="-120"/>
        </w:rPr>
        <w:t>，</w:t>
      </w:r>
      <w:r>
        <w:rPr/>
        <w:t>本公司设立东</w:t>
      </w:r>
      <w:r>
        <w:rPr>
          <w:spacing w:val="-120"/>
        </w:rPr>
        <w:t>软</w:t>
      </w:r>
      <w:r>
        <w:rPr/>
        <w:t>（欧洲</w:t>
      </w:r>
      <w:r>
        <w:rPr>
          <w:spacing w:val="-120"/>
        </w:rPr>
        <w:t>）</w:t>
      </w:r>
      <w:r>
        <w:rPr/>
        <w:t>有限公司,持股比例</w:t>
      </w:r>
      <w:r>
        <w:rPr>
          <w:spacing w:val="-76"/>
        </w:rPr>
        <w:t> </w:t>
      </w:r>
      <w:r>
        <w:rPr/>
        <w:t>100%,报告期内累计出资</w:t>
      </w:r>
      <w:r>
        <w:rPr>
          <w:spacing w:val="-76"/>
        </w:rPr>
        <w:t> </w:t>
      </w:r>
      <w:r>
        <w:rPr/>
        <w:t>1,379</w:t>
      </w:r>
    </w:p>
    <w:p>
      <w:pPr>
        <w:pStyle w:val="BodyText"/>
        <w:spacing w:line="311" w:lineRule="exact"/>
        <w:ind w:left="446" w:right="1984"/>
        <w:jc w:val="left"/>
      </w:pPr>
      <w:r>
        <w:rPr/>
        <w:t>万欧元（折合人民币</w:t>
      </w:r>
      <w:r>
        <w:rPr>
          <w:spacing w:val="-60"/>
        </w:rPr>
        <w:t> </w:t>
      </w:r>
      <w:r>
        <w:rPr/>
        <w:t>13,570</w:t>
      </w:r>
      <w:r>
        <w:rPr>
          <w:spacing w:val="-60"/>
        </w:rPr>
        <w:t> </w:t>
      </w:r>
      <w:r>
        <w:rPr/>
        <w:t>万元，注册资本</w:t>
      </w:r>
      <w:r>
        <w:rPr>
          <w:spacing w:val="-60"/>
        </w:rPr>
        <w:t> </w:t>
      </w:r>
      <w:r>
        <w:rPr/>
        <w:t>2,040</w:t>
      </w:r>
      <w:r>
        <w:rPr>
          <w:spacing w:val="-60"/>
        </w:rPr>
        <w:t> </w:t>
      </w:r>
      <w:r>
        <w:rPr/>
        <w:t>万瑞士法郎）；</w:t>
      </w:r>
    </w:p>
    <w:p>
      <w:pPr>
        <w:pStyle w:val="BodyText"/>
        <w:spacing w:line="312" w:lineRule="exact" w:before="29"/>
        <w:ind w:left="446" w:right="113" w:firstLine="480"/>
        <w:jc w:val="left"/>
      </w:pPr>
      <w:r>
        <w:rPr>
          <w:spacing w:val="12"/>
        </w:rPr>
        <w:t>2009年</w:t>
      </w:r>
      <w:r>
        <w:rPr>
          <w:spacing w:val="-59"/>
        </w:rPr>
        <w:t> </w:t>
      </w:r>
      <w:r>
        <w:rPr/>
        <w:t>11</w:t>
      </w:r>
      <w:r>
        <w:rPr>
          <w:spacing w:val="-59"/>
        </w:rPr>
        <w:t> </w:t>
      </w:r>
      <w:r>
        <w:rPr>
          <w:spacing w:val="-9"/>
        </w:rPr>
        <w:t>月，本公司对东软科技有限公司增资，增资额</w:t>
      </w:r>
      <w:r>
        <w:rPr>
          <w:spacing w:val="-59"/>
        </w:rPr>
        <w:t> </w:t>
      </w:r>
      <w:r>
        <w:rPr/>
        <w:t>870</w:t>
      </w:r>
      <w:r>
        <w:rPr>
          <w:spacing w:val="-59"/>
        </w:rPr>
        <w:t> </w:t>
      </w:r>
      <w:r>
        <w:rPr>
          <w:spacing w:val="-11"/>
        </w:rPr>
        <w:t>万美元（折合人民币</w:t>
      </w:r>
      <w:r>
        <w:rPr>
          <w:spacing w:val="-60"/>
        </w:rPr>
        <w:t> </w:t>
      </w:r>
      <w:r>
        <w:rPr/>
        <w:t>5,939</w:t>
      </w:r>
      <w:r>
        <w:rPr>
          <w:spacing w:val="-1"/>
        </w:rPr>
        <w:t> </w:t>
      </w:r>
      <w:r>
        <w:rPr/>
        <w:t>万元）；</w:t>
      </w:r>
    </w:p>
    <w:p>
      <w:pPr>
        <w:pStyle w:val="BodyText"/>
        <w:spacing w:line="281" w:lineRule="exact"/>
        <w:ind w:left="926" w:right="0"/>
        <w:jc w:val="left"/>
      </w:pPr>
      <w:r>
        <w:rPr/>
        <w:t>2009</w:t>
      </w:r>
      <w:r>
        <w:rPr>
          <w:spacing w:val="-68"/>
        </w:rPr>
        <w:t> </w:t>
      </w:r>
      <w:r>
        <w:rPr/>
        <w:t>年</w:t>
      </w:r>
      <w:r>
        <w:rPr>
          <w:spacing w:val="-68"/>
        </w:rPr>
        <w:t> </w:t>
      </w:r>
      <w:r>
        <w:rPr/>
        <w:t>11</w:t>
      </w:r>
      <w:r>
        <w:rPr>
          <w:spacing w:val="-68"/>
        </w:rPr>
        <w:t> </w:t>
      </w:r>
      <w:r>
        <w:rPr>
          <w:spacing w:val="-6"/>
        </w:rPr>
        <w:t>月，本公司出资</w:t>
      </w:r>
      <w:r>
        <w:rPr>
          <w:spacing w:val="-68"/>
        </w:rPr>
        <w:t> </w:t>
      </w:r>
      <w:r>
        <w:rPr/>
        <w:t>2,000</w:t>
      </w:r>
      <w:r>
        <w:rPr>
          <w:spacing w:val="-68"/>
        </w:rPr>
        <w:t> </w:t>
      </w:r>
      <w:r>
        <w:rPr/>
        <w:t>万元设立天津东软信息技术服务有限公司，持股比例</w:t>
      </w:r>
    </w:p>
    <w:p>
      <w:pPr>
        <w:pStyle w:val="BodyText"/>
        <w:spacing w:line="311" w:lineRule="exact"/>
        <w:ind w:left="446" w:right="1984"/>
        <w:jc w:val="left"/>
      </w:pPr>
      <w:r>
        <w:rPr/>
        <w:t>100％；</w:t>
      </w:r>
    </w:p>
    <w:p>
      <w:pPr>
        <w:pStyle w:val="BodyText"/>
        <w:spacing w:line="310" w:lineRule="exact" w:before="30"/>
        <w:ind w:left="446" w:right="0" w:firstLine="480"/>
        <w:jc w:val="left"/>
      </w:pPr>
      <w:r>
        <w:rPr/>
        <w:t>2009</w:t>
      </w:r>
      <w:r>
        <w:rPr>
          <w:spacing w:val="-59"/>
        </w:rPr>
        <w:t> </w:t>
      </w:r>
      <w:r>
        <w:rPr/>
        <w:t>年</w:t>
      </w:r>
      <w:r>
        <w:rPr>
          <w:spacing w:val="-59"/>
        </w:rPr>
        <w:t> </w:t>
      </w:r>
      <w:r>
        <w:rPr/>
        <w:t>6</w:t>
      </w:r>
      <w:r>
        <w:rPr>
          <w:spacing w:val="-60"/>
        </w:rPr>
        <w:t> </w:t>
      </w:r>
      <w:r>
        <w:rPr/>
        <w:t>月，本公司出资</w:t>
      </w:r>
      <w:r>
        <w:rPr>
          <w:spacing w:val="-59"/>
        </w:rPr>
        <w:t> </w:t>
      </w:r>
      <w:r>
        <w:rPr/>
        <w:t>300</w:t>
      </w:r>
      <w:r>
        <w:rPr>
          <w:spacing w:val="-59"/>
        </w:rPr>
        <w:t> </w:t>
      </w:r>
      <w:r>
        <w:rPr/>
        <w:t>万元参与设立天津神舟通用数据技术有限公司，持股比</w:t>
      </w:r>
      <w:r>
        <w:rPr>
          <w:spacing w:val="-1"/>
        </w:rPr>
        <w:t> </w:t>
      </w:r>
      <w:r>
        <w:rPr/>
        <w:t>例</w:t>
      </w:r>
      <w:r>
        <w:rPr>
          <w:spacing w:val="-60"/>
        </w:rPr>
        <w:t> </w:t>
      </w:r>
      <w:r>
        <w:rPr/>
        <w:t>5%；</w:t>
      </w:r>
    </w:p>
    <w:p>
      <w:pPr>
        <w:pStyle w:val="BodyText"/>
        <w:spacing w:line="310" w:lineRule="exact" w:before="2"/>
        <w:ind w:left="446" w:right="100" w:firstLine="480"/>
        <w:jc w:val="left"/>
      </w:pPr>
      <w:r>
        <w:rPr/>
        <w:t>2009</w:t>
      </w:r>
      <w:r>
        <w:rPr>
          <w:spacing w:val="-52"/>
        </w:rPr>
        <w:t> </w:t>
      </w:r>
      <w:r>
        <w:rPr/>
        <w:t>年</w:t>
      </w:r>
      <w:r>
        <w:rPr>
          <w:spacing w:val="-52"/>
        </w:rPr>
        <w:t> </w:t>
      </w:r>
      <w:r>
        <w:rPr/>
        <w:t>3</w:t>
      </w:r>
      <w:r>
        <w:rPr>
          <w:spacing w:val="-53"/>
        </w:rPr>
        <w:t> </w:t>
      </w:r>
      <w:r>
        <w:rPr/>
        <w:t>月，本公司之子公司辽宁东软创业投资有限公司出资</w:t>
      </w:r>
      <w:r>
        <w:rPr>
          <w:spacing w:val="-52"/>
        </w:rPr>
        <w:t> </w:t>
      </w:r>
      <w:r>
        <w:rPr/>
        <w:t>350</w:t>
      </w:r>
      <w:r>
        <w:rPr>
          <w:spacing w:val="-53"/>
        </w:rPr>
        <w:t> </w:t>
      </w:r>
      <w:r>
        <w:rPr/>
        <w:t>万元设立深圳市东</w:t>
      </w:r>
      <w:r>
        <w:rPr/>
        <w:t> 软移动终端设计有限公司，持股比例</w:t>
      </w:r>
      <w:r>
        <w:rPr>
          <w:spacing w:val="-60"/>
        </w:rPr>
        <w:t> </w:t>
      </w:r>
      <w:r>
        <w:rPr/>
        <w:t>70%；</w:t>
      </w:r>
    </w:p>
    <w:p>
      <w:pPr>
        <w:pStyle w:val="BodyText"/>
        <w:spacing w:line="282" w:lineRule="exact"/>
        <w:ind w:left="926" w:right="0"/>
        <w:jc w:val="left"/>
      </w:pPr>
      <w:r>
        <w:rPr/>
        <w:t>2009</w:t>
      </w:r>
      <w:r>
        <w:rPr>
          <w:spacing w:val="-52"/>
        </w:rPr>
        <w:t> </w:t>
      </w:r>
      <w:r>
        <w:rPr/>
        <w:t>年</w:t>
      </w:r>
      <w:r>
        <w:rPr>
          <w:spacing w:val="-52"/>
        </w:rPr>
        <w:t> </w:t>
      </w:r>
      <w:r>
        <w:rPr/>
        <w:t>6</w:t>
      </w:r>
      <w:r>
        <w:rPr>
          <w:spacing w:val="-53"/>
        </w:rPr>
        <w:t> </w:t>
      </w:r>
      <w:r>
        <w:rPr/>
        <w:t>月，本公司之子公司辽宁东软创业投资有限公司出资</w:t>
      </w:r>
      <w:r>
        <w:rPr>
          <w:spacing w:val="-52"/>
        </w:rPr>
        <w:t> </w:t>
      </w:r>
      <w:r>
        <w:rPr/>
        <w:t>700</w:t>
      </w:r>
      <w:r>
        <w:rPr>
          <w:spacing w:val="-53"/>
        </w:rPr>
        <w:t> </w:t>
      </w:r>
      <w:r>
        <w:rPr/>
        <w:t>万元设立北京东软</w:t>
      </w:r>
    </w:p>
    <w:p>
      <w:pPr>
        <w:pStyle w:val="BodyText"/>
        <w:spacing w:line="313" w:lineRule="exact"/>
        <w:ind w:left="446" w:right="1984"/>
        <w:jc w:val="left"/>
      </w:pPr>
      <w:r>
        <w:rPr/>
        <w:t>越通软件技术有限公司，持股比例</w:t>
      </w:r>
      <w:r>
        <w:rPr>
          <w:spacing w:val="-60"/>
        </w:rPr>
        <w:t> </w:t>
      </w:r>
      <w:r>
        <w:rPr/>
        <w:t>70%；</w:t>
      </w:r>
    </w:p>
    <w:p>
      <w:pPr>
        <w:spacing w:after="0" w:line="313" w:lineRule="exact"/>
        <w:jc w:val="left"/>
        <w:sectPr>
          <w:type w:val="continuous"/>
          <w:pgSz w:w="11910" w:h="16840"/>
          <w:pgMar w:top="1600" w:bottom="280" w:left="1020" w:right="860"/>
        </w:sectPr>
      </w:pPr>
    </w:p>
    <w:p>
      <w:pPr>
        <w:spacing w:line="240" w:lineRule="auto" w:before="1"/>
        <w:rPr>
          <w:rFonts w:ascii="宋体" w:hAnsi="宋体" w:cs="宋体" w:eastAsia="宋体" w:hint="default"/>
          <w:sz w:val="20"/>
          <w:szCs w:val="20"/>
        </w:rPr>
      </w:pPr>
    </w:p>
    <w:p>
      <w:pPr>
        <w:pStyle w:val="BodyText"/>
        <w:spacing w:line="310" w:lineRule="exact" w:before="58"/>
        <w:ind w:left="246" w:right="220" w:firstLine="480"/>
        <w:jc w:val="left"/>
      </w:pPr>
      <w:r>
        <w:rPr>
          <w:spacing w:val="20"/>
        </w:rPr>
        <w:t>2009年9</w:t>
      </w:r>
      <w:r>
        <w:rPr>
          <w:spacing w:val="-54"/>
        </w:rPr>
        <w:t> </w:t>
      </w:r>
      <w:r>
        <w:rPr>
          <w:spacing w:val="-4"/>
        </w:rPr>
        <w:t>月，本集团之子公司北京东软慧聚信息技术有限公司出资</w:t>
      </w:r>
      <w:r>
        <w:rPr>
          <w:spacing w:val="-54"/>
        </w:rPr>
        <w:t> </w:t>
      </w:r>
      <w:r>
        <w:rPr/>
        <w:t>10</w:t>
      </w:r>
      <w:r>
        <w:rPr>
          <w:spacing w:val="-54"/>
        </w:rPr>
        <w:t> </w:t>
      </w:r>
      <w:r>
        <w:rPr/>
        <w:t>万元设立北京英</w:t>
      </w:r>
      <w:r>
        <w:rPr/>
        <w:t> 博睿智咨询有限公司，持股比例</w:t>
      </w:r>
      <w:r>
        <w:rPr>
          <w:spacing w:val="-60"/>
        </w:rPr>
        <w:t> </w:t>
      </w:r>
      <w:r>
        <w:rPr/>
        <w:t>100%。</w:t>
      </w:r>
    </w:p>
    <w:p>
      <w:pPr>
        <w:pStyle w:val="BodyText"/>
        <w:spacing w:line="310" w:lineRule="exact" w:before="2"/>
        <w:ind w:left="246" w:right="102" w:firstLine="480"/>
        <w:jc w:val="left"/>
      </w:pPr>
      <w:r>
        <w:rPr/>
        <w:t>2009</w:t>
      </w:r>
      <w:r>
        <w:rPr>
          <w:spacing w:val="-57"/>
        </w:rPr>
        <w:t> </w:t>
      </w:r>
      <w:r>
        <w:rPr/>
        <w:t>年</w:t>
      </w:r>
      <w:r>
        <w:rPr>
          <w:spacing w:val="-57"/>
        </w:rPr>
        <w:t> </w:t>
      </w:r>
      <w:r>
        <w:rPr/>
        <w:t>10</w:t>
      </w:r>
      <w:r>
        <w:rPr>
          <w:spacing w:val="-57"/>
        </w:rPr>
        <w:t> </w:t>
      </w:r>
      <w:r>
        <w:rPr>
          <w:spacing w:val="-3"/>
        </w:rPr>
        <w:t>月，本公司之子公司东软（欧洲）有限公司（以下简称“东软欧洲”）收购</w:t>
      </w:r>
      <w:r>
        <w:rPr/>
        <w:t> 了</w:t>
      </w:r>
      <w:r>
        <w:rPr>
          <w:spacing w:val="-61"/>
        </w:rPr>
        <w:t> </w:t>
      </w:r>
      <w:r>
        <w:rPr/>
        <w:t>Sesca</w:t>
      </w:r>
      <w:r>
        <w:rPr>
          <w:spacing w:val="-55"/>
        </w:rPr>
        <w:t> </w:t>
      </w:r>
      <w:r>
        <w:rPr/>
        <w:t>Group</w:t>
      </w:r>
      <w:r>
        <w:rPr>
          <w:spacing w:val="-55"/>
        </w:rPr>
        <w:t> </w:t>
      </w:r>
      <w:r>
        <w:rPr/>
        <w:t>Oy</w:t>
      </w:r>
      <w:r>
        <w:rPr>
          <w:spacing w:val="-61"/>
        </w:rPr>
        <w:t> </w:t>
      </w:r>
      <w:r>
        <w:rPr/>
        <w:t>拥有的</w:t>
      </w:r>
      <w:r>
        <w:rPr>
          <w:spacing w:val="-61"/>
        </w:rPr>
        <w:t> </w:t>
      </w:r>
      <w:r>
        <w:rPr/>
        <w:t>Sesca</w:t>
      </w:r>
      <w:r>
        <w:rPr>
          <w:spacing w:val="-55"/>
        </w:rPr>
        <w:t> </w:t>
      </w:r>
      <w:r>
        <w:rPr/>
        <w:t>Mobile</w:t>
      </w:r>
      <w:r>
        <w:rPr>
          <w:spacing w:val="-55"/>
        </w:rPr>
        <w:t> </w:t>
      </w:r>
      <w:r>
        <w:rPr/>
        <w:t>Software</w:t>
      </w:r>
      <w:r>
        <w:rPr>
          <w:spacing w:val="-55"/>
        </w:rPr>
        <w:t> </w:t>
      </w:r>
      <w:r>
        <w:rPr/>
        <w:t>Oy（后更名为</w:t>
      </w:r>
      <w:r>
        <w:rPr>
          <w:spacing w:val="-61"/>
        </w:rPr>
        <w:t> </w:t>
      </w:r>
      <w:r>
        <w:rPr/>
        <w:t>Neusoft</w:t>
      </w:r>
      <w:r>
        <w:rPr>
          <w:spacing w:val="-55"/>
        </w:rPr>
        <w:t> </w:t>
      </w:r>
      <w:r>
        <w:rPr/>
        <w:t>Mobile</w:t>
      </w:r>
      <w:r>
        <w:rPr>
          <w:spacing w:val="-55"/>
        </w:rPr>
        <w:t> </w:t>
      </w:r>
      <w:r>
        <w:rPr/>
        <w:t>Solutions</w:t>
      </w:r>
    </w:p>
    <w:p>
      <w:pPr>
        <w:pStyle w:val="BodyText"/>
        <w:spacing w:line="310" w:lineRule="exact" w:before="2"/>
        <w:ind w:left="246" w:right="102"/>
        <w:jc w:val="left"/>
      </w:pPr>
      <w:r>
        <w:rPr/>
        <w:t>Oy）、Almitas</w:t>
      </w:r>
      <w:r>
        <w:rPr>
          <w:spacing w:val="-34"/>
        </w:rPr>
        <w:t> </w:t>
      </w:r>
      <w:r>
        <w:rPr/>
        <w:t>Oy</w:t>
      </w:r>
      <w:r>
        <w:rPr>
          <w:spacing w:val="-60"/>
        </w:rPr>
        <w:t> </w:t>
      </w:r>
      <w:r>
        <w:rPr/>
        <w:t>和</w:t>
      </w:r>
      <w:r>
        <w:rPr>
          <w:spacing w:val="-60"/>
        </w:rPr>
        <w:t> </w:t>
      </w:r>
      <w:r>
        <w:rPr/>
        <w:t>Sesca</w:t>
      </w:r>
      <w:r>
        <w:rPr>
          <w:spacing w:val="-34"/>
        </w:rPr>
        <w:t> </w:t>
      </w:r>
      <w:r>
        <w:rPr/>
        <w:t>Technologies</w:t>
      </w:r>
      <w:r>
        <w:rPr>
          <w:spacing w:val="-34"/>
        </w:rPr>
        <w:t> </w:t>
      </w:r>
      <w:r>
        <w:rPr/>
        <w:t>SRL（后更名为</w:t>
      </w:r>
      <w:r>
        <w:rPr>
          <w:spacing w:val="-60"/>
        </w:rPr>
        <w:t> </w:t>
      </w:r>
      <w:r>
        <w:rPr/>
        <w:t>Neusoft</w:t>
      </w:r>
      <w:r>
        <w:rPr>
          <w:spacing w:val="-34"/>
        </w:rPr>
        <w:t> </w:t>
      </w:r>
      <w:r>
        <w:rPr/>
        <w:t>Mobile</w:t>
      </w:r>
      <w:r>
        <w:rPr>
          <w:spacing w:val="-34"/>
        </w:rPr>
        <w:t> </w:t>
      </w:r>
      <w:r>
        <w:rPr/>
        <w:t>Solutions</w:t>
      </w:r>
      <w:r>
        <w:rPr>
          <w:spacing w:val="-34"/>
        </w:rPr>
        <w:t> </w:t>
      </w:r>
      <w:r>
        <w:rPr/>
        <w:t>SRL）</w:t>
      </w:r>
      <w:r>
        <w:rPr/>
        <w:t> 三家公司</w:t>
      </w:r>
      <w:r>
        <w:rPr>
          <w:spacing w:val="-48"/>
        </w:rPr>
        <w:t> </w:t>
      </w:r>
      <w:r>
        <w:rPr/>
        <w:t>100%股权，交易对价分别为</w:t>
      </w:r>
      <w:r>
        <w:rPr>
          <w:spacing w:val="-48"/>
        </w:rPr>
        <w:t> </w:t>
      </w:r>
      <w:r>
        <w:rPr/>
        <w:t>350</w:t>
      </w:r>
      <w:r>
        <w:rPr>
          <w:spacing w:val="-48"/>
        </w:rPr>
        <w:t> </w:t>
      </w:r>
      <w:r>
        <w:rPr/>
        <w:t>万欧元，430</w:t>
      </w:r>
      <w:r>
        <w:rPr>
          <w:spacing w:val="-48"/>
        </w:rPr>
        <w:t> </w:t>
      </w:r>
      <w:r>
        <w:rPr/>
        <w:t>万欧元和</w:t>
      </w:r>
      <w:r>
        <w:rPr>
          <w:spacing w:val="-48"/>
        </w:rPr>
        <w:t> </w:t>
      </w:r>
      <w:r>
        <w:rPr/>
        <w:t>120</w:t>
      </w:r>
      <w:r>
        <w:rPr>
          <w:spacing w:val="-48"/>
        </w:rPr>
        <w:t> </w:t>
      </w:r>
      <w:r>
        <w:rPr/>
        <w:t>万欧元，合计</w:t>
      </w:r>
      <w:r>
        <w:rPr>
          <w:spacing w:val="-48"/>
        </w:rPr>
        <w:t> </w:t>
      </w:r>
      <w:r>
        <w:rPr/>
        <w:t>900</w:t>
      </w:r>
      <w:r>
        <w:rPr>
          <w:spacing w:val="-47"/>
        </w:rPr>
        <w:t> </w:t>
      </w:r>
      <w:r>
        <w:rPr/>
        <w:t>万</w:t>
      </w:r>
    </w:p>
    <w:p>
      <w:pPr>
        <w:pStyle w:val="BodyText"/>
        <w:spacing w:line="282" w:lineRule="exact"/>
        <w:ind w:left="246" w:right="220"/>
        <w:jc w:val="left"/>
      </w:pPr>
      <w:r>
        <w:rPr/>
        <w:t>欧元。同时交易双方对本次交易设置和安排了总额不超过 300</w:t>
      </w:r>
      <w:r>
        <w:rPr>
          <w:spacing w:val="-58"/>
        </w:rPr>
        <w:t> </w:t>
      </w:r>
      <w:r>
        <w:rPr/>
        <w:t>万欧元的追加对价。交易双</w:t>
      </w:r>
    </w:p>
    <w:p>
      <w:pPr>
        <w:pStyle w:val="BodyText"/>
        <w:spacing w:line="310" w:lineRule="exact" w:before="31"/>
        <w:ind w:left="246" w:right="220"/>
        <w:jc w:val="left"/>
      </w:pPr>
      <w:r>
        <w:rPr/>
        <w:t>方于</w:t>
      </w:r>
      <w:r>
        <w:rPr>
          <w:spacing w:val="-60"/>
        </w:rPr>
        <w:t> </w:t>
      </w:r>
      <w:r>
        <w:rPr/>
        <w:t>2009</w:t>
      </w:r>
      <w:r>
        <w:rPr>
          <w:spacing w:val="-61"/>
        </w:rPr>
        <w:t> </w:t>
      </w:r>
      <w:r>
        <w:rPr/>
        <w:t>年</w:t>
      </w:r>
      <w:r>
        <w:rPr>
          <w:spacing w:val="-60"/>
        </w:rPr>
        <w:t> </w:t>
      </w:r>
      <w:r>
        <w:rPr/>
        <w:t>10</w:t>
      </w:r>
      <w:r>
        <w:rPr>
          <w:spacing w:val="-60"/>
        </w:rPr>
        <w:t> </w:t>
      </w:r>
      <w:r>
        <w:rPr/>
        <w:t>月</w:t>
      </w:r>
      <w:r>
        <w:rPr>
          <w:spacing w:val="-60"/>
        </w:rPr>
        <w:t> </w:t>
      </w:r>
      <w:r>
        <w:rPr/>
        <w:t>31</w:t>
      </w:r>
      <w:r>
        <w:rPr>
          <w:spacing w:val="-61"/>
        </w:rPr>
        <w:t> </w:t>
      </w:r>
      <w:r>
        <w:rPr/>
        <w:t>日完成交割。报告期内东软欧洲已支付</w:t>
      </w:r>
      <w:r>
        <w:rPr>
          <w:spacing w:val="-60"/>
        </w:rPr>
        <w:t> </w:t>
      </w:r>
      <w:r>
        <w:rPr/>
        <w:t>737</w:t>
      </w:r>
      <w:r>
        <w:rPr>
          <w:spacing w:val="-60"/>
        </w:rPr>
        <w:t> </w:t>
      </w:r>
      <w:r>
        <w:rPr/>
        <w:t>万欧元（折人民币</w:t>
      </w:r>
      <w:r>
        <w:rPr>
          <w:spacing w:val="-60"/>
        </w:rPr>
        <w:t> </w:t>
      </w:r>
      <w:r>
        <w:rPr/>
        <w:t>7,520</w:t>
      </w:r>
      <w:r>
        <w:rPr>
          <w:spacing w:val="-1"/>
        </w:rPr>
        <w:t> </w:t>
      </w:r>
      <w:r>
        <w:rPr/>
        <w:t>万元）交易对价。</w:t>
      </w:r>
    </w:p>
    <w:p>
      <w:pPr>
        <w:pStyle w:val="BodyText"/>
        <w:spacing w:line="282" w:lineRule="exact"/>
        <w:ind w:left="726" w:right="102"/>
        <w:jc w:val="left"/>
      </w:pPr>
      <w:r>
        <w:rPr>
          <w:spacing w:val="12"/>
        </w:rPr>
        <w:t>2009年</w:t>
      </w:r>
      <w:r>
        <w:rPr>
          <w:spacing w:val="-56"/>
        </w:rPr>
        <w:t> </w:t>
      </w:r>
      <w:r>
        <w:rPr/>
        <w:t>10</w:t>
      </w:r>
      <w:r>
        <w:rPr>
          <w:spacing w:val="-56"/>
        </w:rPr>
        <w:t> </w:t>
      </w:r>
      <w:r>
        <w:rPr>
          <w:spacing w:val="-4"/>
        </w:rPr>
        <w:t>月，本公司之子公司沈阳东软信息技术服务有限公司出资</w:t>
      </w:r>
      <w:r>
        <w:rPr>
          <w:spacing w:val="-56"/>
        </w:rPr>
        <w:t> </w:t>
      </w:r>
      <w:r>
        <w:rPr/>
        <w:t>500</w:t>
      </w:r>
      <w:r>
        <w:rPr>
          <w:spacing w:val="-56"/>
        </w:rPr>
        <w:t> </w:t>
      </w:r>
      <w:r>
        <w:rPr/>
        <w:t>万元设立大连</w:t>
      </w:r>
    </w:p>
    <w:p>
      <w:pPr>
        <w:pStyle w:val="BodyText"/>
        <w:spacing w:line="311" w:lineRule="exact"/>
        <w:ind w:left="246" w:right="220"/>
        <w:jc w:val="left"/>
      </w:pPr>
      <w:r>
        <w:rPr/>
        <w:t>东软商业流程咨询有限公司，持股比例</w:t>
      </w:r>
      <w:r>
        <w:rPr>
          <w:spacing w:val="-60"/>
        </w:rPr>
        <w:t> </w:t>
      </w:r>
      <w:r>
        <w:rPr/>
        <w:t>100%；</w:t>
      </w:r>
    </w:p>
    <w:p>
      <w:pPr>
        <w:pStyle w:val="BodyText"/>
        <w:spacing w:line="312" w:lineRule="exact" w:before="29"/>
        <w:ind w:left="246" w:right="222" w:firstLine="480"/>
        <w:jc w:val="left"/>
      </w:pPr>
      <w:r>
        <w:rPr>
          <w:spacing w:val="12"/>
        </w:rPr>
        <w:t>2009年</w:t>
      </w:r>
      <w:r>
        <w:rPr>
          <w:spacing w:val="-56"/>
        </w:rPr>
        <w:t> </w:t>
      </w:r>
      <w:r>
        <w:rPr/>
        <w:t>10</w:t>
      </w:r>
      <w:r>
        <w:rPr>
          <w:spacing w:val="-56"/>
        </w:rPr>
        <w:t> </w:t>
      </w:r>
      <w:r>
        <w:rPr>
          <w:spacing w:val="-4"/>
        </w:rPr>
        <w:t>月，本集团之子公司北京东软越通软件技术有限公司出资</w:t>
      </w:r>
      <w:r>
        <w:rPr>
          <w:spacing w:val="-56"/>
        </w:rPr>
        <w:t> </w:t>
      </w:r>
      <w:r>
        <w:rPr/>
        <w:t>299</w:t>
      </w:r>
      <w:r>
        <w:rPr>
          <w:spacing w:val="-56"/>
        </w:rPr>
        <w:t> </w:t>
      </w:r>
      <w:r>
        <w:rPr/>
        <w:t>万元持有北京</w:t>
      </w:r>
      <w:r>
        <w:rPr/>
        <w:t> 源越通软件技术有限公司</w:t>
      </w:r>
      <w:r>
        <w:rPr>
          <w:spacing w:val="-60"/>
        </w:rPr>
        <w:t> </w:t>
      </w:r>
      <w:r>
        <w:rPr/>
        <w:t>74%的股权；</w:t>
      </w:r>
    </w:p>
    <w:p>
      <w:pPr>
        <w:pStyle w:val="BodyText"/>
        <w:spacing w:line="281" w:lineRule="exact"/>
        <w:ind w:left="726" w:right="102"/>
        <w:jc w:val="left"/>
      </w:pPr>
      <w:r>
        <w:rPr/>
        <w:t>2009</w:t>
      </w:r>
      <w:r>
        <w:rPr>
          <w:spacing w:val="-52"/>
        </w:rPr>
        <w:t> </w:t>
      </w:r>
      <w:r>
        <w:rPr/>
        <w:t>年</w:t>
      </w:r>
      <w:r>
        <w:rPr>
          <w:spacing w:val="-52"/>
        </w:rPr>
        <w:t> </w:t>
      </w:r>
      <w:r>
        <w:rPr/>
        <w:t>11</w:t>
      </w:r>
      <w:r>
        <w:rPr>
          <w:spacing w:val="-53"/>
        </w:rPr>
        <w:t> </w:t>
      </w:r>
      <w:r>
        <w:rPr/>
        <w:t>月，本公司之子公司沈阳东软医疗系统有限公司出资</w:t>
      </w:r>
      <w:r>
        <w:rPr>
          <w:spacing w:val="-52"/>
        </w:rPr>
        <w:t> </w:t>
      </w:r>
      <w:r>
        <w:rPr/>
        <w:t>49</w:t>
      </w:r>
      <w:r>
        <w:rPr>
          <w:spacing w:val="-53"/>
        </w:rPr>
        <w:t> </w:t>
      </w:r>
      <w:r>
        <w:rPr/>
        <w:t>万元参与设立辽宁</w:t>
      </w:r>
    </w:p>
    <w:p>
      <w:pPr>
        <w:pStyle w:val="BodyText"/>
        <w:spacing w:line="312" w:lineRule="exact"/>
        <w:ind w:left="246" w:right="220"/>
        <w:jc w:val="left"/>
      </w:pPr>
      <w:r>
        <w:rPr/>
        <w:t>盛京熙康健康管理有限公司，持股比例</w:t>
      </w:r>
      <w:r>
        <w:rPr>
          <w:spacing w:val="-60"/>
        </w:rPr>
        <w:t> </w:t>
      </w:r>
      <w:r>
        <w:rPr/>
        <w:t>49%；</w:t>
      </w:r>
    </w:p>
    <w:p>
      <w:pPr>
        <w:spacing w:line="240" w:lineRule="auto" w:before="2"/>
        <w:rPr>
          <w:rFonts w:ascii="宋体" w:hAnsi="宋体" w:cs="宋体" w:eastAsia="宋体" w:hint="default"/>
          <w:sz w:val="23"/>
          <w:szCs w:val="23"/>
        </w:rPr>
      </w:pPr>
    </w:p>
    <w:p>
      <w:pPr>
        <w:pStyle w:val="BodyText"/>
        <w:spacing w:line="310" w:lineRule="exact"/>
        <w:ind w:left="500" w:right="2704" w:hanging="360"/>
        <w:jc w:val="left"/>
      </w:pPr>
      <w:r>
        <w:rPr/>
        <w:t>2、募集资金使用情况 报告期内，公司无募集资金或前期募集资金使用到本期的情况。</w:t>
      </w:r>
    </w:p>
    <w:p>
      <w:pPr>
        <w:spacing w:line="240" w:lineRule="auto" w:before="6"/>
        <w:rPr>
          <w:rFonts w:ascii="宋体" w:hAnsi="宋体" w:cs="宋体" w:eastAsia="宋体" w:hint="default"/>
          <w:sz w:val="21"/>
          <w:szCs w:val="21"/>
        </w:rPr>
      </w:pPr>
    </w:p>
    <w:p>
      <w:pPr>
        <w:pStyle w:val="BodyText"/>
        <w:spacing w:line="312" w:lineRule="exact"/>
        <w:ind w:right="220"/>
        <w:jc w:val="left"/>
      </w:pPr>
      <w:r>
        <w:rPr/>
        <w:t>3、非募集资金项目情况</w:t>
      </w:r>
    </w:p>
    <w:p>
      <w:pPr>
        <w:pStyle w:val="BodyText"/>
        <w:spacing w:line="311" w:lineRule="exact"/>
        <w:ind w:left="740" w:right="220"/>
        <w:jc w:val="left"/>
      </w:pPr>
      <w:r>
        <w:rPr>
          <w:spacing w:val="23"/>
        </w:rPr>
        <w:t>报告期内，本公司共投资 </w:t>
      </w:r>
      <w:r>
        <w:rPr/>
        <w:t>85,104,736</w:t>
      </w:r>
      <w:r>
        <w:rPr>
          <w:spacing w:val="41"/>
        </w:rPr>
        <w:t> </w:t>
      </w:r>
      <w:r>
        <w:rPr>
          <w:spacing w:val="24"/>
        </w:rPr>
        <w:t>元用于沈阳软件园区继续建设，投资</w:t>
      </w:r>
      <w:r>
        <w:rPr>
          <w:spacing w:val="-94"/>
        </w:rPr>
        <w:t> </w:t>
      </w:r>
      <w:r>
        <w:rPr/>
      </w:r>
    </w:p>
    <w:p>
      <w:pPr>
        <w:pStyle w:val="BodyText"/>
        <w:spacing w:line="312" w:lineRule="exact" w:before="29"/>
        <w:ind w:right="544"/>
        <w:jc w:val="left"/>
      </w:pPr>
      <w:r>
        <w:rPr/>
        <w:t>21,145,724 元用于继续建设南京、上海、广州、成都等开发基地和办公楼，资金来源为 自有资金。</w:t>
      </w:r>
    </w:p>
    <w:p>
      <w:pPr>
        <w:spacing w:line="240" w:lineRule="auto" w:before="8"/>
        <w:rPr>
          <w:rFonts w:ascii="宋体" w:hAnsi="宋体" w:cs="宋体" w:eastAsia="宋体" w:hint="default"/>
          <w:sz w:val="18"/>
          <w:szCs w:val="18"/>
        </w:rPr>
      </w:pPr>
    </w:p>
    <w:p>
      <w:pPr>
        <w:pStyle w:val="BodyText"/>
        <w:spacing w:line="237" w:lineRule="auto"/>
        <w:ind w:left="0" w:right="559"/>
        <w:jc w:val="right"/>
      </w:pPr>
      <w:r>
        <w:rPr>
          <w:spacing w:val="-4"/>
        </w:rPr>
        <w:t>（六）董事会对公司会计政策、会计估计变更、重大会计差错更正、重大遗漏信息补充以</w:t>
      </w:r>
      <w:r>
        <w:rPr>
          <w:spacing w:val="-95"/>
        </w:rPr>
        <w:t> </w:t>
      </w:r>
      <w:r>
        <w:rPr>
          <w:spacing w:val="-95"/>
        </w:rPr>
      </w:r>
      <w:r>
        <w:rPr>
          <w:spacing w:val="-4"/>
        </w:rPr>
        <w:t>及业绩预告修正的原因及影响的讨论结果，以及对有关责任人采取的问责措施及处理结果</w:t>
      </w:r>
      <w:r>
        <w:rPr>
          <w:spacing w:val="-91"/>
        </w:rPr>
        <w:t> </w:t>
      </w:r>
      <w:r>
        <w:rPr>
          <w:spacing w:val="-91"/>
        </w:rPr>
      </w:r>
      <w:r>
        <w:rPr/>
        <w:t>于</w:t>
      </w:r>
      <w:r>
        <w:rPr>
          <w:spacing w:val="-60"/>
        </w:rPr>
        <w:t> </w:t>
      </w:r>
      <w:r>
        <w:rPr/>
        <w:t>2009</w:t>
      </w:r>
      <w:r>
        <w:rPr>
          <w:spacing w:val="-60"/>
        </w:rPr>
        <w:t> </w:t>
      </w:r>
      <w:r>
        <w:rPr/>
        <w:t>年</w:t>
      </w:r>
      <w:r>
        <w:rPr>
          <w:spacing w:val="-59"/>
        </w:rPr>
        <w:t> </w:t>
      </w:r>
      <w:r>
        <w:rPr/>
        <w:t>3</w:t>
      </w:r>
      <w:r>
        <w:rPr>
          <w:spacing w:val="-60"/>
        </w:rPr>
        <w:t> </w:t>
      </w:r>
      <w:r>
        <w:rPr/>
        <w:t>月</w:t>
      </w:r>
      <w:r>
        <w:rPr>
          <w:spacing w:val="-60"/>
        </w:rPr>
        <w:t> </w:t>
      </w:r>
      <w:r>
        <w:rPr/>
        <w:t>25</w:t>
      </w:r>
      <w:r>
        <w:rPr>
          <w:spacing w:val="-60"/>
        </w:rPr>
        <w:t> </w:t>
      </w:r>
      <w:r>
        <w:rPr/>
        <w:t>日召开的五届六次董事会审议通过了《公司</w:t>
      </w:r>
      <w:r>
        <w:rPr>
          <w:spacing w:val="-60"/>
        </w:rPr>
        <w:t> </w:t>
      </w:r>
      <w:r>
        <w:rPr/>
        <w:t>2009</w:t>
      </w:r>
      <w:r>
        <w:rPr>
          <w:spacing w:val="-60"/>
        </w:rPr>
        <w:t> </w:t>
      </w:r>
      <w:r>
        <w:rPr/>
        <w:t>年会计估计变更</w:t>
      </w:r>
      <w:r>
        <w:rPr/>
        <w:t> </w:t>
      </w:r>
      <w:r>
        <w:rPr>
          <w:spacing w:val="-4"/>
        </w:rPr>
        <w:t>的议案》，即提高对非单独进行减值测试的应收款项的坏账准备计提比例，变更前后的一</w:t>
      </w:r>
    </w:p>
    <w:p>
      <w:pPr>
        <w:pStyle w:val="BodyText"/>
        <w:spacing w:line="312" w:lineRule="exact"/>
        <w:ind w:right="220"/>
        <w:jc w:val="left"/>
      </w:pPr>
      <w:r>
        <w:rPr/>
        <w:t>般坏账准备的比例如下：</w:t>
      </w:r>
    </w:p>
    <w:p>
      <w:pPr>
        <w:spacing w:line="240" w:lineRule="auto" w:before="10"/>
        <w:rPr>
          <w:rFonts w:ascii="宋体" w:hAnsi="宋体" w:cs="宋体" w:eastAsia="宋体" w:hint="default"/>
          <w:sz w:val="2"/>
          <w:szCs w:val="2"/>
        </w:rPr>
      </w:pPr>
    </w:p>
    <w:tbl>
      <w:tblPr>
        <w:tblW w:w="0" w:type="auto"/>
        <w:jc w:val="left"/>
        <w:tblInd w:w="498" w:type="dxa"/>
        <w:tblLayout w:type="fixed"/>
        <w:tblCellMar>
          <w:top w:w="0" w:type="dxa"/>
          <w:left w:w="0" w:type="dxa"/>
          <w:bottom w:w="0" w:type="dxa"/>
          <w:right w:w="0" w:type="dxa"/>
        </w:tblCellMar>
        <w:tblLook w:val="01E0"/>
      </w:tblPr>
      <w:tblGrid>
        <w:gridCol w:w="3324"/>
        <w:gridCol w:w="2593"/>
        <w:gridCol w:w="2600"/>
      </w:tblGrid>
      <w:tr>
        <w:trPr>
          <w:trHeight w:val="340" w:hRule="exact"/>
        </w:trPr>
        <w:tc>
          <w:tcPr>
            <w:tcW w:w="3324" w:type="dxa"/>
            <w:vMerge w:val="restart"/>
            <w:tcBorders>
              <w:top w:val="single" w:sz="4" w:space="0" w:color="000000"/>
              <w:left w:val="single" w:sz="4" w:space="0" w:color="000000"/>
              <w:right w:val="single" w:sz="4" w:space="0" w:color="000000"/>
            </w:tcBorders>
          </w:tcPr>
          <w:p>
            <w:pPr>
              <w:pStyle w:val="TableParagraph"/>
              <w:spacing w:line="240" w:lineRule="auto" w:before="158"/>
              <w:ind w:right="0"/>
              <w:jc w:val="center"/>
              <w:rPr>
                <w:rFonts w:ascii="宋体" w:hAnsi="宋体" w:cs="宋体" w:eastAsia="宋体" w:hint="default"/>
                <w:sz w:val="21"/>
                <w:szCs w:val="21"/>
              </w:rPr>
            </w:pPr>
            <w:r>
              <w:rPr>
                <w:rFonts w:ascii="宋体" w:hAnsi="宋体" w:cs="宋体" w:eastAsia="宋体" w:hint="default"/>
                <w:b/>
                <w:bCs/>
                <w:sz w:val="21"/>
                <w:szCs w:val="21"/>
              </w:rPr>
              <w:t>账龄情况</w:t>
            </w:r>
            <w:r>
              <w:rPr>
                <w:rFonts w:ascii="宋体" w:hAnsi="宋体" w:cs="宋体" w:eastAsia="宋体" w:hint="default"/>
                <w:sz w:val="21"/>
                <w:szCs w:val="21"/>
              </w:rPr>
            </w:r>
          </w:p>
        </w:tc>
        <w:tc>
          <w:tcPr>
            <w:tcW w:w="259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一般坏账提取比例</w:t>
            </w:r>
            <w:r>
              <w:rPr>
                <w:rFonts w:ascii="宋体" w:hAnsi="宋体" w:cs="宋体" w:eastAsia="宋体" w:hint="default"/>
                <w:sz w:val="21"/>
                <w:szCs w:val="21"/>
              </w:rPr>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
              <w:jc w:val="center"/>
              <w:rPr>
                <w:rFonts w:ascii="宋体" w:hAnsi="宋体" w:cs="宋体" w:eastAsia="宋体" w:hint="default"/>
                <w:sz w:val="21"/>
                <w:szCs w:val="21"/>
              </w:rPr>
            </w:pPr>
            <w:r>
              <w:rPr>
                <w:rFonts w:ascii="宋体" w:hAnsi="宋体" w:cs="宋体" w:eastAsia="宋体" w:hint="default"/>
                <w:b/>
                <w:bCs/>
                <w:sz w:val="21"/>
                <w:szCs w:val="21"/>
              </w:rPr>
              <w:t>一般坏账提取比例</w:t>
            </w:r>
            <w:r>
              <w:rPr>
                <w:rFonts w:ascii="宋体" w:hAnsi="宋体" w:cs="宋体" w:eastAsia="宋体" w:hint="default"/>
                <w:sz w:val="21"/>
                <w:szCs w:val="21"/>
              </w:rPr>
            </w:r>
          </w:p>
        </w:tc>
      </w:tr>
      <w:tr>
        <w:trPr>
          <w:trHeight w:val="341" w:hRule="exact"/>
        </w:trPr>
        <w:tc>
          <w:tcPr>
            <w:tcW w:w="3324" w:type="dxa"/>
            <w:vMerge/>
            <w:tcBorders>
              <w:left w:val="single" w:sz="4" w:space="0" w:color="000000"/>
              <w:bottom w:val="single" w:sz="4" w:space="0" w:color="000000"/>
              <w:right w:val="single" w:sz="4" w:space="0" w:color="000000"/>
            </w:tcBorders>
          </w:tcPr>
          <w:p>
            <w:pPr/>
          </w:p>
        </w:tc>
        <w:tc>
          <w:tcPr>
            <w:tcW w:w="259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变更前</w:t>
            </w:r>
            <w:r>
              <w:rPr>
                <w:rFonts w:ascii="宋体" w:hAnsi="宋体" w:cs="宋体" w:eastAsia="宋体" w:hint="default"/>
                <w:sz w:val="21"/>
                <w:szCs w:val="21"/>
              </w:rPr>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1"/>
              <w:jc w:val="center"/>
              <w:rPr>
                <w:rFonts w:ascii="宋体" w:hAnsi="宋体" w:cs="宋体" w:eastAsia="宋体" w:hint="default"/>
                <w:sz w:val="21"/>
                <w:szCs w:val="21"/>
              </w:rPr>
            </w:pPr>
            <w:r>
              <w:rPr>
                <w:rFonts w:ascii="宋体" w:hAnsi="宋体" w:cs="宋体" w:eastAsia="宋体" w:hint="default"/>
                <w:b/>
                <w:bCs/>
                <w:sz w:val="21"/>
                <w:szCs w:val="21"/>
              </w:rPr>
              <w:t>变更后</w:t>
            </w:r>
            <w:r>
              <w:rPr>
                <w:rFonts w:ascii="宋体" w:hAnsi="宋体" w:cs="宋体" w:eastAsia="宋体" w:hint="default"/>
                <w:sz w:val="21"/>
                <w:szCs w:val="21"/>
              </w:rPr>
            </w:r>
          </w:p>
        </w:tc>
      </w:tr>
      <w:tr>
        <w:trPr>
          <w:trHeight w:val="340"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 w:right="0"/>
              <w:jc w:val="center"/>
              <w:rPr>
                <w:rFonts w:ascii="宋体" w:hAnsi="宋体" w:cs="宋体" w:eastAsia="宋体" w:hint="default"/>
                <w:sz w:val="21"/>
                <w:szCs w:val="21"/>
              </w:rPr>
            </w:pPr>
            <w:r>
              <w:rPr>
                <w:rFonts w:ascii="宋体" w:hAnsi="宋体" w:cs="宋体" w:eastAsia="宋体" w:hint="default"/>
                <w:sz w:val="21"/>
                <w:szCs w:val="21"/>
              </w:rPr>
              <w:t>一年以内</w:t>
            </w:r>
          </w:p>
        </w:tc>
        <w:tc>
          <w:tcPr>
            <w:tcW w:w="259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 w:right="0"/>
              <w:jc w:val="center"/>
              <w:rPr>
                <w:rFonts w:ascii="宋体" w:hAnsi="宋体" w:cs="宋体" w:eastAsia="宋体" w:hint="default"/>
                <w:sz w:val="21"/>
                <w:szCs w:val="21"/>
              </w:rPr>
            </w:pPr>
            <w:r>
              <w:rPr>
                <w:rFonts w:ascii="宋体"/>
                <w:sz w:val="21"/>
              </w:rPr>
              <w:t>0.3%</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宋体" w:hAnsi="宋体" w:cs="宋体" w:eastAsia="宋体" w:hint="default"/>
                <w:sz w:val="21"/>
                <w:szCs w:val="21"/>
              </w:rPr>
            </w:pPr>
            <w:r>
              <w:rPr>
                <w:rFonts w:ascii="宋体"/>
                <w:sz w:val="21"/>
              </w:rPr>
              <w:t>1%</w:t>
            </w:r>
          </w:p>
        </w:tc>
      </w:tr>
      <w:tr>
        <w:trPr>
          <w:trHeight w:val="340"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宋体" w:hAnsi="宋体" w:cs="宋体" w:eastAsia="宋体" w:hint="default"/>
                <w:sz w:val="21"/>
                <w:szCs w:val="21"/>
              </w:rPr>
            </w:pPr>
            <w:r>
              <w:rPr>
                <w:rFonts w:ascii="宋体" w:hAnsi="宋体" w:cs="宋体" w:eastAsia="宋体" w:hint="default"/>
                <w:sz w:val="21"/>
                <w:szCs w:val="21"/>
              </w:rPr>
              <w:t>一年至二年</w:t>
            </w:r>
          </w:p>
        </w:tc>
        <w:tc>
          <w:tcPr>
            <w:tcW w:w="259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2" w:right="0"/>
              <w:jc w:val="center"/>
              <w:rPr>
                <w:rFonts w:ascii="宋体" w:hAnsi="宋体" w:cs="宋体" w:eastAsia="宋体" w:hint="default"/>
                <w:sz w:val="21"/>
                <w:szCs w:val="21"/>
              </w:rPr>
            </w:pPr>
            <w:r>
              <w:rPr>
                <w:rFonts w:ascii="宋体"/>
                <w:sz w:val="21"/>
              </w:rPr>
              <w:t>0.5%</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宋体" w:hAnsi="宋体" w:cs="宋体" w:eastAsia="宋体" w:hint="default"/>
                <w:sz w:val="21"/>
                <w:szCs w:val="21"/>
              </w:rPr>
            </w:pPr>
            <w:r>
              <w:rPr>
                <w:rFonts w:ascii="宋体"/>
                <w:sz w:val="21"/>
              </w:rPr>
              <w:t>2%</w:t>
            </w:r>
          </w:p>
        </w:tc>
      </w:tr>
      <w:tr>
        <w:trPr>
          <w:trHeight w:val="341"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宋体" w:hAnsi="宋体" w:cs="宋体" w:eastAsia="宋体" w:hint="default"/>
                <w:sz w:val="21"/>
                <w:szCs w:val="21"/>
              </w:rPr>
            </w:pPr>
            <w:r>
              <w:rPr>
                <w:rFonts w:ascii="宋体" w:hAnsi="宋体" w:cs="宋体" w:eastAsia="宋体" w:hint="default"/>
                <w:sz w:val="21"/>
                <w:szCs w:val="21"/>
              </w:rPr>
              <w:t>二年至三年</w:t>
            </w:r>
          </w:p>
        </w:tc>
        <w:tc>
          <w:tcPr>
            <w:tcW w:w="259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3" w:right="0"/>
              <w:jc w:val="center"/>
              <w:rPr>
                <w:rFonts w:ascii="宋体" w:hAnsi="宋体" w:cs="宋体" w:eastAsia="宋体" w:hint="default"/>
                <w:sz w:val="21"/>
                <w:szCs w:val="21"/>
              </w:rPr>
            </w:pPr>
            <w:r>
              <w:rPr>
                <w:rFonts w:ascii="宋体"/>
                <w:sz w:val="21"/>
              </w:rPr>
              <w:t>1%</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宋体" w:hAnsi="宋体" w:cs="宋体" w:eastAsia="宋体" w:hint="default"/>
                <w:sz w:val="21"/>
                <w:szCs w:val="21"/>
              </w:rPr>
            </w:pPr>
            <w:r>
              <w:rPr>
                <w:rFonts w:ascii="宋体"/>
                <w:sz w:val="21"/>
              </w:rPr>
              <w:t>5%</w:t>
            </w:r>
          </w:p>
        </w:tc>
      </w:tr>
      <w:tr>
        <w:trPr>
          <w:trHeight w:val="340"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宋体" w:hAnsi="宋体" w:cs="宋体" w:eastAsia="宋体" w:hint="default"/>
                <w:sz w:val="21"/>
                <w:szCs w:val="21"/>
              </w:rPr>
            </w:pPr>
            <w:r>
              <w:rPr>
                <w:rFonts w:ascii="宋体" w:hAnsi="宋体" w:cs="宋体" w:eastAsia="宋体" w:hint="default"/>
                <w:sz w:val="21"/>
                <w:szCs w:val="21"/>
              </w:rPr>
              <w:t>三年至五年</w:t>
            </w:r>
          </w:p>
        </w:tc>
        <w:tc>
          <w:tcPr>
            <w:tcW w:w="259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 w:right="0"/>
              <w:jc w:val="center"/>
              <w:rPr>
                <w:rFonts w:ascii="宋体" w:hAnsi="宋体" w:cs="宋体" w:eastAsia="宋体" w:hint="default"/>
                <w:sz w:val="21"/>
                <w:szCs w:val="21"/>
              </w:rPr>
            </w:pPr>
            <w:r>
              <w:rPr>
                <w:rFonts w:ascii="宋体"/>
                <w:sz w:val="21"/>
              </w:rPr>
              <w:t>10%</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 w:right="0"/>
              <w:jc w:val="center"/>
              <w:rPr>
                <w:rFonts w:ascii="宋体" w:hAnsi="宋体" w:cs="宋体" w:eastAsia="宋体" w:hint="default"/>
                <w:sz w:val="21"/>
                <w:szCs w:val="21"/>
              </w:rPr>
            </w:pPr>
            <w:r>
              <w:rPr>
                <w:rFonts w:ascii="宋体"/>
                <w:sz w:val="21"/>
              </w:rPr>
              <w:t>10%</w:t>
            </w:r>
          </w:p>
        </w:tc>
      </w:tr>
      <w:tr>
        <w:trPr>
          <w:trHeight w:val="341"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 w:right="0"/>
              <w:jc w:val="center"/>
              <w:rPr>
                <w:rFonts w:ascii="宋体" w:hAnsi="宋体" w:cs="宋体" w:eastAsia="宋体" w:hint="default"/>
                <w:sz w:val="21"/>
                <w:szCs w:val="21"/>
              </w:rPr>
            </w:pPr>
            <w:r>
              <w:rPr>
                <w:rFonts w:ascii="宋体" w:hAnsi="宋体" w:cs="宋体" w:eastAsia="宋体" w:hint="default"/>
                <w:sz w:val="21"/>
                <w:szCs w:val="21"/>
              </w:rPr>
              <w:t>五年以上</w:t>
            </w:r>
          </w:p>
        </w:tc>
        <w:tc>
          <w:tcPr>
            <w:tcW w:w="2593"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 w:right="0"/>
              <w:jc w:val="center"/>
              <w:rPr>
                <w:rFonts w:ascii="宋体" w:hAnsi="宋体" w:cs="宋体" w:eastAsia="宋体" w:hint="default"/>
                <w:sz w:val="21"/>
                <w:szCs w:val="21"/>
              </w:rPr>
            </w:pPr>
            <w:r>
              <w:rPr>
                <w:rFonts w:ascii="宋体"/>
                <w:sz w:val="21"/>
              </w:rPr>
              <w:t>100%</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1" w:right="0"/>
              <w:jc w:val="center"/>
              <w:rPr>
                <w:rFonts w:ascii="宋体" w:hAnsi="宋体" w:cs="宋体" w:eastAsia="宋体" w:hint="default"/>
                <w:sz w:val="21"/>
                <w:szCs w:val="21"/>
              </w:rPr>
            </w:pPr>
            <w:r>
              <w:rPr>
                <w:rFonts w:ascii="宋体"/>
                <w:sz w:val="21"/>
              </w:rPr>
              <w:t>100%</w:t>
            </w:r>
          </w:p>
        </w:tc>
      </w:tr>
    </w:tbl>
    <w:p>
      <w:pPr>
        <w:pStyle w:val="BodyText"/>
        <w:spacing w:line="244" w:lineRule="auto" w:before="40"/>
        <w:ind w:left="620" w:right="2824"/>
        <w:jc w:val="left"/>
      </w:pPr>
      <w:r>
        <w:rPr/>
        <w:t>该会计估计变更对本期净利润影响数为-6,307,057元。 本会计期间内公司未发生会计政策变更和前期差错更正事项。</w:t>
      </w:r>
    </w:p>
    <w:p>
      <w:pPr>
        <w:spacing w:after="0" w:line="244" w:lineRule="auto"/>
        <w:jc w:val="left"/>
        <w:sectPr>
          <w:pgSz w:w="11910" w:h="16840"/>
          <w:pgMar w:header="720" w:footer="721" w:top="1100" w:bottom="920" w:left="1220" w:right="74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pStyle w:val="BodyText"/>
        <w:spacing w:line="312" w:lineRule="exact" w:before="56"/>
        <w:ind w:left="260" w:right="6264"/>
        <w:jc w:val="left"/>
      </w:pPr>
      <w:r>
        <w:rPr/>
        <w:t>（七）董事会日常工作情况 1、董事会会议情况及决议内容</w:t>
      </w:r>
    </w:p>
    <w:tbl>
      <w:tblPr>
        <w:tblW w:w="0" w:type="auto"/>
        <w:jc w:val="left"/>
        <w:tblInd w:w="101" w:type="dxa"/>
        <w:tblLayout w:type="fixed"/>
        <w:tblCellMar>
          <w:top w:w="0" w:type="dxa"/>
          <w:left w:w="0" w:type="dxa"/>
          <w:bottom w:w="0" w:type="dxa"/>
          <w:right w:w="0" w:type="dxa"/>
        </w:tblCellMar>
        <w:tblLook w:val="01E0"/>
      </w:tblPr>
      <w:tblGrid>
        <w:gridCol w:w="1210"/>
        <w:gridCol w:w="1699"/>
        <w:gridCol w:w="3156"/>
        <w:gridCol w:w="1655"/>
        <w:gridCol w:w="1826"/>
      </w:tblGrid>
      <w:tr>
        <w:trPr>
          <w:trHeight w:val="560" w:hRule="exact"/>
        </w:trPr>
        <w:tc>
          <w:tcPr>
            <w:tcW w:w="12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74" w:right="0"/>
              <w:jc w:val="left"/>
              <w:rPr>
                <w:rFonts w:ascii="宋体" w:hAnsi="宋体" w:cs="宋体" w:eastAsia="宋体" w:hint="default"/>
                <w:sz w:val="21"/>
                <w:szCs w:val="21"/>
              </w:rPr>
            </w:pPr>
            <w:r>
              <w:rPr>
                <w:rFonts w:ascii="宋体" w:hAnsi="宋体" w:cs="宋体" w:eastAsia="宋体" w:hint="default"/>
                <w:b/>
                <w:bCs/>
                <w:sz w:val="21"/>
                <w:szCs w:val="21"/>
              </w:rPr>
              <w:t>会议届次</w:t>
            </w:r>
            <w:r>
              <w:rPr>
                <w:rFonts w:ascii="宋体" w:hAnsi="宋体" w:cs="宋体" w:eastAsia="宋体" w:hint="default"/>
                <w:sz w:val="21"/>
                <w:szCs w:val="21"/>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20" w:right="0"/>
              <w:jc w:val="left"/>
              <w:rPr>
                <w:rFonts w:ascii="宋体" w:hAnsi="宋体" w:cs="宋体" w:eastAsia="宋体" w:hint="default"/>
                <w:sz w:val="21"/>
                <w:szCs w:val="21"/>
              </w:rPr>
            </w:pPr>
            <w:r>
              <w:rPr>
                <w:rFonts w:ascii="宋体" w:hAnsi="宋体" w:cs="宋体" w:eastAsia="宋体" w:hint="default"/>
                <w:b/>
                <w:bCs/>
                <w:sz w:val="21"/>
                <w:szCs w:val="21"/>
              </w:rPr>
              <w:t>召开日期</w:t>
            </w:r>
            <w:r>
              <w:rPr>
                <w:rFonts w:ascii="宋体" w:hAnsi="宋体" w:cs="宋体" w:eastAsia="宋体" w:hint="default"/>
                <w:sz w:val="21"/>
                <w:szCs w:val="21"/>
              </w:rPr>
            </w:r>
          </w:p>
        </w:tc>
        <w:tc>
          <w:tcPr>
            <w:tcW w:w="31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b/>
                <w:bCs/>
                <w:sz w:val="21"/>
                <w:szCs w:val="21"/>
              </w:rPr>
              <w:t>决议内容</w:t>
            </w:r>
            <w:r>
              <w:rPr>
                <w:rFonts w:ascii="宋体" w:hAnsi="宋体" w:cs="宋体" w:eastAsia="宋体" w:hint="default"/>
                <w:sz w:val="21"/>
                <w:szCs w:val="21"/>
              </w:rPr>
            </w:r>
          </w:p>
        </w:tc>
        <w:tc>
          <w:tcPr>
            <w:tcW w:w="1655"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b/>
                <w:bCs/>
                <w:sz w:val="21"/>
                <w:szCs w:val="21"/>
              </w:rPr>
              <w:t>决议刊登的</w:t>
            </w:r>
            <w:r>
              <w:rPr>
                <w:rFonts w:ascii="宋体" w:hAnsi="宋体" w:cs="宋体" w:eastAsia="宋体" w:hint="default"/>
                <w:sz w:val="21"/>
                <w:szCs w:val="21"/>
              </w:rPr>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信息披露报纸</w:t>
            </w:r>
            <w:r>
              <w:rPr>
                <w:rFonts w:ascii="宋体" w:hAnsi="宋体" w:cs="宋体" w:eastAsia="宋体" w:hint="default"/>
                <w:sz w:val="21"/>
                <w:szCs w:val="21"/>
              </w:rPr>
            </w:r>
          </w:p>
        </w:tc>
        <w:tc>
          <w:tcPr>
            <w:tcW w:w="182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决议刊登的信息</w:t>
            </w:r>
            <w:r>
              <w:rPr>
                <w:rFonts w:ascii="宋体" w:hAnsi="宋体" w:cs="宋体" w:eastAsia="宋体" w:hint="default"/>
                <w:sz w:val="21"/>
                <w:szCs w:val="21"/>
              </w:rPr>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披露日期</w:t>
            </w:r>
            <w:r>
              <w:rPr>
                <w:rFonts w:ascii="宋体" w:hAnsi="宋体" w:cs="宋体" w:eastAsia="宋体" w:hint="default"/>
                <w:sz w:val="21"/>
                <w:szCs w:val="21"/>
              </w:rPr>
            </w:r>
          </w:p>
        </w:tc>
      </w:tr>
      <w:tr>
        <w:trPr>
          <w:trHeight w:val="481" w:hRule="exact"/>
        </w:trPr>
        <w:tc>
          <w:tcPr>
            <w:tcW w:w="12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五届六次</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25</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156" w:type="dxa"/>
            <w:tcBorders>
              <w:top w:val="single" w:sz="6" w:space="0" w:color="000000"/>
              <w:left w:val="single" w:sz="6" w:space="0" w:color="000000"/>
              <w:bottom w:val="single" w:sz="6" w:space="0" w:color="000000"/>
              <w:right w:val="single" w:sz="6" w:space="0" w:color="000000"/>
            </w:tcBorders>
          </w:tcPr>
          <w:p>
            <w:pPr/>
          </w:p>
        </w:tc>
        <w:tc>
          <w:tcPr>
            <w:tcW w:w="165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8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82" w:hRule="exact"/>
        </w:trPr>
        <w:tc>
          <w:tcPr>
            <w:tcW w:w="12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五届七次</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14</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156" w:type="dxa"/>
            <w:tcBorders>
              <w:top w:val="single" w:sz="6" w:space="0" w:color="000000"/>
              <w:left w:val="single" w:sz="6" w:space="0" w:color="000000"/>
              <w:bottom w:val="single" w:sz="6" w:space="0" w:color="000000"/>
              <w:right w:val="single" w:sz="6" w:space="0" w:color="000000"/>
            </w:tcBorders>
          </w:tcPr>
          <w:p>
            <w:pPr/>
          </w:p>
        </w:tc>
        <w:tc>
          <w:tcPr>
            <w:tcW w:w="165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8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15</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81" w:hRule="exact"/>
        </w:trPr>
        <w:tc>
          <w:tcPr>
            <w:tcW w:w="12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五届八次</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156" w:type="dxa"/>
            <w:tcBorders>
              <w:top w:val="single" w:sz="6" w:space="0" w:color="000000"/>
              <w:left w:val="single" w:sz="6" w:space="0" w:color="000000"/>
              <w:bottom w:val="single" w:sz="6" w:space="0" w:color="000000"/>
              <w:right w:val="single" w:sz="6" w:space="0" w:color="000000"/>
            </w:tcBorders>
          </w:tcPr>
          <w:p>
            <w:pPr/>
          </w:p>
        </w:tc>
        <w:tc>
          <w:tcPr>
            <w:tcW w:w="165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8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82" w:hRule="exact"/>
        </w:trPr>
        <w:tc>
          <w:tcPr>
            <w:tcW w:w="12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五届九次</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156" w:type="dxa"/>
            <w:tcBorders>
              <w:top w:val="single" w:sz="6" w:space="0" w:color="000000"/>
              <w:left w:val="single" w:sz="6" w:space="0" w:color="000000"/>
              <w:bottom w:val="single" w:sz="6" w:space="0" w:color="000000"/>
              <w:right w:val="single" w:sz="6" w:space="0" w:color="000000"/>
            </w:tcBorders>
          </w:tcPr>
          <w:p>
            <w:pPr/>
          </w:p>
        </w:tc>
        <w:tc>
          <w:tcPr>
            <w:tcW w:w="165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8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81" w:hRule="exact"/>
        </w:trPr>
        <w:tc>
          <w:tcPr>
            <w:tcW w:w="12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五届十次</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156" w:type="dxa"/>
            <w:tcBorders>
              <w:top w:val="single" w:sz="6" w:space="0" w:color="000000"/>
              <w:left w:val="single" w:sz="6" w:space="0" w:color="000000"/>
              <w:bottom w:val="single" w:sz="6" w:space="0" w:color="000000"/>
              <w:right w:val="single" w:sz="6" w:space="0" w:color="000000"/>
            </w:tcBorders>
          </w:tcPr>
          <w:p>
            <w:pPr/>
          </w:p>
        </w:tc>
        <w:tc>
          <w:tcPr>
            <w:tcW w:w="165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8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82" w:hRule="exact"/>
        </w:trPr>
        <w:tc>
          <w:tcPr>
            <w:tcW w:w="12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五届十一次</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156" w:type="dxa"/>
            <w:tcBorders>
              <w:top w:val="single" w:sz="6" w:space="0" w:color="000000"/>
              <w:left w:val="single" w:sz="6" w:space="0" w:color="000000"/>
              <w:bottom w:val="single" w:sz="6" w:space="0" w:color="000000"/>
              <w:right w:val="single" w:sz="6" w:space="0" w:color="000000"/>
            </w:tcBorders>
          </w:tcPr>
          <w:p>
            <w:pPr/>
          </w:p>
        </w:tc>
        <w:tc>
          <w:tcPr>
            <w:tcW w:w="165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8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481" w:hRule="exact"/>
        </w:trPr>
        <w:tc>
          <w:tcPr>
            <w:tcW w:w="12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五届十二次</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156" w:type="dxa"/>
            <w:tcBorders>
              <w:top w:val="single" w:sz="6" w:space="0" w:color="000000"/>
              <w:left w:val="single" w:sz="6" w:space="0" w:color="000000"/>
              <w:bottom w:val="single" w:sz="6" w:space="0" w:color="000000"/>
              <w:right w:val="single" w:sz="6" w:space="0" w:color="000000"/>
            </w:tcBorders>
          </w:tcPr>
          <w:p>
            <w:pPr/>
          </w:p>
        </w:tc>
        <w:tc>
          <w:tcPr>
            <w:tcW w:w="165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8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1650" w:hRule="exact"/>
        </w:trPr>
        <w:tc>
          <w:tcPr>
            <w:tcW w:w="12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五届十三次</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315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both"/>
              <w:rPr>
                <w:rFonts w:ascii="宋体" w:hAnsi="宋体" w:cs="宋体" w:eastAsia="宋体" w:hint="default"/>
                <w:sz w:val="18"/>
                <w:szCs w:val="18"/>
              </w:rPr>
            </w:pPr>
            <w:r>
              <w:rPr>
                <w:rFonts w:ascii="宋体" w:hAnsi="宋体" w:cs="宋体" w:eastAsia="宋体" w:hint="default"/>
                <w:sz w:val="18"/>
                <w:szCs w:val="18"/>
              </w:rPr>
              <w:t>1、2009</w:t>
            </w:r>
            <w:r>
              <w:rPr>
                <w:rFonts w:ascii="宋体" w:hAnsi="宋体" w:cs="宋体" w:eastAsia="宋体" w:hint="default"/>
                <w:spacing w:val="-46"/>
                <w:sz w:val="18"/>
                <w:szCs w:val="18"/>
              </w:rPr>
              <w:t> </w:t>
            </w:r>
            <w:r>
              <w:rPr>
                <w:rFonts w:ascii="宋体" w:hAnsi="宋体" w:cs="宋体" w:eastAsia="宋体" w:hint="default"/>
                <w:sz w:val="18"/>
                <w:szCs w:val="18"/>
              </w:rPr>
              <w:t>年第三季度报告；</w:t>
            </w:r>
          </w:p>
          <w:p>
            <w:pPr>
              <w:pStyle w:val="TableParagraph"/>
              <w:spacing w:line="237" w:lineRule="auto" w:before="1"/>
              <w:ind w:left="100" w:right="98"/>
              <w:jc w:val="both"/>
              <w:rPr>
                <w:rFonts w:ascii="宋体" w:hAnsi="宋体" w:cs="宋体" w:eastAsia="宋体" w:hint="default"/>
                <w:sz w:val="18"/>
                <w:szCs w:val="18"/>
              </w:rPr>
            </w:pPr>
            <w:r>
              <w:rPr>
                <w:rFonts w:ascii="宋体" w:hAnsi="宋体" w:cs="宋体" w:eastAsia="宋体" w:hint="default"/>
                <w:sz w:val="18"/>
                <w:szCs w:val="18"/>
              </w:rPr>
              <w:t>2、关于对全资子公司-东软（欧洲） 有限公司增加投资的议案。为支持公 司在欧洲并购项目的实施，董事会决 定对东软（欧洲）有限公司增加投资 600</w:t>
            </w:r>
            <w:r>
              <w:rPr>
                <w:rFonts w:ascii="宋体" w:hAnsi="宋体" w:cs="宋体" w:eastAsia="宋体" w:hint="default"/>
                <w:spacing w:val="-32"/>
                <w:sz w:val="18"/>
                <w:szCs w:val="18"/>
              </w:rPr>
              <w:t> </w:t>
            </w:r>
            <w:r>
              <w:rPr>
                <w:rFonts w:ascii="宋体" w:hAnsi="宋体" w:cs="宋体" w:eastAsia="宋体" w:hint="default"/>
                <w:spacing w:val="-6"/>
                <w:sz w:val="18"/>
                <w:szCs w:val="18"/>
              </w:rPr>
              <w:t>万欧元。本次增资完成后，该公司</w:t>
            </w:r>
          </w:p>
          <w:p>
            <w:pPr>
              <w:pStyle w:val="TableParagraph"/>
              <w:spacing w:line="234" w:lineRule="exact"/>
              <w:ind w:left="100" w:right="0"/>
              <w:jc w:val="both"/>
              <w:rPr>
                <w:rFonts w:ascii="宋体" w:hAnsi="宋体" w:cs="宋体" w:eastAsia="宋体" w:hint="default"/>
                <w:sz w:val="18"/>
                <w:szCs w:val="18"/>
              </w:rPr>
            </w:pPr>
            <w:r>
              <w:rPr>
                <w:rFonts w:ascii="宋体" w:hAnsi="宋体" w:cs="宋体" w:eastAsia="宋体" w:hint="default"/>
                <w:sz w:val="18"/>
                <w:szCs w:val="18"/>
              </w:rPr>
              <w:t>注册资本为</w:t>
            </w:r>
            <w:r>
              <w:rPr>
                <w:rFonts w:ascii="宋体" w:hAnsi="宋体" w:cs="宋体" w:eastAsia="宋体" w:hint="default"/>
                <w:spacing w:val="-46"/>
                <w:sz w:val="18"/>
                <w:szCs w:val="18"/>
              </w:rPr>
              <w:t> </w:t>
            </w:r>
            <w:r>
              <w:rPr>
                <w:rFonts w:ascii="宋体" w:hAnsi="宋体" w:cs="宋体" w:eastAsia="宋体" w:hint="default"/>
                <w:sz w:val="18"/>
                <w:szCs w:val="18"/>
              </w:rPr>
              <w:t>1,379</w:t>
            </w:r>
            <w:r>
              <w:rPr>
                <w:rFonts w:ascii="宋体" w:hAnsi="宋体" w:cs="宋体" w:eastAsia="宋体" w:hint="default"/>
                <w:spacing w:val="-46"/>
                <w:sz w:val="18"/>
                <w:szCs w:val="18"/>
              </w:rPr>
              <w:t> </w:t>
            </w:r>
            <w:r>
              <w:rPr>
                <w:rFonts w:ascii="宋体" w:hAnsi="宋体" w:cs="宋体" w:eastAsia="宋体" w:hint="default"/>
                <w:sz w:val="18"/>
                <w:szCs w:val="18"/>
              </w:rPr>
              <w:t>万欧元。</w:t>
            </w:r>
          </w:p>
        </w:tc>
        <w:tc>
          <w:tcPr>
            <w:tcW w:w="16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4"/>
                <w:szCs w:val="24"/>
              </w:rPr>
            </w:pP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8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30</w:t>
            </w:r>
            <w:r>
              <w:rPr>
                <w:rFonts w:ascii="宋体" w:hAnsi="宋体" w:cs="宋体" w:eastAsia="宋体" w:hint="default"/>
                <w:spacing w:val="-46"/>
                <w:sz w:val="18"/>
                <w:szCs w:val="18"/>
              </w:rPr>
              <w:t> </w:t>
            </w:r>
            <w:r>
              <w:rPr>
                <w:rFonts w:ascii="宋体" w:hAnsi="宋体" w:cs="宋体" w:eastAsia="宋体" w:hint="default"/>
                <w:sz w:val="18"/>
                <w:szCs w:val="18"/>
              </w:rPr>
              <w:t>日</w:t>
            </w:r>
          </w:p>
        </w:tc>
      </w:tr>
      <w:tr>
        <w:trPr>
          <w:trHeight w:val="1649" w:hRule="exact"/>
        </w:trPr>
        <w:tc>
          <w:tcPr>
            <w:tcW w:w="12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五届十四次</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315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pacing w:val="3"/>
                <w:sz w:val="18"/>
                <w:szCs w:val="18"/>
              </w:rPr>
              <w:t>1、关于全资子公司-东软科技有限公</w:t>
            </w:r>
            <w:r>
              <w:rPr>
                <w:rFonts w:ascii="宋体" w:hAnsi="宋体" w:cs="宋体" w:eastAsia="宋体" w:hint="default"/>
                <w:sz w:val="18"/>
                <w:szCs w:val="18"/>
              </w:rPr>
            </w:r>
          </w:p>
          <w:p>
            <w:pPr>
              <w:pStyle w:val="TableParagraph"/>
              <w:spacing w:line="237" w:lineRule="auto"/>
              <w:ind w:left="100" w:right="96"/>
              <w:jc w:val="both"/>
              <w:rPr>
                <w:rFonts w:ascii="宋体" w:hAnsi="宋体" w:cs="宋体" w:eastAsia="宋体" w:hint="default"/>
                <w:sz w:val="18"/>
                <w:szCs w:val="18"/>
              </w:rPr>
            </w:pPr>
            <w:r>
              <w:rPr>
                <w:rFonts w:ascii="宋体" w:hAnsi="宋体" w:cs="宋体" w:eastAsia="宋体" w:hint="default"/>
                <w:sz w:val="18"/>
                <w:szCs w:val="18"/>
              </w:rPr>
              <w:t>司收购</w:t>
            </w:r>
            <w:r>
              <w:rPr>
                <w:rFonts w:ascii="宋体" w:hAnsi="宋体" w:cs="宋体" w:eastAsia="宋体" w:hint="default"/>
                <w:spacing w:val="-47"/>
                <w:sz w:val="18"/>
                <w:szCs w:val="18"/>
              </w:rPr>
              <w:t> </w:t>
            </w:r>
            <w:r>
              <w:rPr>
                <w:rFonts w:ascii="宋体" w:hAnsi="宋体" w:cs="宋体" w:eastAsia="宋体" w:hint="default"/>
                <w:sz w:val="18"/>
                <w:szCs w:val="18"/>
              </w:rPr>
              <w:t>Taproot</w:t>
            </w:r>
            <w:r>
              <w:rPr>
                <w:rFonts w:ascii="宋体" w:hAnsi="宋体" w:cs="宋体" w:eastAsia="宋体" w:hint="default"/>
                <w:spacing w:val="-39"/>
                <w:sz w:val="18"/>
                <w:szCs w:val="18"/>
              </w:rPr>
              <w:t> </w:t>
            </w:r>
            <w:r>
              <w:rPr>
                <w:rFonts w:ascii="宋体" w:hAnsi="宋体" w:cs="宋体" w:eastAsia="宋体" w:hint="default"/>
                <w:sz w:val="18"/>
                <w:szCs w:val="18"/>
              </w:rPr>
              <w:t>System</w:t>
            </w:r>
            <w:r>
              <w:rPr>
                <w:rFonts w:ascii="宋体" w:hAnsi="宋体" w:cs="宋体" w:eastAsia="宋体" w:hint="default"/>
                <w:spacing w:val="-39"/>
                <w:sz w:val="18"/>
                <w:szCs w:val="18"/>
              </w:rPr>
              <w:t> </w:t>
            </w:r>
            <w:r>
              <w:rPr>
                <w:rFonts w:ascii="宋体" w:hAnsi="宋体" w:cs="宋体" w:eastAsia="宋体" w:hint="default"/>
                <w:sz w:val="18"/>
                <w:szCs w:val="18"/>
              </w:rPr>
              <w:t>Inc.从事高端</w:t>
            </w:r>
            <w:r>
              <w:rPr>
                <w:rFonts w:ascii="宋体" w:hAnsi="宋体" w:cs="宋体" w:eastAsia="宋体" w:hint="default"/>
                <w:sz w:val="18"/>
                <w:szCs w:val="18"/>
              </w:rPr>
              <w:t> </w:t>
            </w:r>
            <w:r>
              <w:rPr>
                <w:rFonts w:ascii="宋体" w:hAnsi="宋体" w:cs="宋体" w:eastAsia="宋体" w:hint="default"/>
                <w:spacing w:val="3"/>
                <w:sz w:val="18"/>
                <w:szCs w:val="18"/>
              </w:rPr>
              <w:t>智能手机嵌入式软件开发服务业务的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议案（注</w:t>
            </w:r>
            <w:r>
              <w:rPr>
                <w:rFonts w:ascii="宋体" w:hAnsi="宋体" w:cs="宋体" w:eastAsia="宋体" w:hint="default"/>
                <w:spacing w:val="-46"/>
                <w:sz w:val="18"/>
                <w:szCs w:val="18"/>
              </w:rPr>
              <w:t> </w:t>
            </w:r>
            <w:r>
              <w:rPr>
                <w:rFonts w:ascii="宋体" w:hAnsi="宋体" w:cs="宋体" w:eastAsia="宋体" w:hint="default"/>
                <w:sz w:val="18"/>
                <w:szCs w:val="18"/>
              </w:rPr>
              <w:t>1）</w:t>
            </w:r>
          </w:p>
          <w:p>
            <w:pPr>
              <w:pStyle w:val="TableParagraph"/>
              <w:spacing w:line="237" w:lineRule="auto" w:before="1"/>
              <w:ind w:left="100" w:right="95"/>
              <w:jc w:val="both"/>
              <w:rPr>
                <w:rFonts w:ascii="宋体" w:hAnsi="宋体" w:cs="宋体" w:eastAsia="宋体" w:hint="default"/>
                <w:sz w:val="18"/>
                <w:szCs w:val="18"/>
              </w:rPr>
            </w:pPr>
            <w:r>
              <w:rPr>
                <w:rFonts w:ascii="宋体" w:hAnsi="宋体" w:cs="宋体" w:eastAsia="宋体" w:hint="default"/>
                <w:spacing w:val="3"/>
                <w:sz w:val="18"/>
                <w:szCs w:val="18"/>
              </w:rPr>
              <w:t>2、关于全资子公司-东软科技有限公 </w:t>
            </w:r>
            <w:r>
              <w:rPr>
                <w:rFonts w:ascii="宋体" w:hAnsi="宋体" w:cs="宋体" w:eastAsia="宋体" w:hint="default"/>
                <w:sz w:val="18"/>
                <w:szCs w:val="18"/>
              </w:rPr>
              <w:t>司 收 购 2223945 Ontario</w:t>
            </w:r>
            <w:r>
              <w:rPr>
                <w:rFonts w:ascii="宋体" w:hAnsi="宋体" w:cs="宋体" w:eastAsia="宋体" w:hint="default"/>
                <w:spacing w:val="60"/>
                <w:sz w:val="18"/>
                <w:szCs w:val="18"/>
              </w:rPr>
              <w:t> </w:t>
            </w:r>
            <w:r>
              <w:rPr>
                <w:rFonts w:ascii="宋体" w:hAnsi="宋体" w:cs="宋体" w:eastAsia="宋体" w:hint="default"/>
                <w:sz w:val="18"/>
                <w:szCs w:val="18"/>
              </w:rPr>
              <w:t>Limited</w:t>
            </w:r>
            <w:r>
              <w:rPr>
                <w:rFonts w:ascii="宋体" w:hAnsi="宋体" w:cs="宋体" w:eastAsia="宋体" w:hint="default"/>
                <w:sz w:val="18"/>
                <w:szCs w:val="18"/>
              </w:rPr>
              <w:t> 100%股份的议案（注</w:t>
            </w:r>
            <w:r>
              <w:rPr>
                <w:rFonts w:ascii="宋体" w:hAnsi="宋体" w:cs="宋体" w:eastAsia="宋体" w:hint="default"/>
                <w:spacing w:val="-46"/>
                <w:sz w:val="18"/>
                <w:szCs w:val="18"/>
              </w:rPr>
              <w:t> </w:t>
            </w:r>
            <w:r>
              <w:rPr>
                <w:rFonts w:ascii="宋体" w:hAnsi="宋体" w:cs="宋体" w:eastAsia="宋体" w:hint="default"/>
                <w:sz w:val="18"/>
                <w:szCs w:val="18"/>
              </w:rPr>
              <w:t>2）</w:t>
            </w:r>
          </w:p>
        </w:tc>
        <w:tc>
          <w:tcPr>
            <w:tcW w:w="1655" w:type="dxa"/>
            <w:tcBorders>
              <w:top w:val="single" w:sz="6" w:space="0" w:color="000000"/>
              <w:left w:val="single" w:sz="6" w:space="0" w:color="000000"/>
              <w:bottom w:val="single" w:sz="6" w:space="0" w:color="000000"/>
              <w:right w:val="single" w:sz="6" w:space="0" w:color="000000"/>
            </w:tcBorders>
          </w:tcPr>
          <w:p>
            <w:pPr/>
          </w:p>
        </w:tc>
        <w:tc>
          <w:tcPr>
            <w:tcW w:w="1826" w:type="dxa"/>
            <w:tcBorders>
              <w:top w:val="single" w:sz="6" w:space="0" w:color="000000"/>
              <w:left w:val="single" w:sz="6" w:space="0" w:color="000000"/>
              <w:bottom w:val="single" w:sz="6" w:space="0" w:color="000000"/>
              <w:right w:val="single" w:sz="6" w:space="0" w:color="000000"/>
            </w:tcBorders>
          </w:tcPr>
          <w:p>
            <w:pPr/>
          </w:p>
        </w:tc>
      </w:tr>
    </w:tbl>
    <w:p>
      <w:pPr>
        <w:spacing w:line="234" w:lineRule="exact" w:before="0"/>
        <w:ind w:left="260" w:right="280" w:firstLine="360"/>
        <w:jc w:val="both"/>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1：董事会同意东软科技有限公司与</w:t>
      </w:r>
      <w:r>
        <w:rPr>
          <w:rFonts w:ascii="宋体" w:hAnsi="宋体" w:cs="宋体" w:eastAsia="宋体" w:hint="default"/>
          <w:spacing w:val="-46"/>
          <w:sz w:val="18"/>
          <w:szCs w:val="18"/>
        </w:rPr>
        <w:t> </w:t>
      </w:r>
      <w:r>
        <w:rPr>
          <w:rFonts w:ascii="宋体" w:hAnsi="宋体" w:cs="宋体" w:eastAsia="宋体" w:hint="default"/>
          <w:sz w:val="18"/>
          <w:szCs w:val="18"/>
        </w:rPr>
        <w:t>Taproot</w:t>
      </w:r>
      <w:r>
        <w:rPr>
          <w:rFonts w:ascii="宋体" w:hAnsi="宋体" w:cs="宋体" w:eastAsia="宋体" w:hint="default"/>
          <w:spacing w:val="-15"/>
          <w:sz w:val="18"/>
          <w:szCs w:val="18"/>
        </w:rPr>
        <w:t> </w:t>
      </w:r>
      <w:r>
        <w:rPr>
          <w:rFonts w:ascii="宋体" w:hAnsi="宋体" w:cs="宋体" w:eastAsia="宋体" w:hint="default"/>
          <w:sz w:val="18"/>
          <w:szCs w:val="18"/>
        </w:rPr>
        <w:t>System</w:t>
      </w:r>
      <w:r>
        <w:rPr>
          <w:rFonts w:ascii="宋体" w:hAnsi="宋体" w:cs="宋体" w:eastAsia="宋体" w:hint="default"/>
          <w:spacing w:val="-15"/>
          <w:sz w:val="18"/>
          <w:szCs w:val="18"/>
        </w:rPr>
        <w:t> </w:t>
      </w:r>
      <w:r>
        <w:rPr>
          <w:rFonts w:ascii="宋体" w:hAnsi="宋体" w:cs="宋体" w:eastAsia="宋体" w:hint="default"/>
          <w:sz w:val="18"/>
          <w:szCs w:val="18"/>
        </w:rPr>
        <w:t>Inc.签订《资产购买协议》，收购其拥有的从事高端智能</w:t>
      </w:r>
      <w:r>
        <w:rPr>
          <w:rFonts w:ascii="宋体" w:hAnsi="宋体" w:cs="宋体" w:eastAsia="宋体" w:hint="default"/>
          <w:sz w:val="18"/>
          <w:szCs w:val="18"/>
        </w:rPr>
        <w:t> 手机嵌入式软件开发服务业务的全部有形和无形资产、业务和人员，包括价值 42.16</w:t>
      </w:r>
      <w:r>
        <w:rPr>
          <w:rFonts w:ascii="宋体" w:hAnsi="宋体" w:cs="宋体" w:eastAsia="宋体" w:hint="default"/>
          <w:spacing w:val="-30"/>
          <w:sz w:val="18"/>
          <w:szCs w:val="18"/>
        </w:rPr>
        <w:t> </w:t>
      </w:r>
      <w:r>
        <w:rPr>
          <w:rFonts w:ascii="宋体" w:hAnsi="宋体" w:cs="宋体" w:eastAsia="宋体" w:hint="default"/>
          <w:sz w:val="18"/>
          <w:szCs w:val="18"/>
        </w:rPr>
        <w:t>万美元的固定资产、所有的业务</w:t>
      </w:r>
    </w:p>
    <w:p>
      <w:pPr>
        <w:spacing w:line="210" w:lineRule="exact" w:before="0"/>
        <w:ind w:left="260" w:right="144" w:firstLine="0"/>
        <w:jc w:val="left"/>
        <w:rPr>
          <w:rFonts w:ascii="宋体" w:hAnsi="宋体" w:cs="宋体" w:eastAsia="宋体" w:hint="default"/>
          <w:sz w:val="18"/>
          <w:szCs w:val="18"/>
        </w:rPr>
      </w:pPr>
      <w:r>
        <w:rPr>
          <w:rFonts w:ascii="宋体" w:hAnsi="宋体" w:cs="宋体" w:eastAsia="宋体" w:hint="default"/>
          <w:sz w:val="18"/>
          <w:szCs w:val="18"/>
        </w:rPr>
        <w:t>合同、一项专利权和</w:t>
      </w:r>
      <w:r>
        <w:rPr>
          <w:rFonts w:ascii="宋体" w:hAnsi="宋体" w:cs="宋体" w:eastAsia="宋体" w:hint="default"/>
          <w:spacing w:val="-34"/>
          <w:sz w:val="18"/>
          <w:szCs w:val="18"/>
        </w:rPr>
        <w:t> </w:t>
      </w:r>
      <w:r>
        <w:rPr>
          <w:rFonts w:ascii="宋体" w:hAnsi="宋体" w:cs="宋体" w:eastAsia="宋体" w:hint="default"/>
          <w:sz w:val="18"/>
          <w:szCs w:val="18"/>
        </w:rPr>
        <w:t>22</w:t>
      </w:r>
      <w:r>
        <w:rPr>
          <w:rFonts w:ascii="宋体" w:hAnsi="宋体" w:cs="宋体" w:eastAsia="宋体" w:hint="default"/>
          <w:spacing w:val="-34"/>
          <w:sz w:val="18"/>
          <w:szCs w:val="18"/>
        </w:rPr>
        <w:t> </w:t>
      </w:r>
      <w:r>
        <w:rPr>
          <w:rFonts w:ascii="宋体" w:hAnsi="宋体" w:cs="宋体" w:eastAsia="宋体" w:hint="default"/>
          <w:sz w:val="18"/>
          <w:szCs w:val="18"/>
        </w:rPr>
        <w:t>名员工。交易对价为</w:t>
      </w:r>
      <w:r>
        <w:rPr>
          <w:rFonts w:ascii="宋体" w:hAnsi="宋体" w:cs="宋体" w:eastAsia="宋体" w:hint="default"/>
          <w:spacing w:val="-34"/>
          <w:sz w:val="18"/>
          <w:szCs w:val="18"/>
        </w:rPr>
        <w:t> </w:t>
      </w:r>
      <w:r>
        <w:rPr>
          <w:rFonts w:ascii="宋体" w:hAnsi="宋体" w:cs="宋体" w:eastAsia="宋体" w:hint="default"/>
          <w:sz w:val="18"/>
          <w:szCs w:val="18"/>
        </w:rPr>
        <w:t>310</w:t>
      </w:r>
      <w:r>
        <w:rPr>
          <w:rFonts w:ascii="宋体" w:hAnsi="宋体" w:cs="宋体" w:eastAsia="宋体" w:hint="default"/>
          <w:spacing w:val="-34"/>
          <w:sz w:val="18"/>
          <w:szCs w:val="18"/>
        </w:rPr>
        <w:t> </w:t>
      </w:r>
      <w:r>
        <w:rPr>
          <w:rFonts w:ascii="宋体" w:hAnsi="宋体" w:cs="宋体" w:eastAsia="宋体" w:hint="default"/>
          <w:sz w:val="18"/>
          <w:szCs w:val="18"/>
        </w:rPr>
        <w:t>万美元，其中交割日支付</w:t>
      </w:r>
      <w:r>
        <w:rPr>
          <w:rFonts w:ascii="宋体" w:hAnsi="宋体" w:cs="宋体" w:eastAsia="宋体" w:hint="default"/>
          <w:spacing w:val="-34"/>
          <w:sz w:val="18"/>
          <w:szCs w:val="18"/>
        </w:rPr>
        <w:t> </w:t>
      </w:r>
      <w:r>
        <w:rPr>
          <w:rFonts w:ascii="宋体" w:hAnsi="宋体" w:cs="宋体" w:eastAsia="宋体" w:hint="default"/>
          <w:sz w:val="18"/>
          <w:szCs w:val="18"/>
        </w:rPr>
        <w:t>295</w:t>
      </w:r>
      <w:r>
        <w:rPr>
          <w:rFonts w:ascii="宋体" w:hAnsi="宋体" w:cs="宋体" w:eastAsia="宋体" w:hint="default"/>
          <w:spacing w:val="-34"/>
          <w:sz w:val="18"/>
          <w:szCs w:val="18"/>
        </w:rPr>
        <w:t> </w:t>
      </w:r>
      <w:r>
        <w:rPr>
          <w:rFonts w:ascii="宋体" w:hAnsi="宋体" w:cs="宋体" w:eastAsia="宋体" w:hint="default"/>
          <w:sz w:val="18"/>
          <w:szCs w:val="18"/>
        </w:rPr>
        <w:t>万美元，交割日后</w:t>
      </w:r>
      <w:r>
        <w:rPr>
          <w:rFonts w:ascii="宋体" w:hAnsi="宋体" w:cs="宋体" w:eastAsia="宋体" w:hint="default"/>
          <w:spacing w:val="-34"/>
          <w:sz w:val="18"/>
          <w:szCs w:val="18"/>
        </w:rPr>
        <w:t> </w:t>
      </w:r>
      <w:r>
        <w:rPr>
          <w:rFonts w:ascii="宋体" w:hAnsi="宋体" w:cs="宋体" w:eastAsia="宋体" w:hint="default"/>
          <w:sz w:val="18"/>
          <w:szCs w:val="18"/>
        </w:rPr>
        <w:t>1</w:t>
      </w:r>
      <w:r>
        <w:rPr>
          <w:rFonts w:ascii="宋体" w:hAnsi="宋体" w:cs="宋体" w:eastAsia="宋体" w:hint="default"/>
          <w:spacing w:val="-34"/>
          <w:sz w:val="18"/>
          <w:szCs w:val="18"/>
        </w:rPr>
        <w:t> </w:t>
      </w:r>
      <w:r>
        <w:rPr>
          <w:rFonts w:ascii="宋体" w:hAnsi="宋体" w:cs="宋体" w:eastAsia="宋体" w:hint="default"/>
          <w:sz w:val="18"/>
          <w:szCs w:val="18"/>
        </w:rPr>
        <w:t>年有条件支付</w:t>
      </w:r>
      <w:r>
        <w:rPr>
          <w:rFonts w:ascii="宋体" w:hAnsi="宋体" w:cs="宋体" w:eastAsia="宋体" w:hint="default"/>
          <w:spacing w:val="-34"/>
          <w:sz w:val="18"/>
          <w:szCs w:val="18"/>
        </w:rPr>
        <w:t> </w:t>
      </w:r>
      <w:r>
        <w:rPr>
          <w:rFonts w:ascii="宋体" w:hAnsi="宋体" w:cs="宋体" w:eastAsia="宋体" w:hint="default"/>
          <w:sz w:val="18"/>
          <w:szCs w:val="18"/>
        </w:rPr>
        <w:t>15</w:t>
      </w:r>
    </w:p>
    <w:p>
      <w:pPr>
        <w:spacing w:line="234" w:lineRule="exact" w:before="0"/>
        <w:ind w:left="260" w:right="6264" w:firstLine="0"/>
        <w:jc w:val="left"/>
        <w:rPr>
          <w:rFonts w:ascii="宋体" w:hAnsi="宋体" w:cs="宋体" w:eastAsia="宋体" w:hint="default"/>
          <w:sz w:val="18"/>
          <w:szCs w:val="18"/>
        </w:rPr>
      </w:pPr>
      <w:r>
        <w:rPr>
          <w:rFonts w:ascii="宋体" w:hAnsi="宋体" w:cs="宋体" w:eastAsia="宋体" w:hint="default"/>
          <w:sz w:val="18"/>
          <w:szCs w:val="18"/>
        </w:rPr>
        <w:t>万美元。</w:t>
      </w:r>
    </w:p>
    <w:p>
      <w:pPr>
        <w:spacing w:line="237" w:lineRule="auto" w:before="1"/>
        <w:ind w:left="260" w:right="298" w:firstLine="360"/>
        <w:jc w:val="both"/>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2：董事会同意东软科技有限公司与</w:t>
      </w:r>
      <w:r>
        <w:rPr>
          <w:rFonts w:ascii="宋体" w:hAnsi="宋体" w:cs="宋体" w:eastAsia="宋体" w:hint="default"/>
          <w:spacing w:val="-46"/>
          <w:sz w:val="18"/>
          <w:szCs w:val="18"/>
        </w:rPr>
        <w:t> </w:t>
      </w:r>
      <w:r>
        <w:rPr>
          <w:rFonts w:ascii="宋体" w:hAnsi="宋体" w:cs="宋体" w:eastAsia="宋体" w:hint="default"/>
          <w:sz w:val="18"/>
          <w:szCs w:val="18"/>
        </w:rPr>
        <w:t>TalentPoint Inc.达成一致，在交易条件达到的条件下，由东软科技有限</w:t>
      </w:r>
      <w:r>
        <w:rPr>
          <w:rFonts w:ascii="宋体" w:hAnsi="宋体" w:cs="宋体" w:eastAsia="宋体" w:hint="default"/>
          <w:sz w:val="18"/>
          <w:szCs w:val="18"/>
        </w:rPr>
        <w:t> 公司与</w:t>
      </w:r>
      <w:r>
        <w:rPr>
          <w:rFonts w:ascii="宋体" w:hAnsi="宋体" w:cs="宋体" w:eastAsia="宋体" w:hint="default"/>
          <w:spacing w:val="-47"/>
          <w:sz w:val="18"/>
          <w:szCs w:val="18"/>
        </w:rPr>
        <w:t> </w:t>
      </w:r>
      <w:r>
        <w:rPr>
          <w:rFonts w:ascii="宋体" w:hAnsi="宋体" w:cs="宋体" w:eastAsia="宋体" w:hint="default"/>
          <w:sz w:val="18"/>
          <w:szCs w:val="18"/>
        </w:rPr>
        <w:t>TalentPoint</w:t>
      </w:r>
      <w:r>
        <w:rPr>
          <w:rFonts w:ascii="宋体" w:hAnsi="宋体" w:cs="宋体" w:eastAsia="宋体" w:hint="default"/>
          <w:spacing w:val="-1"/>
          <w:sz w:val="18"/>
          <w:szCs w:val="18"/>
        </w:rPr>
        <w:t> </w:t>
      </w:r>
      <w:r>
        <w:rPr>
          <w:rFonts w:ascii="宋体" w:hAnsi="宋体" w:cs="宋体" w:eastAsia="宋体" w:hint="default"/>
          <w:sz w:val="18"/>
          <w:szCs w:val="18"/>
        </w:rPr>
        <w:t>Inc.签订《股份购买协议》和《交易协议》，收购</w:t>
      </w:r>
      <w:r>
        <w:rPr>
          <w:rFonts w:ascii="宋体" w:hAnsi="宋体" w:cs="宋体" w:eastAsia="宋体" w:hint="default"/>
          <w:spacing w:val="-47"/>
          <w:sz w:val="18"/>
          <w:szCs w:val="18"/>
        </w:rPr>
        <w:t> </w:t>
      </w:r>
      <w:r>
        <w:rPr>
          <w:rFonts w:ascii="宋体" w:hAnsi="宋体" w:cs="宋体" w:eastAsia="宋体" w:hint="default"/>
          <w:sz w:val="18"/>
          <w:szCs w:val="18"/>
        </w:rPr>
        <w:t>TalentPoint</w:t>
      </w:r>
      <w:r>
        <w:rPr>
          <w:rFonts w:ascii="宋体" w:hAnsi="宋体" w:cs="宋体" w:eastAsia="宋体" w:hint="default"/>
          <w:spacing w:val="-1"/>
          <w:sz w:val="18"/>
          <w:szCs w:val="18"/>
        </w:rPr>
        <w:t> </w:t>
      </w:r>
      <w:r>
        <w:rPr>
          <w:rFonts w:ascii="宋体" w:hAnsi="宋体" w:cs="宋体" w:eastAsia="宋体" w:hint="default"/>
          <w:sz w:val="18"/>
          <w:szCs w:val="18"/>
        </w:rPr>
        <w:t>Inc.所拥有的</w:t>
      </w:r>
      <w:r>
        <w:rPr>
          <w:rFonts w:ascii="宋体" w:hAnsi="宋体" w:cs="宋体" w:eastAsia="宋体" w:hint="default"/>
          <w:spacing w:val="-47"/>
          <w:sz w:val="18"/>
          <w:szCs w:val="18"/>
        </w:rPr>
        <w:t> </w:t>
      </w:r>
      <w:r>
        <w:rPr>
          <w:rFonts w:ascii="宋体" w:hAnsi="宋体" w:cs="宋体" w:eastAsia="宋体" w:hint="default"/>
          <w:sz w:val="18"/>
          <w:szCs w:val="18"/>
        </w:rPr>
        <w:t>2223945</w:t>
      </w:r>
      <w:r>
        <w:rPr>
          <w:rFonts w:ascii="宋体" w:hAnsi="宋体" w:cs="宋体" w:eastAsia="宋体" w:hint="default"/>
          <w:spacing w:val="-1"/>
          <w:sz w:val="18"/>
          <w:szCs w:val="18"/>
        </w:rPr>
        <w:t> </w:t>
      </w:r>
      <w:r>
        <w:rPr>
          <w:rFonts w:ascii="宋体" w:hAnsi="宋体" w:cs="宋体" w:eastAsia="宋体" w:hint="default"/>
          <w:sz w:val="18"/>
          <w:szCs w:val="18"/>
        </w:rPr>
        <w:t>Ontario</w:t>
      </w:r>
      <w:r>
        <w:rPr>
          <w:rFonts w:ascii="宋体" w:hAnsi="宋体" w:cs="宋体" w:eastAsia="宋体" w:hint="default"/>
          <w:sz w:val="18"/>
          <w:szCs w:val="18"/>
        </w:rPr>
        <w:t> Limited100%股份，交易对价总计为</w:t>
      </w:r>
      <w:r>
        <w:rPr>
          <w:rFonts w:ascii="宋体" w:hAnsi="宋体" w:cs="宋体" w:eastAsia="宋体" w:hint="default"/>
          <w:spacing w:val="-46"/>
          <w:sz w:val="18"/>
          <w:szCs w:val="18"/>
        </w:rPr>
        <w:t> </w:t>
      </w:r>
      <w:r>
        <w:rPr>
          <w:rFonts w:ascii="宋体" w:hAnsi="宋体" w:cs="宋体" w:eastAsia="宋体" w:hint="default"/>
          <w:sz w:val="18"/>
          <w:szCs w:val="18"/>
        </w:rPr>
        <w:t>550</w:t>
      </w:r>
      <w:r>
        <w:rPr>
          <w:rFonts w:ascii="宋体" w:hAnsi="宋体" w:cs="宋体" w:eastAsia="宋体" w:hint="default"/>
          <w:spacing w:val="-46"/>
          <w:sz w:val="18"/>
          <w:szCs w:val="18"/>
        </w:rPr>
        <w:t> </w:t>
      </w:r>
      <w:r>
        <w:rPr>
          <w:rFonts w:ascii="宋体" w:hAnsi="宋体" w:cs="宋体" w:eastAsia="宋体" w:hint="default"/>
          <w:sz w:val="18"/>
          <w:szCs w:val="18"/>
        </w:rPr>
        <w:t>万加元。</w:t>
      </w:r>
    </w:p>
    <w:p>
      <w:pPr>
        <w:spacing w:line="233" w:lineRule="exact" w:before="0"/>
        <w:ind w:left="620" w:right="144" w:firstLine="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26</w:t>
      </w:r>
      <w:r>
        <w:rPr>
          <w:rFonts w:ascii="宋体" w:hAnsi="宋体" w:cs="宋体" w:eastAsia="宋体" w:hint="default"/>
          <w:spacing w:val="-45"/>
          <w:sz w:val="18"/>
          <w:szCs w:val="18"/>
        </w:rPr>
        <w:t> </w:t>
      </w:r>
      <w:r>
        <w:rPr>
          <w:rFonts w:ascii="宋体" w:hAnsi="宋体" w:cs="宋体" w:eastAsia="宋体" w:hint="default"/>
          <w:sz w:val="18"/>
          <w:szCs w:val="18"/>
        </w:rPr>
        <w:t>日，因未达到交易条件，本交易自行终止。</w:t>
      </w:r>
    </w:p>
    <w:p>
      <w:pPr>
        <w:spacing w:line="240" w:lineRule="auto" w:before="7"/>
        <w:rPr>
          <w:rFonts w:ascii="宋体" w:hAnsi="宋体" w:cs="宋体" w:eastAsia="宋体" w:hint="default"/>
          <w:sz w:val="22"/>
          <w:szCs w:val="22"/>
        </w:rPr>
      </w:pPr>
    </w:p>
    <w:p>
      <w:pPr>
        <w:pStyle w:val="BodyText"/>
        <w:spacing w:line="310" w:lineRule="exact"/>
        <w:ind w:left="260" w:right="264"/>
        <w:jc w:val="left"/>
      </w:pPr>
      <w:r>
        <w:rPr/>
        <w:t>2、董事会下设的审计委员会相关工作制度的建立健全情况、主要内容以及履职情况汇总 报告</w:t>
      </w:r>
    </w:p>
    <w:p>
      <w:pPr>
        <w:pStyle w:val="BodyText"/>
        <w:spacing w:line="282" w:lineRule="exact"/>
        <w:ind w:left="740" w:right="144"/>
        <w:jc w:val="left"/>
      </w:pPr>
      <w:r>
        <w:rPr/>
        <w:t>公司董事会审计委员会由</w:t>
      </w:r>
      <w:r>
        <w:rPr>
          <w:spacing w:val="-57"/>
        </w:rPr>
        <w:t> </w:t>
      </w:r>
      <w:r>
        <w:rPr/>
        <w:t>5</w:t>
      </w:r>
      <w:r>
        <w:rPr>
          <w:spacing w:val="-57"/>
        </w:rPr>
        <w:t> </w:t>
      </w:r>
      <w:r>
        <w:rPr>
          <w:spacing w:val="-5"/>
        </w:rPr>
        <w:t>人组成，其中独立董事占二分之一以上（其中有一名是会</w:t>
      </w:r>
    </w:p>
    <w:p>
      <w:pPr>
        <w:pStyle w:val="BodyText"/>
        <w:spacing w:line="310" w:lineRule="exact" w:before="31"/>
        <w:ind w:left="740" w:right="144" w:hanging="480"/>
        <w:jc w:val="left"/>
      </w:pPr>
      <w:r>
        <w:rPr/>
        <w:t>计专业人士），并由独立董事担任主任。 </w:t>
      </w:r>
      <w:r>
        <w:rPr>
          <w:spacing w:val="2"/>
        </w:rPr>
        <w:t>报告期内，审计委员会本着勤勉尽责的原则，积极履职，完成了本职工作。在公司</w:t>
      </w:r>
      <w:r>
        <w:rPr/>
      </w:r>
    </w:p>
    <w:p>
      <w:pPr>
        <w:pStyle w:val="BodyText"/>
        <w:spacing w:line="282" w:lineRule="exact"/>
        <w:ind w:left="260" w:right="144"/>
        <w:jc w:val="left"/>
      </w:pPr>
      <w:r>
        <w:rPr/>
        <w:t>2009</w:t>
      </w:r>
      <w:r>
        <w:rPr>
          <w:spacing w:val="-60"/>
        </w:rPr>
        <w:t> </w:t>
      </w:r>
      <w:r>
        <w:rPr/>
        <w:t>年度报告审计工作中，审计委员会主要履行了以下工作职责：</w:t>
      </w:r>
    </w:p>
    <w:p>
      <w:pPr>
        <w:pStyle w:val="BodyText"/>
        <w:spacing w:line="237" w:lineRule="auto" w:before="1"/>
        <w:ind w:left="260" w:right="279" w:firstLine="240"/>
        <w:jc w:val="both"/>
      </w:pPr>
      <w:r>
        <w:rPr/>
        <w:t>（1）在负责公司年度审计工作的立信会计师事务所有限公司会计师进场前，审计委员 </w:t>
      </w:r>
      <w:r>
        <w:rPr>
          <w:spacing w:val="-4"/>
        </w:rPr>
        <w:t>会审阅了公司编制的财务会计报表，并形成了决议，认为财务会计报表能够反映公司的财</w:t>
      </w:r>
      <w:r>
        <w:rPr>
          <w:spacing w:val="-82"/>
        </w:rPr>
        <w:t> </w:t>
      </w:r>
      <w:r>
        <w:rPr>
          <w:spacing w:val="-82"/>
        </w:rPr>
      </w:r>
      <w:r>
        <w:rPr/>
        <w:t>务状况和经营成果，并请会计师对此进行审计。</w:t>
      </w:r>
    </w:p>
    <w:p>
      <w:pPr>
        <w:pStyle w:val="BodyText"/>
        <w:spacing w:line="237" w:lineRule="auto"/>
        <w:ind w:left="260" w:right="144" w:firstLine="240"/>
        <w:jc w:val="left"/>
      </w:pPr>
      <w:r>
        <w:rPr/>
        <w:t>（2）在会计师进场后，审计委员会加强与会计师的沟通，在会计师出具初步审计意见 后再一次审阅了公司财务会计报表，并形成了决议，认为公司财务会计报表真实、准确、 完整地反映了公司的整体情况，并督促会计师按时完成审计工作。</w:t>
      </w:r>
    </w:p>
    <w:p>
      <w:pPr>
        <w:spacing w:after="0" w:line="237" w:lineRule="auto"/>
        <w:jc w:val="left"/>
        <w:sectPr>
          <w:pgSz w:w="11910" w:h="16840"/>
          <w:pgMar w:header="720" w:footer="721" w:top="1100" w:bottom="920" w:left="1100" w:right="1020"/>
        </w:sectPr>
      </w:pPr>
    </w:p>
    <w:p>
      <w:pPr>
        <w:spacing w:line="240" w:lineRule="auto" w:before="1"/>
        <w:rPr>
          <w:rFonts w:ascii="宋体" w:hAnsi="宋体" w:cs="宋体" w:eastAsia="宋体" w:hint="default"/>
          <w:sz w:val="20"/>
          <w:szCs w:val="20"/>
        </w:rPr>
      </w:pPr>
    </w:p>
    <w:p>
      <w:pPr>
        <w:pStyle w:val="BodyText"/>
        <w:spacing w:line="237" w:lineRule="auto" w:before="28"/>
        <w:ind w:right="179" w:firstLine="240"/>
        <w:jc w:val="both"/>
      </w:pPr>
      <w:r>
        <w:rPr/>
        <w:t>（3）在年度董事会召开之前，审计委员会对年度财务会计报告进行了表决，并在形成 </w:t>
      </w:r>
      <w:r>
        <w:rPr>
          <w:spacing w:val="-4"/>
        </w:rPr>
        <w:t>了相关决议后提交董事会审核；同时，审计委员会向董事会提交了会计师事务所从事本年</w:t>
      </w:r>
      <w:r>
        <w:rPr>
          <w:spacing w:val="-82"/>
        </w:rPr>
        <w:t> </w:t>
      </w:r>
      <w:r>
        <w:rPr>
          <w:spacing w:val="-82"/>
        </w:rPr>
      </w:r>
      <w:r>
        <w:rPr>
          <w:spacing w:val="-4"/>
        </w:rPr>
        <w:t>度公司审计工作的总结报告，认为公司聘请的立信会计师事务所有限公司在为公司提供的</w:t>
      </w:r>
      <w:r>
        <w:rPr>
          <w:spacing w:val="-82"/>
        </w:rPr>
        <w:t> </w:t>
      </w:r>
      <w:r>
        <w:rPr>
          <w:spacing w:val="-82"/>
        </w:rPr>
      </w:r>
      <w:r>
        <w:rPr/>
        <w:t>2009 年度审计服务工作中，遵循独立、客观、公正的执业准则，按时完成了审计工作， 同意其所提交的审计报告。</w:t>
      </w:r>
    </w:p>
    <w:p>
      <w:pPr>
        <w:pStyle w:val="BodyText"/>
        <w:spacing w:line="310" w:lineRule="exact"/>
        <w:ind w:right="0"/>
        <w:jc w:val="left"/>
      </w:pPr>
      <w:r>
        <w:rPr/>
        <w:t>3、董事会下设的薪酬委员会的履职情况汇总报告</w:t>
      </w:r>
    </w:p>
    <w:p>
      <w:pPr>
        <w:pStyle w:val="BodyText"/>
        <w:spacing w:line="237" w:lineRule="auto" w:before="1"/>
        <w:ind w:right="179" w:firstLine="480"/>
        <w:jc w:val="both"/>
      </w:pPr>
      <w:r>
        <w:rPr/>
        <w:t>公司董事会薪酬与考核委员会由</w:t>
      </w:r>
      <w:r>
        <w:rPr>
          <w:spacing w:val="-54"/>
        </w:rPr>
        <w:t> </w:t>
      </w:r>
      <w:r>
        <w:rPr/>
        <w:t>3</w:t>
      </w:r>
      <w:r>
        <w:rPr>
          <w:spacing w:val="-54"/>
        </w:rPr>
        <w:t> </w:t>
      </w:r>
      <w:r>
        <w:rPr>
          <w:spacing w:val="-6"/>
        </w:rPr>
        <w:t>人组成，其中独立董事占二分之一以上，并由独立</w:t>
      </w:r>
      <w:r>
        <w:rPr/>
        <w:t> 董事担任主任。2009</w:t>
      </w:r>
      <w:r>
        <w:rPr>
          <w:spacing w:val="-79"/>
        </w:rPr>
        <w:t> </w:t>
      </w:r>
      <w:r>
        <w:rPr/>
        <w:t>年，薪酬与考核委员会积极履职，审查了公司</w:t>
      </w:r>
      <w:r>
        <w:rPr>
          <w:spacing w:val="-79"/>
        </w:rPr>
        <w:t> </w:t>
      </w:r>
      <w:r>
        <w:rPr/>
        <w:t>2009</w:t>
      </w:r>
      <w:r>
        <w:rPr>
          <w:spacing w:val="-79"/>
        </w:rPr>
        <w:t> </w:t>
      </w:r>
      <w:r>
        <w:rPr/>
        <w:t>年度的薪酬制度</w:t>
      </w:r>
      <w:r>
        <w:rPr/>
        <w:t> 以及公司高级管理人员的薪酬，完成了本职工作。</w:t>
      </w:r>
    </w:p>
    <w:p>
      <w:pPr>
        <w:spacing w:line="240" w:lineRule="auto" w:before="8"/>
        <w:rPr>
          <w:rFonts w:ascii="宋体" w:hAnsi="宋体" w:cs="宋体" w:eastAsia="宋体" w:hint="default"/>
          <w:sz w:val="20"/>
          <w:szCs w:val="20"/>
        </w:rPr>
      </w:pPr>
    </w:p>
    <w:p>
      <w:pPr>
        <w:pStyle w:val="BodyText"/>
        <w:spacing w:line="313" w:lineRule="exact"/>
        <w:ind w:right="0"/>
        <w:jc w:val="left"/>
      </w:pPr>
      <w:r>
        <w:rPr/>
        <w:t>（八）利润分配或资本公积金转增股本预案</w:t>
      </w:r>
    </w:p>
    <w:p>
      <w:pPr>
        <w:pStyle w:val="BodyText"/>
        <w:spacing w:line="310" w:lineRule="exact" w:before="31"/>
        <w:ind w:right="179" w:firstLine="480"/>
        <w:jc w:val="both"/>
      </w:pPr>
      <w:r>
        <w:rPr/>
        <w:t>根据立信会计师事务所有限公司对公司</w:t>
      </w:r>
      <w:r>
        <w:rPr>
          <w:spacing w:val="-56"/>
        </w:rPr>
        <w:t> </w:t>
      </w:r>
      <w:r>
        <w:rPr/>
        <w:t>2009</w:t>
      </w:r>
      <w:r>
        <w:rPr>
          <w:spacing w:val="-56"/>
        </w:rPr>
        <w:t> </w:t>
      </w:r>
      <w:r>
        <w:rPr>
          <w:spacing w:val="-3"/>
        </w:rPr>
        <w:t>年度财务审计的结果，2009</w:t>
      </w:r>
      <w:r>
        <w:rPr>
          <w:spacing w:val="-56"/>
        </w:rPr>
        <w:t> </w:t>
      </w:r>
      <w:r>
        <w:rPr>
          <w:spacing w:val="-6"/>
        </w:rPr>
        <w:t>年度，公司</w:t>
      </w:r>
      <w:r>
        <w:rPr/>
        <w:t> 母公司实现净利润</w:t>
      </w:r>
      <w:r>
        <w:rPr>
          <w:spacing w:val="-60"/>
        </w:rPr>
        <w:t> </w:t>
      </w:r>
      <w:r>
        <w:rPr/>
        <w:t>497,187,390</w:t>
      </w:r>
      <w:r>
        <w:rPr>
          <w:spacing w:val="-60"/>
        </w:rPr>
        <w:t> </w:t>
      </w:r>
      <w:r>
        <w:rPr>
          <w:spacing w:val="-3"/>
        </w:rPr>
        <w:t>元。根据公司法和公司章程的规定，公司提取</w:t>
      </w:r>
      <w:r>
        <w:rPr>
          <w:spacing w:val="-60"/>
        </w:rPr>
        <w:t> </w:t>
      </w:r>
      <w:r>
        <w:rPr/>
        <w:t>10%的法定</w:t>
      </w:r>
      <w:r>
        <w:rPr/>
        <w:t> 盈余公积金</w:t>
      </w:r>
      <w:r>
        <w:rPr>
          <w:spacing w:val="-60"/>
        </w:rPr>
        <w:t> </w:t>
      </w:r>
      <w:r>
        <w:rPr/>
        <w:t>49,718,739</w:t>
      </w:r>
      <w:r>
        <w:rPr>
          <w:spacing w:val="-29"/>
        </w:rPr>
        <w:t> </w:t>
      </w:r>
      <w:r>
        <w:rPr/>
        <w:t>元，提取</w:t>
      </w:r>
      <w:r>
        <w:rPr>
          <w:spacing w:val="-60"/>
        </w:rPr>
        <w:t> </w:t>
      </w:r>
      <w:r>
        <w:rPr/>
        <w:t>5%的任意盈余公积金</w:t>
      </w:r>
      <w:r>
        <w:rPr>
          <w:spacing w:val="-60"/>
        </w:rPr>
        <w:t> </w:t>
      </w:r>
      <w:r>
        <w:rPr/>
        <w:t>24,859,370</w:t>
      </w:r>
      <w:r>
        <w:rPr>
          <w:spacing w:val="-29"/>
        </w:rPr>
        <w:t> </w:t>
      </w:r>
      <w:r>
        <w:rPr/>
        <w:t>元，本年度可供股东</w:t>
      </w:r>
    </w:p>
    <w:p>
      <w:pPr>
        <w:pStyle w:val="BodyText"/>
        <w:spacing w:line="282" w:lineRule="exact"/>
        <w:ind w:right="0"/>
        <w:jc w:val="left"/>
      </w:pPr>
      <w:r>
        <w:rPr/>
        <w:t>分配的利润为</w:t>
      </w:r>
      <w:r>
        <w:rPr>
          <w:spacing w:val="-60"/>
        </w:rPr>
        <w:t> </w:t>
      </w:r>
      <w:r>
        <w:rPr/>
        <w:t>422,609,281 元，加上以前年度尚未分配利润</w:t>
      </w:r>
      <w:r>
        <w:rPr>
          <w:spacing w:val="-60"/>
        </w:rPr>
        <w:t> </w:t>
      </w:r>
      <w:r>
        <w:rPr/>
        <w:t>824,354,768</w:t>
      </w:r>
      <w:r>
        <w:rPr>
          <w:spacing w:val="-60"/>
        </w:rPr>
        <w:t> </w:t>
      </w:r>
      <w:r>
        <w:rPr/>
        <w:t>元，期末未分</w:t>
      </w:r>
    </w:p>
    <w:p>
      <w:pPr>
        <w:pStyle w:val="BodyText"/>
        <w:spacing w:line="311" w:lineRule="exact"/>
        <w:ind w:right="0"/>
        <w:jc w:val="left"/>
      </w:pPr>
      <w:r>
        <w:rPr/>
        <w:t>配利润为</w:t>
      </w:r>
      <w:r>
        <w:rPr>
          <w:spacing w:val="-60"/>
        </w:rPr>
        <w:t> </w:t>
      </w:r>
      <w:r>
        <w:rPr/>
        <w:t>1,246,964,049</w:t>
      </w:r>
      <w:r>
        <w:rPr>
          <w:spacing w:val="-60"/>
        </w:rPr>
        <w:t> </w:t>
      </w:r>
      <w:r>
        <w:rPr/>
        <w:t>元。</w:t>
      </w:r>
    </w:p>
    <w:p>
      <w:pPr>
        <w:pStyle w:val="BodyText"/>
        <w:spacing w:line="311" w:lineRule="exact"/>
        <w:ind w:left="620" w:right="0"/>
        <w:jc w:val="left"/>
      </w:pPr>
      <w:r>
        <w:rPr/>
        <w:t>根据公司未来发展规划，为给股东以一定的回报，董事会同意以</w:t>
      </w:r>
      <w:r>
        <w:rPr>
          <w:spacing w:val="-60"/>
        </w:rPr>
        <w:t> </w:t>
      </w:r>
      <w:r>
        <w:rPr/>
        <w:t>2009</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w:t>
      </w:r>
    </w:p>
    <w:p>
      <w:pPr>
        <w:pStyle w:val="BodyText"/>
        <w:spacing w:line="311" w:lineRule="exact"/>
        <w:ind w:right="0"/>
        <w:jc w:val="left"/>
      </w:pPr>
      <w:r>
        <w:rPr/>
        <w:t>总股本</w:t>
      </w:r>
      <w:r>
        <w:rPr>
          <w:spacing w:val="-60"/>
        </w:rPr>
        <w:t> </w:t>
      </w:r>
      <w:r>
        <w:rPr/>
        <w:t>944,303,265</w:t>
      </w:r>
      <w:r>
        <w:rPr>
          <w:spacing w:val="-60"/>
        </w:rPr>
        <w:t> </w:t>
      </w:r>
      <w:r>
        <w:rPr/>
        <w:t>股为基数，向全体股东每</w:t>
      </w:r>
      <w:r>
        <w:rPr>
          <w:spacing w:val="-60"/>
        </w:rPr>
        <w:t> </w:t>
      </w:r>
      <w:r>
        <w:rPr/>
        <w:t>10</w:t>
      </w:r>
      <w:r>
        <w:rPr>
          <w:spacing w:val="-60"/>
        </w:rPr>
        <w:t> </w:t>
      </w:r>
      <w:r>
        <w:rPr/>
        <w:t>股派发</w:t>
      </w:r>
      <w:r>
        <w:rPr>
          <w:spacing w:val="-60"/>
        </w:rPr>
        <w:t> </w:t>
      </w:r>
      <w:r>
        <w:rPr/>
        <w:t>2</w:t>
      </w:r>
      <w:r>
        <w:rPr>
          <w:spacing w:val="-60"/>
        </w:rPr>
        <w:t> </w:t>
      </w:r>
      <w:r>
        <w:rPr/>
        <w:t>元人民币现金红利（含税），</w:t>
      </w:r>
    </w:p>
    <w:p>
      <w:pPr>
        <w:pStyle w:val="BodyText"/>
        <w:spacing w:line="311" w:lineRule="exact"/>
        <w:ind w:right="0"/>
        <w:jc w:val="left"/>
      </w:pPr>
      <w:r>
        <w:rPr/>
        <w:t>共派发现金红利</w:t>
      </w:r>
      <w:r>
        <w:rPr>
          <w:spacing w:val="-60"/>
        </w:rPr>
        <w:t> </w:t>
      </w:r>
      <w:r>
        <w:rPr/>
        <w:t>188,860,653</w:t>
      </w:r>
      <w:r>
        <w:rPr>
          <w:spacing w:val="-60"/>
        </w:rPr>
        <w:t> </w:t>
      </w:r>
      <w:r>
        <w:rPr/>
        <w:t>元（含税），剩余未分配利润结转以后年度。同时以</w:t>
      </w:r>
      <w:r>
        <w:rPr>
          <w:spacing w:val="-60"/>
        </w:rPr>
        <w:t> </w:t>
      </w:r>
      <w:r>
        <w:rPr/>
        <w:t>2009</w:t>
      </w:r>
    </w:p>
    <w:p>
      <w:pPr>
        <w:pStyle w:val="BodyText"/>
        <w:spacing w:line="311" w:lineRule="exact"/>
        <w:ind w:right="0"/>
        <w:jc w:val="left"/>
      </w:pPr>
      <w:r>
        <w:rPr/>
        <w:t>年</w:t>
      </w:r>
      <w:r>
        <w:rPr>
          <w:spacing w:val="-60"/>
        </w:rPr>
        <w:t> </w:t>
      </w:r>
      <w:r>
        <w:rPr/>
        <w:t>12</w:t>
      </w:r>
      <w:r>
        <w:rPr>
          <w:spacing w:val="-60"/>
        </w:rPr>
        <w:t> </w:t>
      </w:r>
      <w:r>
        <w:rPr/>
        <w:t>月</w:t>
      </w:r>
      <w:r>
        <w:rPr>
          <w:spacing w:val="-60"/>
        </w:rPr>
        <w:t> </w:t>
      </w:r>
      <w:r>
        <w:rPr/>
        <w:t>31</w:t>
      </w:r>
      <w:r>
        <w:rPr>
          <w:spacing w:val="-60"/>
        </w:rPr>
        <w:t> </w:t>
      </w:r>
      <w:r>
        <w:rPr/>
        <w:t>日总股本</w:t>
      </w:r>
      <w:r>
        <w:rPr>
          <w:spacing w:val="-60"/>
        </w:rPr>
        <w:t> </w:t>
      </w:r>
      <w:r>
        <w:rPr/>
        <w:t>944,303,265</w:t>
      </w:r>
      <w:r>
        <w:rPr>
          <w:spacing w:val="-60"/>
        </w:rPr>
        <w:t> </w:t>
      </w:r>
      <w:r>
        <w:rPr>
          <w:spacing w:val="-5"/>
        </w:rPr>
        <w:t>股为基数，以资本公积金转增股本方式，向全体股东每</w:t>
      </w:r>
    </w:p>
    <w:p>
      <w:pPr>
        <w:pStyle w:val="BodyText"/>
        <w:spacing w:line="311" w:lineRule="exact"/>
        <w:ind w:right="0"/>
        <w:jc w:val="left"/>
      </w:pPr>
      <w:r>
        <w:rPr/>
        <w:t>10</w:t>
      </w:r>
      <w:r>
        <w:rPr>
          <w:spacing w:val="-60"/>
        </w:rPr>
        <w:t> </w:t>
      </w:r>
      <w:r>
        <w:rPr/>
        <w:t>股转增</w:t>
      </w:r>
      <w:r>
        <w:rPr>
          <w:spacing w:val="-60"/>
        </w:rPr>
        <w:t> </w:t>
      </w:r>
      <w:r>
        <w:rPr/>
        <w:t>3</w:t>
      </w:r>
      <w:r>
        <w:rPr>
          <w:spacing w:val="-60"/>
        </w:rPr>
        <w:t> </w:t>
      </w:r>
      <w:r>
        <w:rPr/>
        <w:t>股，共转增</w:t>
      </w:r>
      <w:r>
        <w:rPr>
          <w:spacing w:val="-60"/>
        </w:rPr>
        <w:t> </w:t>
      </w:r>
      <w:r>
        <w:rPr/>
        <w:t>283,290,980</w:t>
      </w:r>
      <w:r>
        <w:rPr>
          <w:spacing w:val="-60"/>
        </w:rPr>
        <w:t> </w:t>
      </w:r>
      <w:r>
        <w:rPr/>
        <w:t>股，转增后的公司注册资本变更为人民币</w:t>
      </w:r>
    </w:p>
    <w:p>
      <w:pPr>
        <w:pStyle w:val="BodyText"/>
        <w:spacing w:line="311" w:lineRule="exact"/>
        <w:ind w:right="0"/>
        <w:jc w:val="left"/>
      </w:pPr>
      <w:r>
        <w:rPr/>
        <w:t>1,227,594,245</w:t>
      </w:r>
      <w:r>
        <w:rPr>
          <w:spacing w:val="-60"/>
        </w:rPr>
        <w:t> </w:t>
      </w:r>
      <w:r>
        <w:rPr/>
        <w:t>元，股份总数变更为</w:t>
      </w:r>
      <w:r>
        <w:rPr>
          <w:spacing w:val="-60"/>
        </w:rPr>
        <w:t> </w:t>
      </w:r>
      <w:r>
        <w:rPr/>
        <w:t>1,227,594,245</w:t>
      </w:r>
      <w:r>
        <w:rPr>
          <w:spacing w:val="-60"/>
        </w:rPr>
        <w:t> </w:t>
      </w:r>
      <w:r>
        <w:rPr/>
        <w:t>股。</w:t>
      </w:r>
    </w:p>
    <w:p>
      <w:pPr>
        <w:pStyle w:val="BodyText"/>
        <w:spacing w:line="313" w:lineRule="exact"/>
        <w:ind w:left="620" w:right="0"/>
        <w:jc w:val="left"/>
      </w:pPr>
      <w:r>
        <w:rPr/>
        <w:t>以上议案，需公司股东大会批准。</w:t>
      </w:r>
    </w:p>
    <w:p>
      <w:pPr>
        <w:spacing w:line="240" w:lineRule="auto" w:before="8"/>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1910" w:h="16840"/>
          <w:pgMar w:header="720" w:footer="721" w:top="1100" w:bottom="920" w:left="1220" w:right="1120"/>
        </w:sectPr>
      </w:pPr>
    </w:p>
    <w:p>
      <w:pPr>
        <w:pStyle w:val="BodyText"/>
        <w:spacing w:line="240" w:lineRule="auto" w:before="26"/>
        <w:ind w:right="-20"/>
        <w:jc w:val="left"/>
      </w:pPr>
      <w:r>
        <w:rPr/>
        <w:t>（九）公司前三年分红情况</w:t>
      </w:r>
    </w:p>
    <w:p>
      <w:pPr>
        <w:spacing w:line="240" w:lineRule="auto" w:before="2"/>
        <w:rPr>
          <w:rFonts w:ascii="宋体" w:hAnsi="宋体" w:cs="宋体" w:eastAsia="宋体" w:hint="default"/>
          <w:sz w:val="26"/>
          <w:szCs w:val="26"/>
        </w:rPr>
      </w:pPr>
      <w:r>
        <w:rPr/>
        <w:br w:type="column"/>
      </w:r>
      <w:r>
        <w:rPr>
          <w:rFonts w:ascii="宋体"/>
          <w:sz w:val="26"/>
        </w:rPr>
      </w: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220" w:right="1120"/>
          <w:cols w:num="2" w:equalWidth="0">
            <w:col w:w="3021" w:space="4017"/>
            <w:col w:w="2532"/>
          </w:cols>
        </w:sectPr>
      </w:pPr>
    </w:p>
    <w:p>
      <w:pPr>
        <w:spacing w:line="240" w:lineRule="auto" w:before="6"/>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1860"/>
        <w:gridCol w:w="2790"/>
        <w:gridCol w:w="2326"/>
        <w:gridCol w:w="2324"/>
      </w:tblGrid>
      <w:tr>
        <w:trPr>
          <w:trHeight w:val="279" w:hRule="exact"/>
        </w:trPr>
        <w:tc>
          <w:tcPr>
            <w:tcW w:w="1860" w:type="dxa"/>
            <w:tcBorders>
              <w:top w:val="single" w:sz="6" w:space="0" w:color="000000"/>
              <w:left w:val="single" w:sz="6" w:space="0" w:color="000000"/>
              <w:bottom w:val="nil" w:sz="6" w:space="0" w:color="auto"/>
              <w:right w:val="single" w:sz="6" w:space="0" w:color="000000"/>
            </w:tcBorders>
          </w:tcPr>
          <w:p>
            <w:pPr/>
          </w:p>
        </w:tc>
        <w:tc>
          <w:tcPr>
            <w:tcW w:w="2790" w:type="dxa"/>
            <w:tcBorders>
              <w:top w:val="single" w:sz="6" w:space="0" w:color="000000"/>
              <w:left w:val="single" w:sz="6" w:space="0" w:color="000000"/>
              <w:bottom w:val="nil" w:sz="6" w:space="0" w:color="auto"/>
              <w:right w:val="single" w:sz="6" w:space="0" w:color="000000"/>
            </w:tcBorders>
          </w:tcPr>
          <w:p>
            <w:pPr/>
          </w:p>
        </w:tc>
        <w:tc>
          <w:tcPr>
            <w:tcW w:w="232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right="101"/>
              <w:jc w:val="right"/>
              <w:rPr>
                <w:rFonts w:ascii="宋体" w:hAnsi="宋体" w:cs="宋体" w:eastAsia="宋体" w:hint="default"/>
                <w:sz w:val="21"/>
                <w:szCs w:val="21"/>
              </w:rPr>
            </w:pPr>
            <w:r>
              <w:rPr>
                <w:rFonts w:ascii="宋体" w:hAnsi="宋体" w:cs="宋体" w:eastAsia="宋体" w:hint="default"/>
                <w:b/>
                <w:bCs/>
                <w:w w:val="95"/>
                <w:sz w:val="21"/>
                <w:szCs w:val="21"/>
              </w:rPr>
              <w:t>分红年度合并报表中归</w:t>
            </w:r>
            <w:r>
              <w:rPr>
                <w:rFonts w:ascii="宋体" w:hAnsi="宋体" w:cs="宋体" w:eastAsia="宋体" w:hint="default"/>
                <w:sz w:val="21"/>
                <w:szCs w:val="21"/>
              </w:rPr>
            </w:r>
          </w:p>
        </w:tc>
        <w:tc>
          <w:tcPr>
            <w:tcW w:w="2324"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hAnsi="宋体" w:cs="宋体" w:eastAsia="宋体" w:hint="default"/>
                <w:b/>
                <w:bCs/>
                <w:w w:val="95"/>
                <w:sz w:val="21"/>
                <w:szCs w:val="21"/>
              </w:rPr>
              <w:t>占合并报表中归属于上</w:t>
            </w:r>
            <w:r>
              <w:rPr>
                <w:rFonts w:ascii="宋体" w:hAnsi="宋体" w:cs="宋体" w:eastAsia="宋体" w:hint="default"/>
                <w:sz w:val="21"/>
                <w:szCs w:val="21"/>
              </w:rPr>
            </w:r>
          </w:p>
        </w:tc>
      </w:tr>
      <w:tr>
        <w:trPr>
          <w:trHeight w:val="273" w:hRule="exact"/>
        </w:trPr>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500" w:right="0"/>
              <w:jc w:val="left"/>
              <w:rPr>
                <w:rFonts w:ascii="宋体" w:hAnsi="宋体" w:cs="宋体" w:eastAsia="宋体" w:hint="default"/>
                <w:sz w:val="21"/>
                <w:szCs w:val="21"/>
              </w:rPr>
            </w:pPr>
            <w:r>
              <w:rPr>
                <w:rFonts w:ascii="宋体" w:hAnsi="宋体" w:cs="宋体" w:eastAsia="宋体" w:hint="default"/>
                <w:b/>
                <w:bCs/>
                <w:sz w:val="21"/>
                <w:szCs w:val="21"/>
              </w:rPr>
              <w:t>分红年度</w:t>
            </w:r>
            <w:r>
              <w:rPr>
                <w:rFonts w:ascii="宋体" w:hAnsi="宋体" w:cs="宋体" w:eastAsia="宋体" w:hint="default"/>
                <w:sz w:val="21"/>
                <w:szCs w:val="21"/>
              </w:rPr>
            </w:r>
          </w:p>
        </w:tc>
        <w:tc>
          <w:tcPr>
            <w:tcW w:w="27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227" w:right="0"/>
              <w:jc w:val="left"/>
              <w:rPr>
                <w:rFonts w:ascii="宋体" w:hAnsi="宋体" w:cs="宋体" w:eastAsia="宋体" w:hint="default"/>
                <w:sz w:val="21"/>
                <w:szCs w:val="21"/>
              </w:rPr>
            </w:pPr>
            <w:r>
              <w:rPr>
                <w:rFonts w:ascii="宋体" w:hAnsi="宋体" w:cs="宋体" w:eastAsia="宋体" w:hint="default"/>
                <w:b/>
                <w:bCs/>
                <w:sz w:val="21"/>
                <w:szCs w:val="21"/>
              </w:rPr>
              <w:t>现金分红的数额（含税）</w:t>
            </w:r>
            <w:r>
              <w:rPr>
                <w:rFonts w:ascii="宋体" w:hAnsi="宋体" w:cs="宋体" w:eastAsia="宋体" w:hint="default"/>
                <w:sz w:val="21"/>
                <w:szCs w:val="21"/>
              </w:rPr>
            </w:r>
          </w:p>
        </w:tc>
        <w:tc>
          <w:tcPr>
            <w:tcW w:w="2326" w:type="dxa"/>
            <w:tcBorders>
              <w:top w:val="nil" w:sz="6" w:space="0" w:color="auto"/>
              <w:left w:val="single" w:sz="6" w:space="0" w:color="000000"/>
              <w:bottom w:val="nil" w:sz="6" w:space="0" w:color="auto"/>
              <w:right w:val="single" w:sz="6" w:space="0" w:color="000000"/>
            </w:tcBorders>
          </w:tcPr>
          <w:p>
            <w:pPr>
              <w:pStyle w:val="TableParagraph"/>
              <w:spacing w:line="242" w:lineRule="exact"/>
              <w:ind w:right="101"/>
              <w:jc w:val="right"/>
              <w:rPr>
                <w:rFonts w:ascii="宋体" w:hAnsi="宋体" w:cs="宋体" w:eastAsia="宋体" w:hint="default"/>
                <w:sz w:val="21"/>
                <w:szCs w:val="21"/>
              </w:rPr>
            </w:pPr>
            <w:r>
              <w:rPr>
                <w:rFonts w:ascii="宋体" w:hAnsi="宋体" w:cs="宋体" w:eastAsia="宋体" w:hint="default"/>
                <w:b/>
                <w:bCs/>
                <w:w w:val="95"/>
                <w:sz w:val="21"/>
                <w:szCs w:val="21"/>
              </w:rPr>
              <w:t>属于上市公司股东的净</w:t>
            </w:r>
            <w:r>
              <w:rPr>
                <w:rFonts w:ascii="宋体" w:hAnsi="宋体" w:cs="宋体" w:eastAsia="宋体" w:hint="default"/>
                <w:sz w:val="21"/>
                <w:szCs w:val="21"/>
              </w:rPr>
            </w:r>
          </w:p>
        </w:tc>
        <w:tc>
          <w:tcPr>
            <w:tcW w:w="2324" w:type="dxa"/>
            <w:tcBorders>
              <w:top w:val="nil" w:sz="6" w:space="0" w:color="auto"/>
              <w:left w:val="single" w:sz="6" w:space="0" w:color="000000"/>
              <w:bottom w:val="nil" w:sz="6" w:space="0" w:color="auto"/>
              <w:right w:val="single" w:sz="6" w:space="0" w:color="000000"/>
            </w:tcBorders>
          </w:tcPr>
          <w:p>
            <w:pPr>
              <w:pStyle w:val="TableParagraph"/>
              <w:spacing w:line="242" w:lineRule="exact"/>
              <w:ind w:right="100"/>
              <w:jc w:val="right"/>
              <w:rPr>
                <w:rFonts w:ascii="宋体" w:hAnsi="宋体" w:cs="宋体" w:eastAsia="宋体" w:hint="default"/>
                <w:sz w:val="21"/>
                <w:szCs w:val="21"/>
              </w:rPr>
            </w:pPr>
            <w:r>
              <w:rPr>
                <w:rFonts w:ascii="宋体" w:hAnsi="宋体" w:cs="宋体" w:eastAsia="宋体" w:hint="default"/>
                <w:b/>
                <w:bCs/>
                <w:w w:val="95"/>
                <w:sz w:val="21"/>
                <w:szCs w:val="21"/>
              </w:rPr>
              <w:t>市公司股东的净利润的</w:t>
            </w:r>
            <w:r>
              <w:rPr>
                <w:rFonts w:ascii="宋体" w:hAnsi="宋体" w:cs="宋体" w:eastAsia="宋体" w:hint="default"/>
                <w:sz w:val="21"/>
                <w:szCs w:val="21"/>
              </w:rPr>
            </w:r>
          </w:p>
        </w:tc>
      </w:tr>
      <w:tr>
        <w:trPr>
          <w:trHeight w:val="281" w:hRule="exact"/>
        </w:trPr>
        <w:tc>
          <w:tcPr>
            <w:tcW w:w="1860" w:type="dxa"/>
            <w:tcBorders>
              <w:top w:val="nil" w:sz="6" w:space="0" w:color="auto"/>
              <w:left w:val="single" w:sz="6" w:space="0" w:color="000000"/>
              <w:bottom w:val="single" w:sz="6" w:space="0" w:color="000000"/>
              <w:right w:val="single" w:sz="6" w:space="0" w:color="000000"/>
            </w:tcBorders>
          </w:tcPr>
          <w:p>
            <w:pPr/>
          </w:p>
        </w:tc>
        <w:tc>
          <w:tcPr>
            <w:tcW w:w="2790" w:type="dxa"/>
            <w:tcBorders>
              <w:top w:val="nil" w:sz="6" w:space="0" w:color="auto"/>
              <w:left w:val="single" w:sz="6" w:space="0" w:color="000000"/>
              <w:bottom w:val="single" w:sz="6" w:space="0" w:color="000000"/>
              <w:right w:val="single" w:sz="6" w:space="0" w:color="000000"/>
            </w:tcBorders>
          </w:tcPr>
          <w:p>
            <w:pPr/>
          </w:p>
        </w:tc>
        <w:tc>
          <w:tcPr>
            <w:tcW w:w="232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利润</w:t>
            </w:r>
            <w:r>
              <w:rPr>
                <w:rFonts w:ascii="宋体" w:hAnsi="宋体" w:cs="宋体" w:eastAsia="宋体" w:hint="default"/>
                <w:sz w:val="21"/>
                <w:szCs w:val="21"/>
              </w:rPr>
            </w:r>
          </w:p>
        </w:tc>
        <w:tc>
          <w:tcPr>
            <w:tcW w:w="2324"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679" w:right="0"/>
              <w:jc w:val="left"/>
              <w:rPr>
                <w:rFonts w:ascii="宋体" w:hAnsi="宋体" w:cs="宋体" w:eastAsia="宋体" w:hint="default"/>
                <w:sz w:val="21"/>
                <w:szCs w:val="21"/>
              </w:rPr>
            </w:pPr>
            <w:r>
              <w:rPr>
                <w:rFonts w:ascii="宋体" w:hAnsi="宋体" w:cs="宋体" w:eastAsia="宋体" w:hint="default"/>
                <w:b/>
                <w:bCs/>
                <w:sz w:val="21"/>
                <w:szCs w:val="21"/>
              </w:rPr>
              <w:t>比率（%）</w:t>
            </w:r>
            <w:r>
              <w:rPr>
                <w:rFonts w:ascii="宋体" w:hAnsi="宋体" w:cs="宋体" w:eastAsia="宋体" w:hint="default"/>
                <w:sz w:val="21"/>
                <w:szCs w:val="21"/>
              </w:rPr>
            </w:r>
          </w:p>
        </w:tc>
      </w:tr>
      <w:tr>
        <w:trPr>
          <w:trHeight w:val="287"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00"/>
              <w:jc w:val="right"/>
              <w:rPr>
                <w:rFonts w:ascii="宋体" w:hAnsi="宋体" w:cs="宋体" w:eastAsia="宋体" w:hint="default"/>
                <w:sz w:val="18"/>
                <w:szCs w:val="18"/>
              </w:rPr>
            </w:pPr>
            <w:r>
              <w:rPr>
                <w:rFonts w:ascii="宋体"/>
                <w:sz w:val="18"/>
              </w:rPr>
              <w:t>238,952,206</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w:t>
            </w:r>
          </w:p>
        </w:tc>
      </w:tr>
      <w:tr>
        <w:trPr>
          <w:trHeight w:val="28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00"/>
              <w:jc w:val="right"/>
              <w:rPr>
                <w:rFonts w:ascii="宋体" w:hAnsi="宋体" w:cs="宋体" w:eastAsia="宋体" w:hint="default"/>
                <w:sz w:val="18"/>
                <w:szCs w:val="18"/>
              </w:rPr>
            </w:pPr>
            <w:r>
              <w:rPr>
                <w:rFonts w:ascii="宋体"/>
                <w:sz w:val="18"/>
              </w:rPr>
              <w:t>415,074,714</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w:t>
            </w:r>
          </w:p>
        </w:tc>
      </w:tr>
      <w:tr>
        <w:trPr>
          <w:trHeight w:val="28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13,115,323</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00"/>
              <w:jc w:val="right"/>
              <w:rPr>
                <w:rFonts w:ascii="宋体" w:hAnsi="宋体" w:cs="宋体" w:eastAsia="宋体" w:hint="default"/>
                <w:sz w:val="18"/>
                <w:szCs w:val="18"/>
              </w:rPr>
            </w:pPr>
            <w:r>
              <w:rPr>
                <w:rFonts w:ascii="宋体"/>
                <w:sz w:val="18"/>
              </w:rPr>
              <w:t>490,778,900</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98"/>
              <w:jc w:val="right"/>
              <w:rPr>
                <w:rFonts w:ascii="宋体" w:hAnsi="宋体" w:cs="宋体" w:eastAsia="宋体" w:hint="default"/>
                <w:sz w:val="18"/>
                <w:szCs w:val="18"/>
              </w:rPr>
            </w:pPr>
            <w:r>
              <w:rPr>
                <w:rFonts w:ascii="宋体"/>
                <w:sz w:val="18"/>
              </w:rPr>
              <w:t>2.67%</w:t>
            </w:r>
          </w:p>
        </w:tc>
      </w:tr>
    </w:tbl>
    <w:p>
      <w:pPr>
        <w:spacing w:line="240" w:lineRule="auto" w:before="11"/>
        <w:rPr>
          <w:rFonts w:ascii="宋体" w:hAnsi="宋体" w:cs="宋体" w:eastAsia="宋体" w:hint="default"/>
          <w:sz w:val="15"/>
          <w:szCs w:val="15"/>
        </w:rPr>
      </w:pPr>
    </w:p>
    <w:p>
      <w:pPr>
        <w:pStyle w:val="BodyText"/>
        <w:spacing w:line="312" w:lineRule="exact" w:before="26"/>
        <w:ind w:right="0"/>
        <w:jc w:val="left"/>
      </w:pPr>
      <w:r>
        <w:rPr/>
        <w:t>（十）公司信息管理制度建立健全情况</w:t>
      </w:r>
    </w:p>
    <w:p>
      <w:pPr>
        <w:pStyle w:val="BodyText"/>
        <w:spacing w:line="310" w:lineRule="exact" w:before="30"/>
        <w:ind w:right="163" w:firstLine="470"/>
        <w:jc w:val="left"/>
      </w:pPr>
      <w:r>
        <w:rPr/>
        <w:t>于</w:t>
      </w:r>
      <w:r>
        <w:rPr>
          <w:spacing w:val="-56"/>
        </w:rPr>
        <w:t> </w:t>
      </w:r>
      <w:r>
        <w:rPr>
          <w:spacing w:val="25"/>
        </w:rPr>
        <w:t>2010年3月</w:t>
      </w:r>
      <w:r>
        <w:rPr>
          <w:spacing w:val="-56"/>
        </w:rPr>
        <w:t> </w:t>
      </w:r>
      <w:r>
        <w:rPr/>
        <w:t>24</w:t>
      </w:r>
      <w:r>
        <w:rPr>
          <w:spacing w:val="-56"/>
        </w:rPr>
        <w:t> </w:t>
      </w:r>
      <w:r>
        <w:rPr>
          <w:spacing w:val="-4"/>
        </w:rPr>
        <w:t>日召开的公司五届十七次董事会，审议通过了《内幕信息知情人管</w:t>
      </w:r>
      <w:r>
        <w:rPr/>
        <w:t> 理制度》、《外部信息使用人管理制度》。</w:t>
      </w:r>
    </w:p>
    <w:p>
      <w:pPr>
        <w:spacing w:line="240" w:lineRule="auto" w:before="13"/>
        <w:rPr>
          <w:rFonts w:ascii="宋体" w:hAnsi="宋体" w:cs="宋体" w:eastAsia="宋体" w:hint="default"/>
          <w:sz w:val="20"/>
          <w:szCs w:val="20"/>
        </w:rPr>
      </w:pPr>
    </w:p>
    <w:p>
      <w:pPr>
        <w:pStyle w:val="BodyText"/>
        <w:spacing w:line="310" w:lineRule="exact"/>
        <w:ind w:left="620" w:right="0" w:hanging="480"/>
        <w:jc w:val="left"/>
      </w:pPr>
      <w:r>
        <w:rPr/>
        <w:t>（十一）独立董事关于公司对外担保情况的专项说明和独立意见 </w:t>
      </w:r>
      <w:r>
        <w:rPr>
          <w:spacing w:val="-4"/>
        </w:rPr>
        <w:t>根据中国证监会对上市公司对外担保行为的相关规定，独立董事对公司对外担保情况</w:t>
      </w:r>
    </w:p>
    <w:p>
      <w:pPr>
        <w:pStyle w:val="BodyText"/>
        <w:spacing w:line="282" w:lineRule="exact"/>
        <w:ind w:right="0"/>
        <w:jc w:val="left"/>
      </w:pPr>
      <w:r>
        <w:rPr>
          <w:spacing w:val="-3"/>
        </w:rPr>
        <w:t>进行了专项审查。2009</w:t>
      </w:r>
      <w:r>
        <w:rPr>
          <w:spacing w:val="-68"/>
        </w:rPr>
        <w:t> </w:t>
      </w:r>
      <w:r>
        <w:rPr/>
        <w:t>年度及累计至</w:t>
      </w:r>
      <w:r>
        <w:rPr>
          <w:spacing w:val="-68"/>
        </w:rPr>
        <w:t> </w:t>
      </w:r>
      <w:r>
        <w:rPr/>
        <w:t>2009</w:t>
      </w:r>
      <w:r>
        <w:rPr>
          <w:spacing w:val="-68"/>
        </w:rPr>
        <w:t> </w:t>
      </w:r>
      <w:r>
        <w:rPr/>
        <w:t>年度，公司的对外担保的决策程序符合相关法</w:t>
      </w:r>
    </w:p>
    <w:p>
      <w:pPr>
        <w:pStyle w:val="BodyText"/>
        <w:spacing w:line="310" w:lineRule="exact" w:before="31"/>
        <w:ind w:left="620" w:right="3404" w:hanging="480"/>
        <w:jc w:val="left"/>
      </w:pPr>
      <w:r>
        <w:rPr/>
        <w:t>律法规和规章以及公司章程的规定，信息披露充分完整。 独立董事：吕建、方红星、薛澜</w:t>
      </w:r>
    </w:p>
    <w:p>
      <w:pPr>
        <w:spacing w:after="0" w:line="310" w:lineRule="exact"/>
        <w:jc w:val="left"/>
        <w:sectPr>
          <w:type w:val="continuous"/>
          <w:pgSz w:w="11910" w:h="16840"/>
          <w:pgMar w:top="1600" w:bottom="280" w:left="1220" w:right="112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p>
      <w:pPr>
        <w:pStyle w:val="Heading5"/>
        <w:spacing w:line="240" w:lineRule="auto"/>
        <w:ind w:right="84"/>
        <w:jc w:val="left"/>
        <w:rPr>
          <w:b w:val="0"/>
          <w:bCs w:val="0"/>
        </w:rPr>
      </w:pPr>
      <w:bookmarkStart w:name="_bookmark8" w:id="10"/>
      <w:bookmarkEnd w:id="10"/>
      <w:r>
        <w:rPr>
          <w:b w:val="0"/>
          <w:bCs w:val="0"/>
        </w:rPr>
      </w:r>
      <w:r>
        <w:rPr/>
        <w:t>九、监事会报告</w:t>
      </w:r>
      <w:r>
        <w:rPr>
          <w:b w:val="0"/>
          <w:bCs w:val="0"/>
        </w:rPr>
      </w:r>
    </w:p>
    <w:p>
      <w:pPr>
        <w:pStyle w:val="BodyText"/>
        <w:spacing w:line="312" w:lineRule="exact" w:before="4"/>
        <w:ind w:right="84"/>
        <w:jc w:val="left"/>
      </w:pPr>
      <w:r>
        <w:rPr/>
        <w:t>（一）监事会的工作情况</w:t>
      </w:r>
    </w:p>
    <w:p>
      <w:pPr>
        <w:pStyle w:val="BodyText"/>
        <w:spacing w:line="310" w:lineRule="exact" w:before="30"/>
        <w:ind w:right="2846" w:firstLine="480"/>
        <w:jc w:val="left"/>
      </w:pPr>
      <w:r>
        <w:rPr/>
        <w:t>报告期内，监事会共召开</w:t>
      </w:r>
      <w:r>
        <w:rPr>
          <w:spacing w:val="-60"/>
        </w:rPr>
        <w:t> </w:t>
      </w:r>
      <w:r>
        <w:rPr/>
        <w:t>6</w:t>
      </w:r>
      <w:r>
        <w:rPr>
          <w:spacing w:val="-60"/>
        </w:rPr>
        <w:t> </w:t>
      </w:r>
      <w:r>
        <w:rPr/>
        <w:t>次会议，具体会议情况如下：</w:t>
      </w:r>
      <w:r>
        <w:rPr/>
        <w:t> 1、于</w:t>
      </w:r>
      <w:r>
        <w:rPr>
          <w:spacing w:val="-59"/>
        </w:rPr>
        <w:t> </w:t>
      </w:r>
      <w:r>
        <w:rPr>
          <w:spacing w:val="25"/>
        </w:rPr>
        <w:t>2009年3月</w:t>
      </w:r>
      <w:r>
        <w:rPr>
          <w:spacing w:val="-59"/>
        </w:rPr>
        <w:t> </w:t>
      </w:r>
      <w:r>
        <w:rPr/>
        <w:t>25</w:t>
      </w:r>
      <w:r>
        <w:rPr>
          <w:spacing w:val="-59"/>
        </w:rPr>
        <w:t> </w:t>
      </w:r>
      <w:r>
        <w:rPr/>
        <w:t>日召开的五届五次监事会，审议通过了：</w:t>
      </w:r>
    </w:p>
    <w:p>
      <w:pPr>
        <w:pStyle w:val="BodyText"/>
        <w:spacing w:line="282" w:lineRule="exact"/>
        <w:ind w:right="84"/>
        <w:jc w:val="left"/>
      </w:pPr>
      <w:r>
        <w:rPr/>
        <w:t>（1）2008</w:t>
      </w:r>
      <w:r>
        <w:rPr>
          <w:spacing w:val="-60"/>
        </w:rPr>
        <w:t> </w:t>
      </w:r>
      <w:r>
        <w:rPr/>
        <w:t>年度监事会报告；</w:t>
      </w:r>
    </w:p>
    <w:p>
      <w:pPr>
        <w:pStyle w:val="BodyText"/>
        <w:spacing w:line="311" w:lineRule="exact"/>
        <w:ind w:right="84"/>
        <w:jc w:val="left"/>
      </w:pPr>
      <w:r>
        <w:rPr/>
        <w:t>（2）2008</w:t>
      </w:r>
      <w:r>
        <w:rPr>
          <w:spacing w:val="-60"/>
        </w:rPr>
        <w:t> </w:t>
      </w:r>
      <w:r>
        <w:rPr/>
        <w:t>年度报告全文及其摘要；</w:t>
      </w:r>
    </w:p>
    <w:p>
      <w:pPr>
        <w:pStyle w:val="BodyText"/>
        <w:spacing w:line="311" w:lineRule="exact"/>
        <w:ind w:right="84"/>
        <w:jc w:val="left"/>
      </w:pPr>
      <w:r>
        <w:rPr/>
        <w:t>（3）2008</w:t>
      </w:r>
      <w:r>
        <w:rPr>
          <w:spacing w:val="-60"/>
        </w:rPr>
        <w:t> </w:t>
      </w:r>
      <w:r>
        <w:rPr/>
        <w:t>年度财务决算报告；</w:t>
      </w:r>
    </w:p>
    <w:p>
      <w:pPr>
        <w:pStyle w:val="BodyText"/>
        <w:spacing w:line="311" w:lineRule="exact"/>
        <w:ind w:right="84"/>
        <w:jc w:val="left"/>
      </w:pPr>
      <w:r>
        <w:rPr/>
        <w:t>（4）关于</w:t>
      </w:r>
      <w:r>
        <w:rPr>
          <w:spacing w:val="-60"/>
        </w:rPr>
        <w:t> </w:t>
      </w:r>
      <w:r>
        <w:rPr/>
        <w:t>2008</w:t>
      </w:r>
      <w:r>
        <w:rPr>
          <w:spacing w:val="-60"/>
        </w:rPr>
        <w:t> </w:t>
      </w:r>
      <w:r>
        <w:rPr/>
        <w:t>年度利润分配的议案；</w:t>
      </w:r>
    </w:p>
    <w:p>
      <w:pPr>
        <w:pStyle w:val="BodyText"/>
        <w:spacing w:line="311" w:lineRule="exact"/>
        <w:ind w:right="84"/>
        <w:jc w:val="left"/>
      </w:pPr>
      <w:r>
        <w:rPr/>
        <w:t>（5）关于公司</w:t>
      </w:r>
      <w:r>
        <w:rPr>
          <w:spacing w:val="-60"/>
        </w:rPr>
        <w:t> </w:t>
      </w:r>
      <w:r>
        <w:rPr/>
        <w:t>2008</w:t>
      </w:r>
      <w:r>
        <w:rPr>
          <w:spacing w:val="-60"/>
        </w:rPr>
        <w:t> </w:t>
      </w:r>
      <w:r>
        <w:rPr/>
        <w:t>年新增会计政策及</w:t>
      </w:r>
      <w:r>
        <w:rPr>
          <w:spacing w:val="-60"/>
        </w:rPr>
        <w:t> </w:t>
      </w:r>
      <w:r>
        <w:rPr/>
        <w:t>2009</w:t>
      </w:r>
      <w:r>
        <w:rPr>
          <w:spacing w:val="-60"/>
        </w:rPr>
        <w:t> </w:t>
      </w:r>
      <w:r>
        <w:rPr/>
        <w:t>年会计估计变更的议案；</w:t>
      </w:r>
    </w:p>
    <w:p>
      <w:pPr>
        <w:pStyle w:val="BodyText"/>
        <w:spacing w:line="311" w:lineRule="exact"/>
        <w:ind w:right="84"/>
        <w:jc w:val="left"/>
      </w:pPr>
      <w:r>
        <w:rPr/>
        <w:t>（6）关于聘请</w:t>
      </w:r>
      <w:r>
        <w:rPr>
          <w:spacing w:val="-60"/>
        </w:rPr>
        <w:t> </w:t>
      </w:r>
      <w:r>
        <w:rPr/>
        <w:t>2009</w:t>
      </w:r>
      <w:r>
        <w:rPr>
          <w:spacing w:val="-60"/>
        </w:rPr>
        <w:t> </w:t>
      </w:r>
      <w:r>
        <w:rPr/>
        <w:t>年度财务审计机构的议案；</w:t>
      </w:r>
    </w:p>
    <w:p>
      <w:pPr>
        <w:pStyle w:val="BodyText"/>
        <w:spacing w:line="311" w:lineRule="exact"/>
        <w:ind w:right="84"/>
        <w:jc w:val="left"/>
      </w:pPr>
      <w:r>
        <w:rPr/>
        <w:t>（7）关于</w:t>
      </w:r>
      <w:r>
        <w:rPr>
          <w:spacing w:val="-60"/>
        </w:rPr>
        <w:t> </w:t>
      </w:r>
      <w:r>
        <w:rPr/>
        <w:t>2009</w:t>
      </w:r>
      <w:r>
        <w:rPr>
          <w:spacing w:val="-60"/>
        </w:rPr>
        <w:t> </w:t>
      </w:r>
      <w:r>
        <w:rPr/>
        <w:t>年度日常关联交易预计情况的议案。</w:t>
      </w:r>
    </w:p>
    <w:p>
      <w:pPr>
        <w:pStyle w:val="BodyText"/>
        <w:spacing w:line="311" w:lineRule="exact"/>
        <w:ind w:right="84"/>
        <w:jc w:val="left"/>
      </w:pPr>
      <w:r>
        <w:rPr/>
        <w:t>2、于</w:t>
      </w:r>
      <w:r>
        <w:rPr>
          <w:spacing w:val="-59"/>
        </w:rPr>
        <w:t> </w:t>
      </w:r>
      <w:r>
        <w:rPr>
          <w:spacing w:val="25"/>
        </w:rPr>
        <w:t>2009年4月</w:t>
      </w:r>
      <w:r>
        <w:rPr>
          <w:spacing w:val="-59"/>
        </w:rPr>
        <w:t> </w:t>
      </w:r>
      <w:r>
        <w:rPr/>
        <w:t>28</w:t>
      </w:r>
      <w:r>
        <w:rPr>
          <w:spacing w:val="-59"/>
        </w:rPr>
        <w:t> </w:t>
      </w:r>
      <w:r>
        <w:rPr/>
        <w:t>日召开的五届六次监事会，审议通过了《2009</w:t>
      </w:r>
      <w:r>
        <w:rPr>
          <w:spacing w:val="-59"/>
        </w:rPr>
        <w:t> </w:t>
      </w:r>
      <w:r>
        <w:rPr/>
        <w:t>年第一季度报告》。</w:t>
      </w:r>
    </w:p>
    <w:p>
      <w:pPr>
        <w:pStyle w:val="BodyText"/>
        <w:spacing w:line="311" w:lineRule="exact"/>
        <w:ind w:right="84"/>
        <w:jc w:val="left"/>
      </w:pPr>
      <w:r>
        <w:rPr/>
        <w:t>3、于</w:t>
      </w:r>
      <w:r>
        <w:rPr>
          <w:spacing w:val="-59"/>
        </w:rPr>
        <w:t> </w:t>
      </w:r>
      <w:r>
        <w:rPr>
          <w:spacing w:val="25"/>
        </w:rPr>
        <w:t>2009年7月</w:t>
      </w:r>
      <w:r>
        <w:rPr>
          <w:spacing w:val="-59"/>
        </w:rPr>
        <w:t> </w:t>
      </w:r>
      <w:r>
        <w:rPr/>
        <w:t>20</w:t>
      </w:r>
      <w:r>
        <w:rPr>
          <w:spacing w:val="-59"/>
        </w:rPr>
        <w:t> </w:t>
      </w:r>
      <w:r>
        <w:rPr/>
        <w:t>日召开的五届七次监事会，审议通过了《关于更换监事的议案》。</w:t>
      </w:r>
    </w:p>
    <w:p>
      <w:pPr>
        <w:pStyle w:val="BodyText"/>
        <w:spacing w:line="311" w:lineRule="exact"/>
        <w:ind w:right="84"/>
        <w:jc w:val="left"/>
      </w:pPr>
      <w:r>
        <w:rPr/>
        <w:t>4、于</w:t>
      </w:r>
      <w:r>
        <w:rPr>
          <w:spacing w:val="-59"/>
        </w:rPr>
        <w:t> </w:t>
      </w:r>
      <w:r>
        <w:rPr>
          <w:spacing w:val="25"/>
        </w:rPr>
        <w:t>2009年8月</w:t>
      </w:r>
      <w:r>
        <w:rPr>
          <w:spacing w:val="-59"/>
        </w:rPr>
        <w:t> </w:t>
      </w:r>
      <w:r>
        <w:rPr/>
        <w:t>26</w:t>
      </w:r>
      <w:r>
        <w:rPr>
          <w:spacing w:val="-59"/>
        </w:rPr>
        <w:t> </w:t>
      </w:r>
      <w:r>
        <w:rPr/>
        <w:t>日召开的五届八次监事会，审议通过了以下议案：</w:t>
      </w:r>
    </w:p>
    <w:p>
      <w:pPr>
        <w:pStyle w:val="BodyText"/>
        <w:spacing w:line="311" w:lineRule="exact"/>
        <w:ind w:right="84"/>
        <w:jc w:val="left"/>
      </w:pPr>
      <w:r>
        <w:rPr/>
        <w:t>（1）2009</w:t>
      </w:r>
      <w:r>
        <w:rPr>
          <w:spacing w:val="-60"/>
        </w:rPr>
        <w:t> </w:t>
      </w:r>
      <w:r>
        <w:rPr/>
        <w:t>年半年度报告全文及其摘要；</w:t>
      </w:r>
    </w:p>
    <w:p>
      <w:pPr>
        <w:pStyle w:val="BodyText"/>
        <w:spacing w:line="310" w:lineRule="exact" w:before="31"/>
        <w:ind w:right="204"/>
        <w:jc w:val="left"/>
      </w:pPr>
      <w:r>
        <w:rPr>
          <w:spacing w:val="-6"/>
        </w:rPr>
        <w:t>（2）审议并确认了《关于全资子公司-东软（欧洲）有限公司收购</w:t>
      </w:r>
      <w:r>
        <w:rPr>
          <w:spacing w:val="-60"/>
        </w:rPr>
        <w:t> </w:t>
      </w:r>
      <w:r>
        <w:rPr/>
        <w:t>Sesca</w:t>
      </w:r>
      <w:r>
        <w:rPr>
          <w:spacing w:val="-60"/>
        </w:rPr>
        <w:t> </w:t>
      </w:r>
      <w:r>
        <w:rPr/>
        <w:t>Mobile</w:t>
      </w:r>
      <w:r>
        <w:rPr>
          <w:spacing w:val="-60"/>
        </w:rPr>
        <w:t> </w:t>
      </w:r>
      <w:r>
        <w:rPr/>
        <w:t>Software</w:t>
      </w:r>
      <w:r>
        <w:rPr/>
        <w:t> Oy、Almitas Oy</w:t>
      </w:r>
      <w:r>
        <w:rPr>
          <w:spacing w:val="-60"/>
        </w:rPr>
        <w:t> </w:t>
      </w:r>
      <w:r>
        <w:rPr/>
        <w:t>和</w:t>
      </w:r>
      <w:r>
        <w:rPr>
          <w:spacing w:val="-60"/>
        </w:rPr>
        <w:t> </w:t>
      </w:r>
      <w:r>
        <w:rPr/>
        <w:t>Sesca Technologies Srl</w:t>
      </w:r>
      <w:r>
        <w:rPr>
          <w:spacing w:val="-60"/>
        </w:rPr>
        <w:t> </w:t>
      </w:r>
      <w:r>
        <w:rPr/>
        <w:t>三家公司</w:t>
      </w:r>
      <w:r>
        <w:rPr>
          <w:spacing w:val="-60"/>
        </w:rPr>
        <w:t> </w:t>
      </w:r>
      <w:r>
        <w:rPr/>
        <w:t>100%股份的议案》；</w:t>
      </w:r>
    </w:p>
    <w:p>
      <w:pPr>
        <w:pStyle w:val="BodyText"/>
        <w:spacing w:line="310" w:lineRule="exact" w:before="2"/>
        <w:ind w:right="83"/>
        <w:jc w:val="left"/>
      </w:pPr>
      <w:r>
        <w:rPr/>
        <w:t>（3）审议并确认了《关于对全资子公司-东软（欧洲）有限公司增加投资的议案》。 </w:t>
      </w:r>
      <w:r>
        <w:rPr>
          <w:spacing w:val="-10"/>
        </w:rPr>
        <w:t>5、于</w:t>
      </w:r>
      <w:r>
        <w:rPr>
          <w:spacing w:val="-58"/>
        </w:rPr>
        <w:t> </w:t>
      </w:r>
      <w:r>
        <w:rPr>
          <w:spacing w:val="25"/>
        </w:rPr>
        <w:t>2009年8月</w:t>
      </w:r>
      <w:r>
        <w:rPr>
          <w:spacing w:val="-58"/>
        </w:rPr>
        <w:t> </w:t>
      </w:r>
      <w:r>
        <w:rPr/>
        <w:t>27</w:t>
      </w:r>
      <w:r>
        <w:rPr>
          <w:spacing w:val="-58"/>
        </w:rPr>
        <w:t> </w:t>
      </w:r>
      <w:r>
        <w:rPr>
          <w:spacing w:val="-3"/>
        </w:rPr>
        <w:t>日召开的五届九次监事会，审议通过了《关于选举监事长的议案》。</w:t>
      </w:r>
    </w:p>
    <w:p>
      <w:pPr>
        <w:pStyle w:val="BodyText"/>
        <w:spacing w:line="283" w:lineRule="exact"/>
        <w:ind w:right="0"/>
        <w:jc w:val="left"/>
      </w:pPr>
      <w:r>
        <w:rPr>
          <w:spacing w:val="-5"/>
        </w:rPr>
        <w:t>6、于</w:t>
      </w:r>
      <w:r>
        <w:rPr>
          <w:spacing w:val="-67"/>
        </w:rPr>
        <w:t> </w:t>
      </w:r>
      <w:r>
        <w:rPr/>
        <w:t>2009</w:t>
      </w:r>
      <w:r>
        <w:rPr>
          <w:spacing w:val="-67"/>
        </w:rPr>
        <w:t> </w:t>
      </w:r>
      <w:r>
        <w:rPr/>
        <w:t>年</w:t>
      </w:r>
      <w:r>
        <w:rPr>
          <w:spacing w:val="-67"/>
        </w:rPr>
        <w:t> </w:t>
      </w:r>
      <w:r>
        <w:rPr/>
        <w:t>10</w:t>
      </w:r>
      <w:r>
        <w:rPr>
          <w:spacing w:val="-67"/>
        </w:rPr>
        <w:t> </w:t>
      </w:r>
      <w:r>
        <w:rPr/>
        <w:t>月</w:t>
      </w:r>
      <w:r>
        <w:rPr>
          <w:spacing w:val="-67"/>
        </w:rPr>
        <w:t> </w:t>
      </w:r>
      <w:r>
        <w:rPr/>
        <w:t>28</w:t>
      </w:r>
      <w:r>
        <w:rPr>
          <w:spacing w:val="-67"/>
        </w:rPr>
        <w:t> </w:t>
      </w:r>
      <w:r>
        <w:rPr/>
        <w:t>日召开的五届十次监事会，审议通过了《2009</w:t>
      </w:r>
      <w:r>
        <w:rPr>
          <w:spacing w:val="-67"/>
        </w:rPr>
        <w:t> </w:t>
      </w:r>
      <w:r>
        <w:rPr/>
        <w:t>年第三季度报告》。</w:t>
      </w:r>
    </w:p>
    <w:p>
      <w:pPr>
        <w:spacing w:line="240" w:lineRule="auto" w:before="8"/>
        <w:rPr>
          <w:rFonts w:ascii="宋体" w:hAnsi="宋体" w:cs="宋体" w:eastAsia="宋体" w:hint="default"/>
          <w:sz w:val="23"/>
          <w:szCs w:val="23"/>
        </w:rPr>
      </w:pPr>
    </w:p>
    <w:p>
      <w:pPr>
        <w:pStyle w:val="BodyText"/>
        <w:spacing w:line="312" w:lineRule="exact"/>
        <w:ind w:right="84"/>
        <w:jc w:val="left"/>
      </w:pPr>
      <w:r>
        <w:rPr/>
        <w:t>（二）监事会对公司依法运作情况的独立意见</w:t>
      </w:r>
    </w:p>
    <w:p>
      <w:pPr>
        <w:pStyle w:val="BodyText"/>
        <w:spacing w:line="237" w:lineRule="auto" w:before="1"/>
        <w:ind w:right="220" w:firstLine="480"/>
        <w:jc w:val="both"/>
      </w:pPr>
      <w:r>
        <w:rPr/>
        <w:t>公司在</w:t>
      </w:r>
      <w:r>
        <w:rPr>
          <w:spacing w:val="-60"/>
        </w:rPr>
        <w:t> </w:t>
      </w:r>
      <w:r>
        <w:rPr/>
        <w:t>2009</w:t>
      </w:r>
      <w:r>
        <w:rPr>
          <w:spacing w:val="-60"/>
        </w:rPr>
        <w:t> </w:t>
      </w:r>
      <w:r>
        <w:rPr/>
        <w:t>年能够依法规范运作，决策程序合法，公司建立了完善的内控制度，公</w:t>
      </w:r>
      <w:r>
        <w:rPr/>
        <w:t> </w:t>
      </w:r>
      <w:r>
        <w:rPr>
          <w:spacing w:val="-4"/>
        </w:rPr>
        <w:t>司董事及高级管理人员能够守法经营，认真执行股东大会决议，具有很强的进取精神，未</w:t>
      </w:r>
      <w:r>
        <w:rPr>
          <w:spacing w:val="-84"/>
        </w:rPr>
        <w:t> </w:t>
      </w:r>
      <w:r>
        <w:rPr>
          <w:spacing w:val="-84"/>
        </w:rPr>
      </w:r>
      <w:r>
        <w:rPr/>
        <w:t>见违反法规、公司章程及损害股东、员工利益的行为。</w:t>
      </w:r>
    </w:p>
    <w:p>
      <w:pPr>
        <w:spacing w:line="240" w:lineRule="auto" w:before="8"/>
        <w:rPr>
          <w:rFonts w:ascii="宋体" w:hAnsi="宋体" w:cs="宋体" w:eastAsia="宋体" w:hint="default"/>
          <w:sz w:val="23"/>
          <w:szCs w:val="23"/>
        </w:rPr>
      </w:pPr>
    </w:p>
    <w:p>
      <w:pPr>
        <w:pStyle w:val="BodyText"/>
        <w:spacing w:line="312" w:lineRule="exact"/>
        <w:ind w:right="84"/>
        <w:jc w:val="left"/>
      </w:pPr>
      <w:r>
        <w:rPr/>
        <w:t>（三）监事会对检查公司财务情况的独立意见</w:t>
      </w:r>
    </w:p>
    <w:p>
      <w:pPr>
        <w:pStyle w:val="BodyText"/>
        <w:spacing w:line="312" w:lineRule="exact" w:before="29"/>
        <w:ind w:right="221" w:firstLine="480"/>
        <w:jc w:val="both"/>
      </w:pPr>
      <w:r>
        <w:rPr/>
        <w:t>经立信会计师事务所有限公司审定的公司</w:t>
      </w:r>
      <w:r>
        <w:rPr>
          <w:spacing w:val="-60"/>
        </w:rPr>
        <w:t> </w:t>
      </w:r>
      <w:r>
        <w:rPr/>
        <w:t>2009</w:t>
      </w:r>
      <w:r>
        <w:rPr>
          <w:spacing w:val="-60"/>
        </w:rPr>
        <w:t> </w:t>
      </w:r>
      <w:r>
        <w:rPr/>
        <w:t>年度财务报告是客观公正的，真实反</w:t>
      </w:r>
      <w:r>
        <w:rPr/>
        <w:t> 映了公司的财务状况和经营成果。</w:t>
      </w:r>
    </w:p>
    <w:p>
      <w:pPr>
        <w:spacing w:line="240" w:lineRule="auto" w:before="9"/>
        <w:rPr>
          <w:rFonts w:ascii="宋体" w:hAnsi="宋体" w:cs="宋体" w:eastAsia="宋体" w:hint="default"/>
          <w:sz w:val="23"/>
          <w:szCs w:val="23"/>
        </w:rPr>
      </w:pPr>
    </w:p>
    <w:p>
      <w:pPr>
        <w:pStyle w:val="BodyText"/>
        <w:spacing w:line="312" w:lineRule="exact"/>
        <w:ind w:left="620" w:right="84" w:hanging="480"/>
        <w:jc w:val="left"/>
      </w:pPr>
      <w:r>
        <w:rPr/>
        <w:t>（四）监事会对公司最近一次募集资金实际投入情况的独立意见 </w:t>
      </w:r>
      <w:r>
        <w:rPr>
          <w:spacing w:val="-4"/>
        </w:rPr>
        <w:t>公司最近一次募集资金实际投入项目与承诺投入项目一致，募集资金的投入对公司发</w:t>
      </w:r>
    </w:p>
    <w:p>
      <w:pPr>
        <w:pStyle w:val="BodyText"/>
        <w:spacing w:line="282" w:lineRule="exact"/>
        <w:ind w:right="84"/>
        <w:jc w:val="left"/>
      </w:pPr>
      <w:r>
        <w:rPr/>
        <w:t>展起到了重要的作用。</w:t>
      </w:r>
    </w:p>
    <w:p>
      <w:pPr>
        <w:spacing w:line="240" w:lineRule="auto" w:before="1"/>
        <w:rPr>
          <w:rFonts w:ascii="宋体" w:hAnsi="宋体" w:cs="宋体" w:eastAsia="宋体" w:hint="default"/>
          <w:sz w:val="26"/>
          <w:szCs w:val="26"/>
        </w:rPr>
      </w:pPr>
    </w:p>
    <w:p>
      <w:pPr>
        <w:pStyle w:val="BodyText"/>
        <w:spacing w:line="310" w:lineRule="exact"/>
        <w:ind w:left="620" w:right="84" w:hanging="480"/>
        <w:jc w:val="left"/>
      </w:pPr>
      <w:r>
        <w:rPr/>
        <w:t>（五）监事会对公司收购、出售资产情况的独立意见 </w:t>
      </w:r>
      <w:r>
        <w:rPr>
          <w:spacing w:val="-4"/>
        </w:rPr>
        <w:t>公司收购、出售资产交易价格合理，未发现内幕交易，未有损害股东的权益或造成公</w:t>
      </w:r>
    </w:p>
    <w:p>
      <w:pPr>
        <w:pStyle w:val="BodyText"/>
        <w:spacing w:line="284" w:lineRule="exact"/>
        <w:ind w:right="84"/>
        <w:jc w:val="left"/>
      </w:pPr>
      <w:r>
        <w:rPr/>
        <w:t>司资产流失的情况发生。</w:t>
      </w:r>
    </w:p>
    <w:p>
      <w:pPr>
        <w:spacing w:line="240" w:lineRule="auto" w:before="7"/>
        <w:rPr>
          <w:rFonts w:ascii="宋体" w:hAnsi="宋体" w:cs="宋体" w:eastAsia="宋体" w:hint="default"/>
          <w:sz w:val="23"/>
          <w:szCs w:val="23"/>
        </w:rPr>
      </w:pPr>
    </w:p>
    <w:p>
      <w:pPr>
        <w:pStyle w:val="BodyText"/>
        <w:spacing w:line="313" w:lineRule="exact"/>
        <w:ind w:right="84"/>
        <w:jc w:val="left"/>
      </w:pPr>
      <w:r>
        <w:rPr/>
        <w:t>（六）监事会对公司关联交易情况的独立意见</w:t>
      </w:r>
    </w:p>
    <w:p>
      <w:pPr>
        <w:pStyle w:val="BodyText"/>
        <w:spacing w:line="313" w:lineRule="exact"/>
        <w:ind w:left="620" w:right="84"/>
        <w:jc w:val="left"/>
      </w:pPr>
      <w:r>
        <w:rPr/>
        <w:t>公司</w:t>
      </w:r>
      <w:r>
        <w:rPr>
          <w:spacing w:val="-60"/>
        </w:rPr>
        <w:t> </w:t>
      </w:r>
      <w:r>
        <w:rPr/>
        <w:t>2009</w:t>
      </w:r>
      <w:r>
        <w:rPr>
          <w:spacing w:val="-60"/>
        </w:rPr>
        <w:t> </w:t>
      </w:r>
      <w:r>
        <w:rPr/>
        <w:t>年进行的关联交易均以公允的价格进行，并未损害公司利益。</w:t>
      </w:r>
    </w:p>
    <w:p>
      <w:pPr>
        <w:spacing w:after="0" w:line="313" w:lineRule="exact"/>
        <w:jc w:val="left"/>
        <w:sectPr>
          <w:pgSz w:w="11910" w:h="16840"/>
          <w:pgMar w:header="720" w:footer="721" w:top="1100" w:bottom="920" w:left="1220" w:right="108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pStyle w:val="Heading5"/>
        <w:spacing w:line="240" w:lineRule="auto"/>
        <w:ind w:left="420" w:right="220"/>
        <w:jc w:val="left"/>
        <w:rPr>
          <w:b w:val="0"/>
          <w:bCs w:val="0"/>
        </w:rPr>
      </w:pPr>
      <w:bookmarkStart w:name="_bookmark9" w:id="11"/>
      <w:bookmarkEnd w:id="11"/>
      <w:r>
        <w:rPr>
          <w:b w:val="0"/>
          <w:bCs w:val="0"/>
        </w:rPr>
      </w:r>
      <w:r>
        <w:rPr/>
        <w:t>十、重要事项</w:t>
      </w:r>
      <w:r>
        <w:rPr>
          <w:b w:val="0"/>
          <w:bCs w:val="0"/>
        </w:rPr>
      </w:r>
    </w:p>
    <w:p>
      <w:pPr>
        <w:pStyle w:val="BodyText"/>
        <w:spacing w:line="310" w:lineRule="exact" w:before="36"/>
        <w:ind w:left="900" w:right="5184" w:hanging="480"/>
        <w:jc w:val="left"/>
      </w:pPr>
      <w:r>
        <w:rPr/>
        <w:t>（一）重大诉讼仲裁事项 本年度公司无重大诉讼、仲裁事项。</w:t>
      </w:r>
    </w:p>
    <w:p>
      <w:pPr>
        <w:spacing w:line="240" w:lineRule="auto" w:before="12"/>
        <w:rPr>
          <w:rFonts w:ascii="宋体" w:hAnsi="宋体" w:cs="宋体" w:eastAsia="宋体" w:hint="default"/>
          <w:sz w:val="23"/>
          <w:szCs w:val="23"/>
        </w:rPr>
      </w:pPr>
    </w:p>
    <w:p>
      <w:pPr>
        <w:pStyle w:val="BodyText"/>
        <w:spacing w:line="310" w:lineRule="exact"/>
        <w:ind w:left="900" w:right="5424" w:hanging="480"/>
        <w:jc w:val="left"/>
      </w:pPr>
      <w:r>
        <w:rPr/>
        <w:t>（二）破产重整相关事项 本年度公司无破产重整相关事项。</w:t>
      </w:r>
    </w:p>
    <w:p>
      <w:pPr>
        <w:spacing w:line="240" w:lineRule="auto" w:before="6"/>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10" w:h="16840"/>
          <w:pgMar w:header="720" w:footer="721" w:top="1100" w:bottom="920" w:left="940" w:right="1020"/>
        </w:sectPr>
      </w:pPr>
    </w:p>
    <w:p>
      <w:pPr>
        <w:pStyle w:val="BodyText"/>
        <w:spacing w:line="312" w:lineRule="exact" w:before="56"/>
        <w:ind w:left="420" w:right="-20"/>
        <w:jc w:val="left"/>
      </w:pPr>
      <w:r>
        <w:rPr/>
        <w:t>（三）公司持有其他上市公司股权、参股金融企业股权情况 1、持有其他上市公司股权情况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1"/>
        <w:rPr>
          <w:rFonts w:ascii="宋体" w:hAnsi="宋体" w:cs="宋体" w:eastAsia="宋体" w:hint="default"/>
          <w:sz w:val="29"/>
          <w:szCs w:val="29"/>
        </w:rPr>
      </w:pPr>
    </w:p>
    <w:p>
      <w:pPr>
        <w:spacing w:before="0"/>
        <w:ind w:left="420"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1600" w:bottom="280" w:left="940" w:right="1020"/>
          <w:cols w:num="2" w:equalWidth="0">
            <w:col w:w="6661" w:space="1741"/>
            <w:col w:w="1548"/>
          </w:cols>
        </w:sectPr>
      </w:pP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1098"/>
        <w:gridCol w:w="1174"/>
        <w:gridCol w:w="1163"/>
        <w:gridCol w:w="1064"/>
        <w:gridCol w:w="972"/>
        <w:gridCol w:w="1116"/>
        <w:gridCol w:w="1206"/>
        <w:gridCol w:w="785"/>
        <w:gridCol w:w="1122"/>
      </w:tblGrid>
      <w:tr>
        <w:trPr>
          <w:trHeight w:val="832" w:hRule="exact"/>
        </w:trPr>
        <w:tc>
          <w:tcPr>
            <w:tcW w:w="10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证券代码</w:t>
            </w:r>
            <w:r>
              <w:rPr>
                <w:rFonts w:ascii="宋体" w:hAnsi="宋体" w:cs="宋体" w:eastAsia="宋体" w:hint="default"/>
                <w:sz w:val="21"/>
                <w:szCs w:val="21"/>
              </w:rPr>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57" w:right="0"/>
              <w:jc w:val="left"/>
              <w:rPr>
                <w:rFonts w:ascii="宋体" w:hAnsi="宋体" w:cs="宋体" w:eastAsia="宋体" w:hint="default"/>
                <w:sz w:val="21"/>
                <w:szCs w:val="21"/>
              </w:rPr>
            </w:pPr>
            <w:r>
              <w:rPr>
                <w:rFonts w:ascii="宋体" w:hAnsi="宋体" w:cs="宋体" w:eastAsia="宋体" w:hint="default"/>
                <w:b/>
                <w:bCs/>
                <w:sz w:val="21"/>
                <w:szCs w:val="21"/>
              </w:rPr>
              <w:t>证券简称</w:t>
            </w:r>
            <w:r>
              <w:rPr>
                <w:rFonts w:ascii="宋体" w:hAnsi="宋体" w:cs="宋体" w:eastAsia="宋体" w:hint="default"/>
                <w:sz w:val="21"/>
                <w:szCs w:val="21"/>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62" w:right="150" w:hanging="212"/>
              <w:jc w:val="left"/>
              <w:rPr>
                <w:rFonts w:ascii="宋体" w:hAnsi="宋体" w:cs="宋体" w:eastAsia="宋体" w:hint="default"/>
                <w:sz w:val="21"/>
                <w:szCs w:val="21"/>
              </w:rPr>
            </w:pPr>
            <w:r>
              <w:rPr>
                <w:rFonts w:ascii="宋体" w:hAnsi="宋体" w:cs="宋体" w:eastAsia="宋体" w:hint="default"/>
                <w:b/>
                <w:bCs/>
                <w:sz w:val="21"/>
                <w:szCs w:val="21"/>
              </w:rPr>
              <w:t>最初投资</w:t>
            </w:r>
            <w:r>
              <w:rPr>
                <w:rFonts w:ascii="宋体" w:hAnsi="宋体" w:cs="宋体" w:eastAsia="宋体" w:hint="default"/>
                <w:b/>
                <w:bCs/>
                <w:spacing w:val="1"/>
                <w:w w:val="99"/>
                <w:sz w:val="21"/>
                <w:szCs w:val="21"/>
              </w:rPr>
              <w:t> </w:t>
            </w:r>
            <w:r>
              <w:rPr>
                <w:rFonts w:ascii="宋体" w:hAnsi="宋体" w:cs="宋体" w:eastAsia="宋体" w:hint="default"/>
                <w:b/>
                <w:bCs/>
                <w:sz w:val="21"/>
                <w:szCs w:val="21"/>
              </w:rPr>
              <w:t>成本</w:t>
            </w:r>
            <w:r>
              <w:rPr>
                <w:rFonts w:ascii="宋体" w:hAnsi="宋体" w:cs="宋体" w:eastAsia="宋体" w:hint="default"/>
                <w:sz w:val="21"/>
                <w:szCs w:val="21"/>
              </w:rPr>
            </w:r>
          </w:p>
        </w:tc>
        <w:tc>
          <w:tcPr>
            <w:tcW w:w="1064"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占该公司</w:t>
            </w:r>
            <w:r>
              <w:rPr>
                <w:rFonts w:ascii="宋体" w:hAnsi="宋体" w:cs="宋体" w:eastAsia="宋体" w:hint="default"/>
                <w:sz w:val="21"/>
                <w:szCs w:val="21"/>
              </w:rPr>
            </w:r>
          </w:p>
          <w:p>
            <w:pPr>
              <w:pStyle w:val="TableParagraph"/>
              <w:spacing w:line="272"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股权比例</w:t>
            </w:r>
            <w:r>
              <w:rPr>
                <w:rFonts w:ascii="宋体" w:hAnsi="宋体" w:cs="宋体" w:eastAsia="宋体" w:hint="default"/>
                <w:sz w:val="21"/>
                <w:szCs w:val="21"/>
              </w:rPr>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c>
        <w:tc>
          <w:tcPr>
            <w:tcW w:w="972"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61" w:right="160"/>
              <w:jc w:val="left"/>
              <w:rPr>
                <w:rFonts w:ascii="宋体" w:hAnsi="宋体" w:cs="宋体" w:eastAsia="宋体" w:hint="default"/>
                <w:sz w:val="21"/>
                <w:szCs w:val="21"/>
              </w:rPr>
            </w:pPr>
            <w:r>
              <w:rPr>
                <w:rFonts w:ascii="宋体" w:hAnsi="宋体" w:cs="宋体" w:eastAsia="宋体" w:hint="default"/>
                <w:b/>
                <w:bCs/>
                <w:sz w:val="21"/>
                <w:szCs w:val="21"/>
              </w:rPr>
              <w:t>期末账</w:t>
            </w:r>
            <w:r>
              <w:rPr>
                <w:rFonts w:ascii="宋体" w:hAnsi="宋体" w:cs="宋体" w:eastAsia="宋体" w:hint="default"/>
                <w:b/>
                <w:bCs/>
                <w:spacing w:val="1"/>
                <w:w w:val="99"/>
                <w:sz w:val="21"/>
                <w:szCs w:val="21"/>
              </w:rPr>
              <w:t> </w:t>
            </w:r>
            <w:r>
              <w:rPr>
                <w:rFonts w:ascii="宋体" w:hAnsi="宋体" w:cs="宋体" w:eastAsia="宋体" w:hint="default"/>
                <w:b/>
                <w:bCs/>
                <w:sz w:val="21"/>
                <w:szCs w:val="21"/>
              </w:rPr>
              <w:t>面价值</w:t>
            </w:r>
            <w:r>
              <w:rPr>
                <w:rFonts w:ascii="宋体" w:hAnsi="宋体" w:cs="宋体" w:eastAsia="宋体" w:hint="default"/>
                <w:sz w:val="21"/>
                <w:szCs w:val="21"/>
              </w:rPr>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39" w:right="232" w:hanging="106"/>
              <w:jc w:val="left"/>
              <w:rPr>
                <w:rFonts w:ascii="宋体" w:hAnsi="宋体" w:cs="宋体" w:eastAsia="宋体" w:hint="default"/>
                <w:sz w:val="21"/>
                <w:szCs w:val="21"/>
              </w:rPr>
            </w:pPr>
            <w:r>
              <w:rPr>
                <w:rFonts w:ascii="宋体" w:hAnsi="宋体" w:cs="宋体" w:eastAsia="宋体" w:hint="default"/>
                <w:b/>
                <w:bCs/>
                <w:sz w:val="21"/>
                <w:szCs w:val="21"/>
              </w:rPr>
              <w:t>报告期</w:t>
            </w:r>
            <w:r>
              <w:rPr>
                <w:rFonts w:ascii="宋体" w:hAnsi="宋体" w:cs="宋体" w:eastAsia="宋体" w:hint="default"/>
                <w:b/>
                <w:bCs/>
                <w:spacing w:val="1"/>
                <w:w w:val="99"/>
                <w:sz w:val="21"/>
                <w:szCs w:val="21"/>
              </w:rPr>
              <w:t> </w:t>
            </w:r>
            <w:r>
              <w:rPr>
                <w:rFonts w:ascii="宋体" w:hAnsi="宋体" w:cs="宋体" w:eastAsia="宋体" w:hint="default"/>
                <w:b/>
                <w:bCs/>
                <w:sz w:val="21"/>
                <w:szCs w:val="21"/>
              </w:rPr>
              <w:t>损益</w:t>
            </w:r>
            <w:r>
              <w:rPr>
                <w:rFonts w:ascii="宋体" w:hAnsi="宋体" w:cs="宋体" w:eastAsia="宋体" w:hint="default"/>
                <w:sz w:val="21"/>
                <w:szCs w:val="21"/>
              </w:rPr>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73" w:right="0"/>
              <w:jc w:val="left"/>
              <w:rPr>
                <w:rFonts w:ascii="宋体" w:hAnsi="宋体" w:cs="宋体" w:eastAsia="宋体" w:hint="default"/>
                <w:sz w:val="21"/>
                <w:szCs w:val="21"/>
              </w:rPr>
            </w:pPr>
            <w:r>
              <w:rPr>
                <w:rFonts w:ascii="宋体" w:hAnsi="宋体" w:cs="宋体" w:eastAsia="宋体" w:hint="default"/>
                <w:b/>
                <w:bCs/>
                <w:sz w:val="21"/>
                <w:szCs w:val="21"/>
              </w:rPr>
              <w:t>报告期所</w:t>
            </w:r>
            <w:r>
              <w:rPr>
                <w:rFonts w:ascii="宋体" w:hAnsi="宋体" w:cs="宋体" w:eastAsia="宋体" w:hint="default"/>
                <w:sz w:val="21"/>
                <w:szCs w:val="21"/>
              </w:rPr>
            </w:r>
          </w:p>
          <w:p>
            <w:pPr>
              <w:pStyle w:val="TableParagraph"/>
              <w:spacing w:line="272" w:lineRule="exact" w:before="26"/>
              <w:ind w:left="383" w:right="170" w:hanging="210"/>
              <w:jc w:val="left"/>
              <w:rPr>
                <w:rFonts w:ascii="宋体" w:hAnsi="宋体" w:cs="宋体" w:eastAsia="宋体" w:hint="default"/>
                <w:sz w:val="21"/>
                <w:szCs w:val="21"/>
              </w:rPr>
            </w:pPr>
            <w:r>
              <w:rPr>
                <w:rFonts w:ascii="宋体" w:hAnsi="宋体" w:cs="宋体" w:eastAsia="宋体" w:hint="default"/>
                <w:b/>
                <w:bCs/>
                <w:sz w:val="21"/>
                <w:szCs w:val="21"/>
              </w:rPr>
              <w:t>有者权益</w:t>
            </w:r>
            <w:r>
              <w:rPr>
                <w:rFonts w:ascii="宋体" w:hAnsi="宋体" w:cs="宋体" w:eastAsia="宋体" w:hint="default"/>
                <w:b/>
                <w:bCs/>
                <w:spacing w:val="1"/>
                <w:w w:val="99"/>
                <w:sz w:val="21"/>
                <w:szCs w:val="21"/>
              </w:rPr>
              <w:t> </w:t>
            </w:r>
            <w:r>
              <w:rPr>
                <w:rFonts w:ascii="宋体" w:hAnsi="宋体" w:cs="宋体" w:eastAsia="宋体" w:hint="default"/>
                <w:b/>
                <w:bCs/>
                <w:sz w:val="21"/>
                <w:szCs w:val="21"/>
              </w:rPr>
              <w:t>变动</w:t>
            </w:r>
            <w:r>
              <w:rPr>
                <w:rFonts w:ascii="宋体" w:hAnsi="宋体" w:cs="宋体" w:eastAsia="宋体" w:hint="default"/>
                <w:sz w:val="21"/>
                <w:szCs w:val="21"/>
              </w:rPr>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73" w:right="0"/>
              <w:jc w:val="left"/>
              <w:rPr>
                <w:rFonts w:ascii="宋体" w:hAnsi="宋体" w:cs="宋体" w:eastAsia="宋体" w:hint="default"/>
                <w:sz w:val="21"/>
                <w:szCs w:val="21"/>
              </w:rPr>
            </w:pPr>
            <w:r>
              <w:rPr>
                <w:rFonts w:ascii="宋体" w:hAnsi="宋体" w:cs="宋体" w:eastAsia="宋体" w:hint="default"/>
                <w:b/>
                <w:bCs/>
                <w:sz w:val="21"/>
                <w:szCs w:val="21"/>
              </w:rPr>
              <w:t>会计</w:t>
            </w:r>
            <w:r>
              <w:rPr>
                <w:rFonts w:ascii="宋体" w:hAnsi="宋体" w:cs="宋体" w:eastAsia="宋体" w:hint="default"/>
                <w:sz w:val="21"/>
                <w:szCs w:val="21"/>
              </w:rPr>
            </w:r>
          </w:p>
          <w:p>
            <w:pPr>
              <w:pStyle w:val="TableParagraph"/>
              <w:spacing w:line="272" w:lineRule="exact" w:before="26"/>
              <w:ind w:left="173" w:right="172"/>
              <w:jc w:val="left"/>
              <w:rPr>
                <w:rFonts w:ascii="宋体" w:hAnsi="宋体" w:cs="宋体" w:eastAsia="宋体" w:hint="default"/>
                <w:sz w:val="21"/>
                <w:szCs w:val="21"/>
              </w:rPr>
            </w:pPr>
            <w:r>
              <w:rPr>
                <w:rFonts w:ascii="宋体" w:hAnsi="宋体" w:cs="宋体" w:eastAsia="宋体" w:hint="default"/>
                <w:b/>
                <w:bCs/>
                <w:sz w:val="21"/>
                <w:szCs w:val="21"/>
              </w:rPr>
              <w:t>核算</w:t>
            </w:r>
            <w:r>
              <w:rPr>
                <w:rFonts w:ascii="宋体" w:hAnsi="宋体" w:cs="宋体" w:eastAsia="宋体" w:hint="default"/>
                <w:b/>
                <w:bCs/>
                <w:spacing w:val="1"/>
                <w:w w:val="99"/>
                <w:sz w:val="21"/>
                <w:szCs w:val="21"/>
              </w:rPr>
              <w:t> </w:t>
            </w:r>
            <w:r>
              <w:rPr>
                <w:rFonts w:ascii="宋体" w:hAnsi="宋体" w:cs="宋体" w:eastAsia="宋体" w:hint="default"/>
                <w:b/>
                <w:bCs/>
                <w:sz w:val="21"/>
                <w:szCs w:val="21"/>
              </w:rPr>
              <w:t>科目</w:t>
            </w:r>
            <w:r>
              <w:rPr>
                <w:rFonts w:ascii="宋体" w:hAnsi="宋体" w:cs="宋体" w:eastAsia="宋体" w:hint="default"/>
                <w:sz w:val="21"/>
                <w:szCs w:val="21"/>
              </w:rPr>
            </w:r>
          </w:p>
        </w:tc>
        <w:tc>
          <w:tcPr>
            <w:tcW w:w="1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股份来源</w:t>
            </w:r>
            <w:r>
              <w:rPr>
                <w:rFonts w:ascii="宋体" w:hAnsi="宋体" w:cs="宋体" w:eastAsia="宋体" w:hint="default"/>
                <w:sz w:val="21"/>
                <w:szCs w:val="21"/>
              </w:rPr>
            </w:r>
          </w:p>
        </w:tc>
      </w:tr>
      <w:tr>
        <w:trPr>
          <w:trHeight w:val="715" w:hRule="exact"/>
        </w:trPr>
        <w:tc>
          <w:tcPr>
            <w:tcW w:w="10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600050</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before="87"/>
              <w:ind w:right="0"/>
              <w:jc w:val="center"/>
              <w:rPr>
                <w:rFonts w:ascii="宋体" w:hAnsi="宋体" w:cs="宋体" w:eastAsia="宋体" w:hint="default"/>
                <w:sz w:val="18"/>
                <w:szCs w:val="18"/>
              </w:rPr>
            </w:pPr>
            <w:r>
              <w:rPr>
                <w:rFonts w:ascii="宋体" w:hAnsi="宋体" w:cs="宋体" w:eastAsia="宋体" w:hint="default"/>
                <w:sz w:val="18"/>
                <w:szCs w:val="18"/>
              </w:rPr>
              <w:t>中国联通</w:t>
            </w:r>
          </w:p>
          <w:p>
            <w:pPr>
              <w:pStyle w:val="TableParagraph"/>
              <w:spacing w:line="248" w:lineRule="exact"/>
              <w:ind w:right="0"/>
              <w:jc w:val="center"/>
              <w:rPr>
                <w:rFonts w:ascii="Arial" w:hAnsi="Arial" w:cs="Arial" w:eastAsia="Arial" w:hint="default"/>
                <w:sz w:val="18"/>
                <w:szCs w:val="18"/>
              </w:rPr>
            </w:pPr>
            <w:r>
              <w:rPr>
                <w:rFonts w:ascii="Arial" w:hAnsi="Arial" w:cs="Arial" w:eastAsia="Arial" w:hint="default"/>
                <w:sz w:val="18"/>
                <w:szCs w:val="18"/>
              </w:rPr>
              <w:t>(</w:t>
            </w:r>
            <w:r>
              <w:rPr>
                <w:rFonts w:ascii="宋体" w:hAnsi="宋体" w:cs="宋体" w:eastAsia="宋体" w:hint="default"/>
                <w:sz w:val="18"/>
                <w:szCs w:val="18"/>
              </w:rPr>
              <w:t>注</w:t>
            </w:r>
            <w:r>
              <w:rPr>
                <w:rFonts w:ascii="宋体" w:hAnsi="宋体" w:cs="宋体" w:eastAsia="宋体" w:hint="default"/>
                <w:spacing w:val="-49"/>
                <w:sz w:val="18"/>
                <w:szCs w:val="18"/>
              </w:rPr>
              <w:t> </w:t>
            </w:r>
            <w:r>
              <w:rPr>
                <w:rFonts w:ascii="Arial" w:hAnsi="Arial" w:cs="Arial" w:eastAsia="Arial" w:hint="default"/>
                <w:sz w:val="18"/>
                <w:szCs w:val="18"/>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8"/>
                <w:szCs w:val="18"/>
              </w:rPr>
            </w:pPr>
            <w:r>
              <w:rPr>
                <w:rFonts w:ascii="宋体"/>
                <w:sz w:val="18"/>
              </w:rPr>
              <w:t>29,237,521</w:t>
            </w:r>
          </w:p>
        </w:tc>
        <w:tc>
          <w:tcPr>
            <w:tcW w:w="1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99" w:right="0"/>
              <w:jc w:val="left"/>
              <w:rPr>
                <w:rFonts w:ascii="宋体" w:hAnsi="宋体" w:cs="宋体" w:eastAsia="宋体" w:hint="default"/>
                <w:sz w:val="18"/>
                <w:szCs w:val="18"/>
              </w:rPr>
            </w:pPr>
            <w:r>
              <w:rPr>
                <w:rFonts w:ascii="宋体"/>
                <w:sz w:val="18"/>
              </w:rPr>
              <w:t>0.075</w:t>
            </w:r>
          </w:p>
        </w:tc>
        <w:tc>
          <w:tcPr>
            <w:tcW w:w="9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74,819,370</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-45,819,811</w:t>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15" w:right="0"/>
              <w:jc w:val="left"/>
              <w:rPr>
                <w:rFonts w:ascii="宋体" w:hAnsi="宋体" w:cs="宋体" w:eastAsia="宋体" w:hint="default"/>
                <w:sz w:val="18"/>
                <w:szCs w:val="18"/>
              </w:rPr>
            </w:pPr>
            <w:r>
              <w:rPr>
                <w:rFonts w:ascii="宋体" w:hAnsi="宋体" w:cs="宋体" w:eastAsia="宋体" w:hint="default"/>
                <w:sz w:val="18"/>
                <w:szCs w:val="18"/>
              </w:rPr>
              <w:t>可供出</w:t>
            </w:r>
          </w:p>
          <w:p>
            <w:pPr>
              <w:pStyle w:val="TableParagraph"/>
              <w:spacing w:line="232" w:lineRule="exact" w:before="24"/>
              <w:ind w:left="205" w:right="113" w:hanging="90"/>
              <w:jc w:val="left"/>
              <w:rPr>
                <w:rFonts w:ascii="宋体" w:hAnsi="宋体" w:cs="宋体" w:eastAsia="宋体" w:hint="default"/>
                <w:sz w:val="18"/>
                <w:szCs w:val="18"/>
              </w:rPr>
            </w:pPr>
            <w:r>
              <w:rPr>
                <w:rFonts w:ascii="宋体" w:hAnsi="宋体" w:cs="宋体" w:eastAsia="宋体" w:hint="default"/>
                <w:sz w:val="18"/>
                <w:szCs w:val="18"/>
              </w:rPr>
              <w:t>售金融 资产</w:t>
            </w:r>
          </w:p>
        </w:tc>
        <w:tc>
          <w:tcPr>
            <w:tcW w:w="1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战略配售</w:t>
            </w:r>
          </w:p>
        </w:tc>
      </w:tr>
      <w:tr>
        <w:trPr>
          <w:trHeight w:val="715" w:hRule="exact"/>
        </w:trPr>
        <w:tc>
          <w:tcPr>
            <w:tcW w:w="10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002040</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before="87"/>
              <w:ind w:left="309" w:right="0"/>
              <w:jc w:val="left"/>
              <w:rPr>
                <w:rFonts w:ascii="宋体" w:hAnsi="宋体" w:cs="宋体" w:eastAsia="宋体" w:hint="default"/>
                <w:sz w:val="18"/>
                <w:szCs w:val="18"/>
              </w:rPr>
            </w:pPr>
            <w:r>
              <w:rPr>
                <w:rFonts w:ascii="宋体" w:hAnsi="宋体" w:cs="宋体" w:eastAsia="宋体" w:hint="default"/>
                <w:sz w:val="18"/>
                <w:szCs w:val="18"/>
              </w:rPr>
              <w:t>南京港</w:t>
            </w:r>
          </w:p>
          <w:p>
            <w:pPr>
              <w:pStyle w:val="TableParagraph"/>
              <w:spacing w:line="248" w:lineRule="exact"/>
              <w:ind w:left="357" w:right="0"/>
              <w:jc w:val="left"/>
              <w:rPr>
                <w:rFonts w:ascii="Arial" w:hAnsi="Arial" w:cs="Arial" w:eastAsia="Arial" w:hint="default"/>
                <w:sz w:val="18"/>
                <w:szCs w:val="18"/>
              </w:rPr>
            </w:pPr>
            <w:r>
              <w:rPr>
                <w:rFonts w:ascii="Arial" w:hAnsi="Arial" w:cs="Arial" w:eastAsia="Arial" w:hint="default"/>
                <w:sz w:val="18"/>
                <w:szCs w:val="18"/>
              </w:rPr>
              <w:t>(</w:t>
            </w:r>
            <w:r>
              <w:rPr>
                <w:rFonts w:ascii="宋体" w:hAnsi="宋体" w:cs="宋体" w:eastAsia="宋体" w:hint="default"/>
                <w:sz w:val="18"/>
                <w:szCs w:val="18"/>
              </w:rPr>
              <w:t>注</w:t>
            </w:r>
            <w:r>
              <w:rPr>
                <w:rFonts w:ascii="宋体" w:hAnsi="宋体" w:cs="宋体" w:eastAsia="宋体" w:hint="default"/>
                <w:spacing w:val="-49"/>
                <w:sz w:val="18"/>
                <w:szCs w:val="18"/>
              </w:rPr>
              <w:t> </w:t>
            </w:r>
            <w:r>
              <w:rPr>
                <w:rFonts w:ascii="Arial" w:hAnsi="Arial" w:cs="Arial" w:eastAsia="Arial" w:hint="default"/>
                <w:sz w:val="18"/>
                <w:szCs w:val="18"/>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8"/>
                <w:szCs w:val="18"/>
              </w:rPr>
            </w:pPr>
            <w:r>
              <w:rPr>
                <w:rFonts w:ascii="宋体"/>
                <w:sz w:val="18"/>
              </w:rPr>
              <w:t>6,890</w:t>
            </w:r>
          </w:p>
        </w:tc>
        <w:tc>
          <w:tcPr>
            <w:tcW w:w="1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99" w:right="0"/>
              <w:jc w:val="left"/>
              <w:rPr>
                <w:rFonts w:ascii="宋体" w:hAnsi="宋体" w:cs="宋体" w:eastAsia="宋体" w:hint="default"/>
                <w:sz w:val="18"/>
                <w:szCs w:val="18"/>
              </w:rPr>
            </w:pPr>
            <w:r>
              <w:rPr>
                <w:rFonts w:ascii="宋体"/>
                <w:sz w:val="18"/>
              </w:rPr>
              <w:t>0.001</w:t>
            </w:r>
          </w:p>
        </w:tc>
        <w:tc>
          <w:tcPr>
            <w:tcW w:w="9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-6,890</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-781</w:t>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15" w:right="0"/>
              <w:jc w:val="left"/>
              <w:rPr>
                <w:rFonts w:ascii="宋体" w:hAnsi="宋体" w:cs="宋体" w:eastAsia="宋体" w:hint="default"/>
                <w:sz w:val="18"/>
                <w:szCs w:val="18"/>
              </w:rPr>
            </w:pPr>
            <w:r>
              <w:rPr>
                <w:rFonts w:ascii="宋体" w:hAnsi="宋体" w:cs="宋体" w:eastAsia="宋体" w:hint="default"/>
                <w:sz w:val="18"/>
                <w:szCs w:val="18"/>
              </w:rPr>
              <w:t>可供出</w:t>
            </w:r>
          </w:p>
          <w:p>
            <w:pPr>
              <w:pStyle w:val="TableParagraph"/>
              <w:spacing w:line="232" w:lineRule="exact" w:before="24"/>
              <w:ind w:left="205" w:right="113" w:hanging="90"/>
              <w:jc w:val="left"/>
              <w:rPr>
                <w:rFonts w:ascii="宋体" w:hAnsi="宋体" w:cs="宋体" w:eastAsia="宋体" w:hint="default"/>
                <w:sz w:val="18"/>
                <w:szCs w:val="18"/>
              </w:rPr>
            </w:pPr>
            <w:r>
              <w:rPr>
                <w:rFonts w:ascii="宋体" w:hAnsi="宋体" w:cs="宋体" w:eastAsia="宋体" w:hint="default"/>
                <w:sz w:val="18"/>
                <w:szCs w:val="18"/>
              </w:rPr>
              <w:t>售金融 资产</w:t>
            </w:r>
          </w:p>
        </w:tc>
        <w:tc>
          <w:tcPr>
            <w:tcW w:w="1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二级市场</w:t>
            </w:r>
          </w:p>
        </w:tc>
      </w:tr>
      <w:tr>
        <w:trPr>
          <w:trHeight w:val="716" w:hRule="exact"/>
        </w:trPr>
        <w:tc>
          <w:tcPr>
            <w:tcW w:w="10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002045</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before="87"/>
              <w:ind w:right="0"/>
              <w:jc w:val="center"/>
              <w:rPr>
                <w:rFonts w:ascii="宋体" w:hAnsi="宋体" w:cs="宋体" w:eastAsia="宋体" w:hint="default"/>
                <w:sz w:val="18"/>
                <w:szCs w:val="18"/>
              </w:rPr>
            </w:pPr>
            <w:r>
              <w:rPr>
                <w:rFonts w:ascii="宋体" w:hAnsi="宋体" w:cs="宋体" w:eastAsia="宋体" w:hint="default"/>
                <w:sz w:val="18"/>
                <w:szCs w:val="18"/>
              </w:rPr>
              <w:t>广州国光</w:t>
            </w:r>
          </w:p>
          <w:p>
            <w:pPr>
              <w:pStyle w:val="TableParagraph"/>
              <w:spacing w:line="248" w:lineRule="exact"/>
              <w:ind w:right="0"/>
              <w:jc w:val="center"/>
              <w:rPr>
                <w:rFonts w:ascii="Arial" w:hAnsi="Arial" w:cs="Arial" w:eastAsia="Arial" w:hint="default"/>
                <w:sz w:val="18"/>
                <w:szCs w:val="18"/>
              </w:rPr>
            </w:pPr>
            <w:r>
              <w:rPr>
                <w:rFonts w:ascii="Arial" w:hAnsi="Arial" w:cs="Arial" w:eastAsia="Arial" w:hint="default"/>
                <w:sz w:val="18"/>
                <w:szCs w:val="18"/>
              </w:rPr>
              <w:t>(</w:t>
            </w:r>
            <w:r>
              <w:rPr>
                <w:rFonts w:ascii="宋体" w:hAnsi="宋体" w:cs="宋体" w:eastAsia="宋体" w:hint="default"/>
                <w:sz w:val="18"/>
                <w:szCs w:val="18"/>
              </w:rPr>
              <w:t>注</w:t>
            </w:r>
            <w:r>
              <w:rPr>
                <w:rFonts w:ascii="宋体" w:hAnsi="宋体" w:cs="宋体" w:eastAsia="宋体" w:hint="default"/>
                <w:spacing w:val="-49"/>
                <w:sz w:val="18"/>
                <w:szCs w:val="18"/>
              </w:rPr>
              <w:t> </w:t>
            </w:r>
            <w:r>
              <w:rPr>
                <w:rFonts w:ascii="Arial" w:hAnsi="Arial" w:cs="Arial" w:eastAsia="Arial" w:hint="default"/>
                <w:sz w:val="18"/>
                <w:szCs w:val="18"/>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8"/>
                <w:szCs w:val="18"/>
              </w:rPr>
            </w:pPr>
            <w:r>
              <w:rPr>
                <w:rFonts w:ascii="宋体"/>
                <w:sz w:val="18"/>
              </w:rPr>
              <w:t>10,184</w:t>
            </w:r>
          </w:p>
        </w:tc>
        <w:tc>
          <w:tcPr>
            <w:tcW w:w="1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99" w:right="0"/>
              <w:jc w:val="left"/>
              <w:rPr>
                <w:rFonts w:ascii="宋体" w:hAnsi="宋体" w:cs="宋体" w:eastAsia="宋体" w:hint="default"/>
                <w:sz w:val="18"/>
                <w:szCs w:val="18"/>
              </w:rPr>
            </w:pPr>
            <w:r>
              <w:rPr>
                <w:rFonts w:ascii="宋体"/>
                <w:sz w:val="18"/>
              </w:rPr>
              <w:t>0.001</w:t>
            </w:r>
          </w:p>
        </w:tc>
        <w:tc>
          <w:tcPr>
            <w:tcW w:w="9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-10,184</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-4,720</w:t>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15" w:right="0"/>
              <w:jc w:val="left"/>
              <w:rPr>
                <w:rFonts w:ascii="宋体" w:hAnsi="宋体" w:cs="宋体" w:eastAsia="宋体" w:hint="default"/>
                <w:sz w:val="18"/>
                <w:szCs w:val="18"/>
              </w:rPr>
            </w:pPr>
            <w:r>
              <w:rPr>
                <w:rFonts w:ascii="宋体" w:hAnsi="宋体" w:cs="宋体" w:eastAsia="宋体" w:hint="default"/>
                <w:sz w:val="18"/>
                <w:szCs w:val="18"/>
              </w:rPr>
              <w:t>可供出</w:t>
            </w:r>
          </w:p>
          <w:p>
            <w:pPr>
              <w:pStyle w:val="TableParagraph"/>
              <w:spacing w:line="240" w:lineRule="auto"/>
              <w:ind w:left="205" w:right="113" w:hanging="90"/>
              <w:jc w:val="left"/>
              <w:rPr>
                <w:rFonts w:ascii="宋体" w:hAnsi="宋体" w:cs="宋体" w:eastAsia="宋体" w:hint="default"/>
                <w:sz w:val="18"/>
                <w:szCs w:val="18"/>
              </w:rPr>
            </w:pPr>
            <w:r>
              <w:rPr>
                <w:rFonts w:ascii="宋体" w:hAnsi="宋体" w:cs="宋体" w:eastAsia="宋体" w:hint="default"/>
                <w:sz w:val="18"/>
                <w:szCs w:val="18"/>
              </w:rPr>
              <w:t>售金融 资产</w:t>
            </w:r>
          </w:p>
        </w:tc>
        <w:tc>
          <w:tcPr>
            <w:tcW w:w="1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二级市场</w:t>
            </w:r>
          </w:p>
        </w:tc>
      </w:tr>
      <w:tr>
        <w:trPr>
          <w:trHeight w:val="347" w:hRule="exact"/>
        </w:trPr>
        <w:tc>
          <w:tcPr>
            <w:tcW w:w="1098"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174"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22"/>
              <w:jc w:val="right"/>
              <w:rPr>
                <w:rFonts w:ascii="宋体" w:hAnsi="宋体" w:cs="宋体" w:eastAsia="宋体" w:hint="default"/>
                <w:sz w:val="18"/>
                <w:szCs w:val="18"/>
              </w:rPr>
            </w:pPr>
            <w:r>
              <w:rPr>
                <w:rFonts w:ascii="宋体"/>
                <w:sz w:val="18"/>
              </w:rPr>
              <w:t>29,254,595</w:t>
            </w:r>
          </w:p>
        </w:tc>
        <w:tc>
          <w:tcPr>
            <w:tcW w:w="1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left="480" w:right="0"/>
              <w:jc w:val="left"/>
              <w:rPr>
                <w:rFonts w:ascii="宋体" w:hAnsi="宋体" w:cs="宋体" w:eastAsia="宋体" w:hint="default"/>
                <w:sz w:val="18"/>
                <w:szCs w:val="18"/>
              </w:rPr>
            </w:pPr>
            <w:r>
              <w:rPr>
                <w:rFonts w:ascii="宋体"/>
                <w:sz w:val="18"/>
              </w:rPr>
              <w:t>-</w:t>
            </w:r>
          </w:p>
        </w:tc>
        <w:tc>
          <w:tcPr>
            <w:tcW w:w="9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
              <w:jc w:val="center"/>
              <w:rPr>
                <w:rFonts w:ascii="宋体" w:hAnsi="宋体" w:cs="宋体" w:eastAsia="宋体" w:hint="default"/>
                <w:sz w:val="18"/>
                <w:szCs w:val="18"/>
              </w:rPr>
            </w:pPr>
            <w:r>
              <w:rPr>
                <w:rFonts w:ascii="宋体"/>
                <w:sz w:val="18"/>
              </w:rPr>
              <w:t>-</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98"/>
              <w:jc w:val="right"/>
              <w:rPr>
                <w:rFonts w:ascii="宋体" w:hAnsi="宋体" w:cs="宋体" w:eastAsia="宋体" w:hint="default"/>
                <w:sz w:val="18"/>
                <w:szCs w:val="18"/>
              </w:rPr>
            </w:pPr>
            <w:r>
              <w:rPr>
                <w:rFonts w:ascii="宋体"/>
                <w:sz w:val="18"/>
              </w:rPr>
              <w:t>74,802,296</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98"/>
              <w:jc w:val="right"/>
              <w:rPr>
                <w:rFonts w:ascii="宋体" w:hAnsi="宋体" w:cs="宋体" w:eastAsia="宋体" w:hint="default"/>
                <w:sz w:val="18"/>
                <w:szCs w:val="18"/>
              </w:rPr>
            </w:pPr>
            <w:r>
              <w:rPr>
                <w:rFonts w:ascii="宋体"/>
                <w:sz w:val="18"/>
              </w:rPr>
              <w:t>-45,825,312</w:t>
            </w:r>
          </w:p>
        </w:tc>
        <w:tc>
          <w:tcPr>
            <w:tcW w:w="785" w:type="dxa"/>
            <w:tcBorders>
              <w:top w:val="single" w:sz="6" w:space="0" w:color="000000"/>
              <w:left w:val="single" w:sz="6" w:space="0" w:color="000000"/>
              <w:bottom w:val="single" w:sz="6" w:space="0" w:color="000000"/>
              <w:right w:val="single" w:sz="6" w:space="0" w:color="000000"/>
            </w:tcBorders>
          </w:tcPr>
          <w:p>
            <w:pPr/>
          </w:p>
        </w:tc>
        <w:tc>
          <w:tcPr>
            <w:tcW w:w="1122" w:type="dxa"/>
            <w:tcBorders>
              <w:top w:val="single" w:sz="6" w:space="0" w:color="000000"/>
              <w:left w:val="single" w:sz="6" w:space="0" w:color="000000"/>
              <w:bottom w:val="single" w:sz="6" w:space="0" w:color="000000"/>
              <w:right w:val="single" w:sz="6" w:space="0" w:color="000000"/>
            </w:tcBorders>
          </w:tcPr>
          <w:p>
            <w:pPr/>
          </w:p>
        </w:tc>
      </w:tr>
    </w:tbl>
    <w:p>
      <w:pPr>
        <w:spacing w:line="272" w:lineRule="exact" w:before="112"/>
        <w:ind w:left="420" w:right="220" w:firstLine="42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6"/>
          <w:sz w:val="21"/>
          <w:szCs w:val="21"/>
        </w:rPr>
        <w:t> </w:t>
      </w:r>
      <w:r>
        <w:rPr>
          <w:rFonts w:ascii="宋体" w:hAnsi="宋体" w:cs="宋体" w:eastAsia="宋体" w:hint="default"/>
          <w:spacing w:val="-10"/>
          <w:sz w:val="21"/>
          <w:szCs w:val="21"/>
        </w:rPr>
        <w:t>1：报告期内本公司处置持有的全部“中国联通”股票</w:t>
      </w:r>
      <w:r>
        <w:rPr>
          <w:rFonts w:ascii="宋体" w:hAnsi="宋体" w:cs="宋体" w:eastAsia="宋体" w:hint="default"/>
          <w:spacing w:val="-56"/>
          <w:sz w:val="21"/>
          <w:szCs w:val="21"/>
        </w:rPr>
        <w:t> </w:t>
      </w:r>
      <w:r>
        <w:rPr>
          <w:rFonts w:ascii="宋体" w:hAnsi="宋体" w:cs="宋体" w:eastAsia="宋体" w:hint="default"/>
          <w:sz w:val="21"/>
          <w:szCs w:val="21"/>
        </w:rPr>
        <w:t>15,934,080</w:t>
      </w:r>
      <w:r>
        <w:rPr>
          <w:rFonts w:ascii="宋体" w:hAnsi="宋体" w:cs="宋体" w:eastAsia="宋体" w:hint="default"/>
          <w:spacing w:val="-55"/>
          <w:sz w:val="21"/>
          <w:szCs w:val="21"/>
        </w:rPr>
        <w:t> </w:t>
      </w:r>
      <w:r>
        <w:rPr>
          <w:rFonts w:ascii="宋体" w:hAnsi="宋体" w:cs="宋体" w:eastAsia="宋体" w:hint="default"/>
          <w:spacing w:val="-11"/>
          <w:sz w:val="21"/>
          <w:szCs w:val="21"/>
        </w:rPr>
        <w:t>股，取得投资收益</w:t>
      </w:r>
      <w:r>
        <w:rPr>
          <w:rFonts w:ascii="宋体" w:hAnsi="宋体" w:cs="宋体" w:eastAsia="宋体" w:hint="default"/>
          <w:spacing w:val="-56"/>
          <w:sz w:val="21"/>
          <w:szCs w:val="21"/>
        </w:rPr>
        <w:t> </w:t>
      </w:r>
      <w:r>
        <w:rPr>
          <w:rFonts w:ascii="宋体" w:hAnsi="宋体" w:cs="宋体" w:eastAsia="宋体" w:hint="default"/>
          <w:sz w:val="21"/>
          <w:szCs w:val="21"/>
        </w:rPr>
        <w:t>74,391,062</w:t>
      </w:r>
      <w:r>
        <w:rPr>
          <w:rFonts w:ascii="宋体" w:hAnsi="宋体" w:cs="宋体" w:eastAsia="宋体" w:hint="default"/>
          <w:spacing w:val="-1"/>
          <w:sz w:val="21"/>
          <w:szCs w:val="21"/>
        </w:rPr>
        <w:t> </w:t>
      </w:r>
      <w:r>
        <w:rPr>
          <w:rFonts w:ascii="宋体" w:hAnsi="宋体" w:cs="宋体" w:eastAsia="宋体" w:hint="default"/>
          <w:sz w:val="21"/>
          <w:szCs w:val="21"/>
        </w:rPr>
        <w:t>元；</w:t>
      </w:r>
    </w:p>
    <w:p>
      <w:pPr>
        <w:spacing w:line="272" w:lineRule="exact" w:before="120"/>
        <w:ind w:left="420" w:right="166" w:firstLine="42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28"/>
          <w:sz w:val="21"/>
          <w:szCs w:val="21"/>
        </w:rPr>
        <w:t> </w:t>
      </w:r>
      <w:r>
        <w:rPr>
          <w:rFonts w:ascii="宋体" w:hAnsi="宋体" w:cs="宋体" w:eastAsia="宋体" w:hint="default"/>
          <w:spacing w:val="-2"/>
          <w:sz w:val="21"/>
          <w:szCs w:val="21"/>
        </w:rPr>
        <w:t>2：报告期内，因为跨市结转登记，长时间无法办理过户等原因，本公司对持有的“广州国光”</w:t>
      </w:r>
      <w:r>
        <w:rPr>
          <w:rFonts w:ascii="宋体" w:hAnsi="宋体" w:cs="宋体" w:eastAsia="宋体" w:hint="default"/>
          <w:sz w:val="21"/>
          <w:szCs w:val="21"/>
        </w:rPr>
        <w:t> 3,192</w:t>
      </w:r>
      <w:r>
        <w:rPr>
          <w:rFonts w:ascii="宋体" w:hAnsi="宋体" w:cs="宋体" w:eastAsia="宋体" w:hint="default"/>
          <w:spacing w:val="-61"/>
          <w:sz w:val="21"/>
          <w:szCs w:val="21"/>
        </w:rPr>
        <w:t> </w:t>
      </w:r>
      <w:r>
        <w:rPr>
          <w:rFonts w:ascii="宋体" w:hAnsi="宋体" w:cs="宋体" w:eastAsia="宋体" w:hint="default"/>
          <w:sz w:val="21"/>
          <w:szCs w:val="21"/>
        </w:rPr>
        <w:t>股股票，账面投资成本</w:t>
      </w:r>
      <w:r>
        <w:rPr>
          <w:rFonts w:ascii="宋体" w:hAnsi="宋体" w:cs="宋体" w:eastAsia="宋体" w:hint="default"/>
          <w:spacing w:val="-62"/>
          <w:sz w:val="21"/>
          <w:szCs w:val="21"/>
        </w:rPr>
        <w:t> </w:t>
      </w:r>
      <w:r>
        <w:rPr>
          <w:rFonts w:ascii="宋体" w:hAnsi="宋体" w:cs="宋体" w:eastAsia="宋体" w:hint="default"/>
          <w:sz w:val="21"/>
          <w:szCs w:val="21"/>
        </w:rPr>
        <w:t>10,184</w:t>
      </w:r>
      <w:r>
        <w:rPr>
          <w:rFonts w:ascii="宋体" w:hAnsi="宋体" w:cs="宋体" w:eastAsia="宋体" w:hint="default"/>
          <w:spacing w:val="-62"/>
          <w:sz w:val="21"/>
          <w:szCs w:val="21"/>
        </w:rPr>
        <w:t> </w:t>
      </w:r>
      <w:r>
        <w:rPr>
          <w:rFonts w:ascii="宋体" w:hAnsi="宋体" w:cs="宋体" w:eastAsia="宋体" w:hint="default"/>
          <w:sz w:val="21"/>
          <w:szCs w:val="21"/>
        </w:rPr>
        <w:t>元；以及“南京港”2,080</w:t>
      </w:r>
      <w:r>
        <w:rPr>
          <w:rFonts w:ascii="宋体" w:hAnsi="宋体" w:cs="宋体" w:eastAsia="宋体" w:hint="default"/>
          <w:spacing w:val="-61"/>
          <w:sz w:val="21"/>
          <w:szCs w:val="21"/>
        </w:rPr>
        <w:t> </w:t>
      </w:r>
      <w:r>
        <w:rPr>
          <w:rFonts w:ascii="宋体" w:hAnsi="宋体" w:cs="宋体" w:eastAsia="宋体" w:hint="default"/>
          <w:sz w:val="21"/>
          <w:szCs w:val="21"/>
        </w:rPr>
        <w:t>股股票，账面投资成本</w:t>
      </w:r>
      <w:r>
        <w:rPr>
          <w:rFonts w:ascii="宋体" w:hAnsi="宋体" w:cs="宋体" w:eastAsia="宋体" w:hint="default"/>
          <w:spacing w:val="-62"/>
          <w:sz w:val="21"/>
          <w:szCs w:val="21"/>
        </w:rPr>
        <w:t> </w:t>
      </w:r>
      <w:r>
        <w:rPr>
          <w:rFonts w:ascii="宋体" w:hAnsi="宋体" w:cs="宋体" w:eastAsia="宋体" w:hint="default"/>
          <w:sz w:val="21"/>
          <w:szCs w:val="21"/>
        </w:rPr>
        <w:t>6,890</w:t>
      </w:r>
      <w:r>
        <w:rPr>
          <w:rFonts w:ascii="宋体" w:hAnsi="宋体" w:cs="宋体" w:eastAsia="宋体" w:hint="default"/>
          <w:spacing w:val="-61"/>
          <w:sz w:val="21"/>
          <w:szCs w:val="21"/>
        </w:rPr>
        <w:t> </w:t>
      </w:r>
      <w:r>
        <w:rPr>
          <w:rFonts w:ascii="宋体" w:hAnsi="宋体" w:cs="宋体" w:eastAsia="宋体" w:hint="default"/>
          <w:sz w:val="21"/>
          <w:szCs w:val="21"/>
        </w:rPr>
        <w:t>元，决</w:t>
      </w:r>
    </w:p>
    <w:p>
      <w:pPr>
        <w:spacing w:line="248" w:lineRule="exact" w:before="0"/>
        <w:ind w:left="420" w:right="220" w:firstLine="0"/>
        <w:jc w:val="left"/>
        <w:rPr>
          <w:rFonts w:ascii="宋体" w:hAnsi="宋体" w:cs="宋体" w:eastAsia="宋体" w:hint="default"/>
          <w:sz w:val="21"/>
          <w:szCs w:val="21"/>
        </w:rPr>
      </w:pPr>
      <w:r>
        <w:rPr>
          <w:rFonts w:ascii="宋体" w:hAnsi="宋体" w:cs="宋体" w:eastAsia="宋体" w:hint="default"/>
          <w:sz w:val="21"/>
          <w:szCs w:val="21"/>
        </w:rPr>
        <w:t>定予以核销，确认投资损失</w:t>
      </w:r>
      <w:r>
        <w:rPr>
          <w:rFonts w:ascii="宋体" w:hAnsi="宋体" w:cs="宋体" w:eastAsia="宋体" w:hint="default"/>
          <w:spacing w:val="-62"/>
          <w:sz w:val="21"/>
          <w:szCs w:val="21"/>
        </w:rPr>
        <w:t> </w:t>
      </w:r>
      <w:r>
        <w:rPr>
          <w:rFonts w:ascii="宋体" w:hAnsi="宋体" w:cs="宋体" w:eastAsia="宋体" w:hint="default"/>
          <w:sz w:val="21"/>
          <w:szCs w:val="21"/>
        </w:rPr>
        <w:t>17,074</w:t>
      </w:r>
      <w:r>
        <w:rPr>
          <w:rFonts w:ascii="宋体" w:hAnsi="宋体" w:cs="宋体" w:eastAsia="宋体" w:hint="default"/>
          <w:spacing w:val="-62"/>
          <w:sz w:val="21"/>
          <w:szCs w:val="21"/>
        </w:rPr>
        <w:t> </w:t>
      </w:r>
      <w:r>
        <w:rPr>
          <w:rFonts w:ascii="宋体" w:hAnsi="宋体" w:cs="宋体" w:eastAsia="宋体" w:hint="default"/>
          <w:sz w:val="21"/>
          <w:szCs w:val="21"/>
        </w:rPr>
        <w:t>元。</w:t>
      </w:r>
    </w:p>
    <w:p>
      <w:pPr>
        <w:spacing w:line="240" w:lineRule="auto" w:before="4"/>
        <w:rPr>
          <w:rFonts w:ascii="宋体" w:hAnsi="宋体" w:cs="宋体" w:eastAsia="宋体" w:hint="default"/>
          <w:sz w:val="20"/>
          <w:szCs w:val="20"/>
        </w:rPr>
      </w:pPr>
    </w:p>
    <w:p>
      <w:pPr>
        <w:pStyle w:val="BodyText"/>
        <w:spacing w:line="240" w:lineRule="auto"/>
        <w:ind w:left="420" w:right="220"/>
        <w:jc w:val="left"/>
      </w:pPr>
      <w:r>
        <w:rPr/>
        <w:t>2、买卖其他上市公司股份的情况</w:t>
      </w:r>
    </w:p>
    <w:p>
      <w:pPr>
        <w:spacing w:line="240" w:lineRule="auto" w:before="10"/>
        <w:rPr>
          <w:rFonts w:ascii="宋体" w:hAnsi="宋体" w:cs="宋体" w:eastAsia="宋体" w:hint="default"/>
          <w:sz w:val="2"/>
          <w:szCs w:val="2"/>
        </w:rPr>
      </w:pPr>
    </w:p>
    <w:tbl>
      <w:tblPr>
        <w:tblW w:w="0" w:type="auto"/>
        <w:jc w:val="left"/>
        <w:tblInd w:w="307" w:type="dxa"/>
        <w:tblLayout w:type="fixed"/>
        <w:tblCellMar>
          <w:top w:w="0" w:type="dxa"/>
          <w:left w:w="0" w:type="dxa"/>
          <w:bottom w:w="0" w:type="dxa"/>
          <w:right w:w="0" w:type="dxa"/>
        </w:tblCellMar>
        <w:tblLook w:val="01E0"/>
      </w:tblPr>
      <w:tblGrid>
        <w:gridCol w:w="1266"/>
        <w:gridCol w:w="1804"/>
        <w:gridCol w:w="1382"/>
        <w:gridCol w:w="1530"/>
        <w:gridCol w:w="1118"/>
        <w:gridCol w:w="848"/>
        <w:gridCol w:w="1510"/>
      </w:tblGrid>
      <w:tr>
        <w:trPr>
          <w:trHeight w:val="828" w:hRule="exact"/>
        </w:trPr>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买卖方向</w:t>
            </w:r>
            <w:r>
              <w:rPr>
                <w:rFonts w:ascii="宋体" w:hAnsi="宋体" w:cs="宋体" w:eastAsia="宋体" w:hint="default"/>
                <w:sz w:val="21"/>
                <w:szCs w:val="21"/>
              </w:rPr>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股份名称</w:t>
            </w:r>
            <w:r>
              <w:rPr>
                <w:rFonts w:ascii="宋体" w:hAnsi="宋体" w:cs="宋体" w:eastAsia="宋体" w:hint="default"/>
                <w:sz w:val="21"/>
                <w:szCs w:val="21"/>
              </w:rPr>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263" w:right="157" w:hanging="105"/>
              <w:jc w:val="left"/>
              <w:rPr>
                <w:rFonts w:ascii="宋体" w:hAnsi="宋体" w:cs="宋体" w:eastAsia="宋体" w:hint="default"/>
                <w:sz w:val="21"/>
                <w:szCs w:val="21"/>
              </w:rPr>
            </w:pPr>
            <w:r>
              <w:rPr>
                <w:rFonts w:ascii="宋体" w:hAnsi="宋体" w:cs="宋体" w:eastAsia="宋体" w:hint="default"/>
                <w:b/>
                <w:bCs/>
                <w:sz w:val="21"/>
                <w:szCs w:val="21"/>
              </w:rPr>
              <w:t>期初股份数</w:t>
            </w:r>
            <w:r>
              <w:rPr>
                <w:rFonts w:ascii="宋体" w:hAnsi="宋体" w:cs="宋体" w:eastAsia="宋体" w:hint="default"/>
                <w:b/>
                <w:bCs/>
                <w:w w:val="99"/>
                <w:sz w:val="21"/>
                <w:szCs w:val="21"/>
              </w:rPr>
              <w:t> </w:t>
            </w:r>
            <w:r>
              <w:rPr>
                <w:rFonts w:ascii="宋体" w:hAnsi="宋体" w:cs="宋体" w:eastAsia="宋体" w:hint="default"/>
                <w:b/>
                <w:bCs/>
                <w:sz w:val="21"/>
                <w:szCs w:val="21"/>
              </w:rPr>
              <w:t>量（股）</w:t>
            </w:r>
            <w:r>
              <w:rPr>
                <w:rFonts w:ascii="宋体" w:hAnsi="宋体" w:cs="宋体" w:eastAsia="宋体" w:hint="default"/>
                <w:sz w:val="21"/>
                <w:szCs w:val="21"/>
              </w:rPr>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b/>
                <w:bCs/>
                <w:sz w:val="21"/>
                <w:szCs w:val="21"/>
              </w:rPr>
              <w:t>报告期买入/</w:t>
            </w:r>
            <w:r>
              <w:rPr>
                <w:rFonts w:ascii="宋体" w:hAnsi="宋体" w:cs="宋体" w:eastAsia="宋体" w:hint="default"/>
                <w:sz w:val="21"/>
                <w:szCs w:val="21"/>
              </w:rPr>
            </w:r>
          </w:p>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b/>
                <w:bCs/>
                <w:sz w:val="21"/>
                <w:szCs w:val="21"/>
              </w:rPr>
              <w:t>卖出股份数量</w:t>
            </w:r>
            <w:r>
              <w:rPr>
                <w:rFonts w:ascii="宋体" w:hAnsi="宋体" w:cs="宋体" w:eastAsia="宋体" w:hint="default"/>
                <w:sz w:val="21"/>
                <w:szCs w:val="21"/>
              </w:rPr>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（股）</w:t>
            </w:r>
            <w:r>
              <w:rPr>
                <w:rFonts w:ascii="宋体" w:hAnsi="宋体" w:cs="宋体" w:eastAsia="宋体" w:hint="default"/>
                <w:sz w:val="21"/>
                <w:szCs w:val="21"/>
              </w:rPr>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103" w:right="-4" w:firstLine="28"/>
              <w:jc w:val="left"/>
              <w:rPr>
                <w:rFonts w:ascii="宋体" w:hAnsi="宋体" w:cs="宋体" w:eastAsia="宋体" w:hint="default"/>
                <w:sz w:val="21"/>
                <w:szCs w:val="21"/>
              </w:rPr>
            </w:pPr>
            <w:r>
              <w:rPr>
                <w:rFonts w:ascii="宋体" w:hAnsi="宋体" w:cs="宋体" w:eastAsia="宋体" w:hint="default"/>
                <w:b/>
                <w:bCs/>
                <w:sz w:val="21"/>
                <w:szCs w:val="21"/>
              </w:rPr>
              <w:t>期末股份</w:t>
            </w:r>
            <w:r>
              <w:rPr>
                <w:rFonts w:ascii="宋体" w:hAnsi="宋体" w:cs="宋体" w:eastAsia="宋体" w:hint="default"/>
                <w:b/>
                <w:bCs/>
                <w:spacing w:val="1"/>
                <w:w w:val="99"/>
                <w:sz w:val="21"/>
                <w:szCs w:val="21"/>
              </w:rPr>
              <w:t> </w:t>
            </w:r>
            <w:r>
              <w:rPr>
                <w:rFonts w:ascii="宋体" w:hAnsi="宋体" w:cs="宋体" w:eastAsia="宋体" w:hint="default"/>
                <w:b/>
                <w:bCs/>
                <w:spacing w:val="-9"/>
                <w:sz w:val="21"/>
                <w:szCs w:val="21"/>
              </w:rPr>
              <w:t>数量（股）</w:t>
            </w:r>
            <w:r>
              <w:rPr>
                <w:rFonts w:ascii="宋体" w:hAnsi="宋体" w:cs="宋体" w:eastAsia="宋体" w:hint="default"/>
                <w:sz w:val="21"/>
                <w:szCs w:val="21"/>
              </w:rPr>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使用的</w:t>
            </w:r>
            <w:r>
              <w:rPr>
                <w:rFonts w:ascii="宋体" w:hAnsi="宋体" w:cs="宋体" w:eastAsia="宋体" w:hint="default"/>
                <w:sz w:val="21"/>
                <w:szCs w:val="21"/>
              </w:rPr>
            </w:r>
          </w:p>
          <w:p>
            <w:pPr>
              <w:pStyle w:val="TableParagraph"/>
              <w:spacing w:line="272" w:lineRule="exact" w:before="26"/>
              <w:ind w:left="103" w:right="-3"/>
              <w:jc w:val="left"/>
              <w:rPr>
                <w:rFonts w:ascii="宋体" w:hAnsi="宋体" w:cs="宋体" w:eastAsia="宋体" w:hint="default"/>
                <w:sz w:val="21"/>
                <w:szCs w:val="21"/>
              </w:rPr>
            </w:pPr>
            <w:r>
              <w:rPr>
                <w:rFonts w:ascii="宋体" w:hAnsi="宋体" w:cs="宋体" w:eastAsia="宋体" w:hint="default"/>
                <w:b/>
                <w:bCs/>
                <w:sz w:val="21"/>
                <w:szCs w:val="21"/>
              </w:rPr>
              <w:t>资金数</w:t>
            </w:r>
            <w:r>
              <w:rPr>
                <w:rFonts w:ascii="宋体" w:hAnsi="宋体" w:cs="宋体" w:eastAsia="宋体" w:hint="default"/>
                <w:b/>
                <w:bCs/>
                <w:spacing w:val="1"/>
                <w:w w:val="99"/>
                <w:sz w:val="21"/>
                <w:szCs w:val="21"/>
              </w:rPr>
              <w:t> </w:t>
            </w:r>
            <w:r>
              <w:rPr>
                <w:rFonts w:ascii="宋体" w:hAnsi="宋体" w:cs="宋体" w:eastAsia="宋体" w:hint="default"/>
                <w:b/>
                <w:bCs/>
                <w:spacing w:val="-27"/>
                <w:w w:val="99"/>
                <w:sz w:val="21"/>
                <w:szCs w:val="21"/>
              </w:rPr>
              <w:t>量（元）</w:t>
            </w:r>
            <w:r>
              <w:rPr>
                <w:rFonts w:ascii="宋体" w:hAnsi="宋体" w:cs="宋体" w:eastAsia="宋体" w:hint="default"/>
                <w:spacing w:val="-27"/>
                <w:sz w:val="21"/>
                <w:szCs w:val="21"/>
              </w:rPr>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7"/>
              <w:ind w:left="326" w:right="117" w:hanging="210"/>
              <w:jc w:val="left"/>
              <w:rPr>
                <w:rFonts w:ascii="宋体" w:hAnsi="宋体" w:cs="宋体" w:eastAsia="宋体" w:hint="default"/>
                <w:sz w:val="21"/>
                <w:szCs w:val="21"/>
              </w:rPr>
            </w:pPr>
            <w:r>
              <w:rPr>
                <w:rFonts w:ascii="宋体" w:hAnsi="宋体" w:cs="宋体" w:eastAsia="宋体" w:hint="default"/>
                <w:b/>
                <w:bCs/>
                <w:sz w:val="21"/>
                <w:szCs w:val="21"/>
              </w:rPr>
              <w:t>产生的投资收</w:t>
            </w:r>
            <w:r>
              <w:rPr>
                <w:rFonts w:ascii="宋体" w:hAnsi="宋体" w:cs="宋体" w:eastAsia="宋体" w:hint="default"/>
                <w:b/>
                <w:bCs/>
                <w:w w:val="99"/>
                <w:sz w:val="21"/>
                <w:szCs w:val="21"/>
              </w:rPr>
              <w:t> </w:t>
            </w:r>
            <w:r>
              <w:rPr>
                <w:rFonts w:ascii="宋体" w:hAnsi="宋体" w:cs="宋体" w:eastAsia="宋体" w:hint="default"/>
                <w:b/>
                <w:bCs/>
                <w:sz w:val="21"/>
                <w:szCs w:val="21"/>
              </w:rPr>
              <w:t>益（元）</w:t>
            </w:r>
            <w:r>
              <w:rPr>
                <w:rFonts w:ascii="宋体" w:hAnsi="宋体" w:cs="宋体" w:eastAsia="宋体" w:hint="default"/>
                <w:sz w:val="21"/>
                <w:szCs w:val="21"/>
              </w:rPr>
            </w:r>
          </w:p>
        </w:tc>
      </w:tr>
      <w:tr>
        <w:trPr>
          <w:trHeight w:val="481" w:hRule="exact"/>
        </w:trPr>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卖出</w:t>
            </w: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中国联通</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8"/>
                <w:szCs w:val="18"/>
              </w:rPr>
            </w:pPr>
            <w:r>
              <w:rPr>
                <w:rFonts w:ascii="宋体"/>
                <w:sz w:val="18"/>
              </w:rPr>
              <w:t>15,934,080</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15,934,080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0</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18"/>
                <w:szCs w:val="18"/>
              </w:rPr>
            </w:pPr>
            <w:r>
              <w:rPr>
                <w:rFonts w:ascii="宋体"/>
                <w:sz w:val="18"/>
              </w:rPr>
              <w:t>74,391,062</w:t>
            </w:r>
          </w:p>
        </w:tc>
      </w:tr>
      <w:tr>
        <w:trPr>
          <w:trHeight w:val="426" w:hRule="exact"/>
        </w:trPr>
        <w:tc>
          <w:tcPr>
            <w:tcW w:w="1266" w:type="dxa"/>
            <w:tcBorders>
              <w:top w:val="single" w:sz="4" w:space="0" w:color="000000"/>
              <w:left w:val="single" w:sz="4" w:space="0" w:color="000000"/>
              <w:bottom w:val="single" w:sz="4" w:space="0" w:color="000000"/>
              <w:right w:val="single" w:sz="4" w:space="0" w:color="000000"/>
            </w:tcBorders>
          </w:tcPr>
          <w:p>
            <w:pPr/>
          </w:p>
        </w:tc>
        <w:tc>
          <w:tcPr>
            <w:tcW w:w="1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99"/>
              <w:jc w:val="right"/>
              <w:rPr>
                <w:rFonts w:ascii="宋体" w:hAnsi="宋体" w:cs="宋体" w:eastAsia="宋体" w:hint="default"/>
                <w:sz w:val="18"/>
                <w:szCs w:val="18"/>
              </w:rPr>
            </w:pPr>
            <w:r>
              <w:rPr>
                <w:rFonts w:ascii="宋体"/>
                <w:sz w:val="18"/>
              </w:rPr>
              <w:t>15,934,080</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101"/>
              <w:jc w:val="right"/>
              <w:rPr>
                <w:rFonts w:ascii="宋体" w:hAnsi="宋体" w:cs="宋体" w:eastAsia="宋体" w:hint="default"/>
                <w:sz w:val="18"/>
                <w:szCs w:val="18"/>
              </w:rPr>
            </w:pPr>
            <w:r>
              <w:rPr>
                <w:rFonts w:ascii="宋体"/>
                <w:sz w:val="18"/>
              </w:rPr>
              <w:t>15,934,080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101"/>
              <w:jc w:val="right"/>
              <w:rPr>
                <w:rFonts w:ascii="宋体" w:hAnsi="宋体" w:cs="宋体" w:eastAsia="宋体" w:hint="default"/>
                <w:sz w:val="18"/>
                <w:szCs w:val="18"/>
              </w:rPr>
            </w:pPr>
            <w:r>
              <w:rPr>
                <w:rFonts w:ascii="宋体"/>
                <w:sz w:val="18"/>
              </w:rPr>
              <w:t>0</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101"/>
              <w:jc w:val="right"/>
              <w:rPr>
                <w:rFonts w:ascii="宋体" w:hAnsi="宋体" w:cs="宋体" w:eastAsia="宋体" w:hint="default"/>
                <w:sz w:val="18"/>
                <w:szCs w:val="18"/>
              </w:rPr>
            </w:pPr>
            <w:r>
              <w:rPr>
                <w:rFonts w:ascii="宋体"/>
                <w:sz w:val="18"/>
              </w:rPr>
              <w:t>-</w:t>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102"/>
              <w:jc w:val="right"/>
              <w:rPr>
                <w:rFonts w:ascii="宋体" w:hAnsi="宋体" w:cs="宋体" w:eastAsia="宋体" w:hint="default"/>
                <w:sz w:val="18"/>
                <w:szCs w:val="18"/>
              </w:rPr>
            </w:pPr>
            <w:r>
              <w:rPr>
                <w:rFonts w:ascii="宋体"/>
                <w:sz w:val="18"/>
              </w:rPr>
              <w:t>74,391,062</w:t>
            </w:r>
          </w:p>
        </w:tc>
      </w:tr>
    </w:tbl>
    <w:p>
      <w:pPr>
        <w:pStyle w:val="BodyText"/>
        <w:spacing w:line="275" w:lineRule="exact"/>
        <w:ind w:left="900" w:right="220"/>
        <w:jc w:val="left"/>
      </w:pPr>
      <w:r>
        <w:rPr/>
        <w:t>报告期内，公司取得中国联通分配的现金股利</w:t>
      </w:r>
      <w:r>
        <w:rPr>
          <w:spacing w:val="-60"/>
        </w:rPr>
        <w:t> </w:t>
      </w:r>
      <w:r>
        <w:rPr/>
        <w:t>428,308</w:t>
      </w:r>
      <w:r>
        <w:rPr>
          <w:spacing w:val="-60"/>
        </w:rPr>
        <w:t> </w:t>
      </w:r>
      <w:r>
        <w:rPr/>
        <w:t>元。公司无申购新股行为。</w:t>
      </w:r>
    </w:p>
    <w:p>
      <w:pPr>
        <w:spacing w:after="0" w:line="275" w:lineRule="exact"/>
        <w:jc w:val="left"/>
        <w:sectPr>
          <w:type w:val="continuous"/>
          <w:pgSz w:w="11910" w:h="16840"/>
          <w:pgMar w:top="1600" w:bottom="280" w:left="940" w:right="1020"/>
        </w:sectPr>
      </w:pPr>
    </w:p>
    <w:p>
      <w:pPr>
        <w:spacing w:line="240" w:lineRule="auto" w:before="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720" w:footer="721" w:top="1100" w:bottom="920" w:left="560" w:right="500"/>
        </w:sectPr>
      </w:pPr>
    </w:p>
    <w:p>
      <w:pPr>
        <w:pStyle w:val="BodyText"/>
        <w:spacing w:line="310" w:lineRule="exact" w:before="58"/>
        <w:ind w:left="800" w:right="-20"/>
        <w:jc w:val="left"/>
      </w:pPr>
      <w:r>
        <w:rPr/>
        <w:t>（四）资产交易事项 1、收购资产情况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1"/>
        <w:rPr>
          <w:rFonts w:ascii="宋体" w:hAnsi="宋体" w:cs="宋体" w:eastAsia="宋体" w:hint="default"/>
          <w:sz w:val="29"/>
          <w:szCs w:val="29"/>
        </w:rPr>
      </w:pPr>
    </w:p>
    <w:p>
      <w:pPr>
        <w:spacing w:before="0"/>
        <w:ind w:left="80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3"/>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560" w:right="500"/>
          <w:cols w:num="2" w:equalWidth="0">
            <w:col w:w="2961" w:space="4285"/>
            <w:col w:w="3604"/>
          </w:cols>
        </w:sectPr>
      </w:pPr>
    </w:p>
    <w:p>
      <w:pPr>
        <w:spacing w:line="240" w:lineRule="auto" w:before="7"/>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1074"/>
        <w:gridCol w:w="1288"/>
        <w:gridCol w:w="834"/>
        <w:gridCol w:w="702"/>
        <w:gridCol w:w="976"/>
        <w:gridCol w:w="1172"/>
        <w:gridCol w:w="800"/>
        <w:gridCol w:w="598"/>
        <w:gridCol w:w="937"/>
        <w:gridCol w:w="838"/>
        <w:gridCol w:w="799"/>
        <w:gridCol w:w="581"/>
      </w:tblGrid>
      <w:tr>
        <w:trPr>
          <w:trHeight w:val="1649" w:hRule="exact"/>
        </w:trPr>
        <w:tc>
          <w:tcPr>
            <w:tcW w:w="10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32" w:lineRule="exact"/>
              <w:ind w:left="76" w:right="76"/>
              <w:jc w:val="left"/>
              <w:rPr>
                <w:rFonts w:ascii="宋体" w:hAnsi="宋体" w:cs="宋体" w:eastAsia="宋体" w:hint="default"/>
                <w:sz w:val="18"/>
                <w:szCs w:val="18"/>
              </w:rPr>
            </w:pPr>
            <w:r>
              <w:rPr>
                <w:rFonts w:ascii="宋体" w:hAnsi="宋体" w:cs="宋体" w:eastAsia="宋体" w:hint="default"/>
                <w:b/>
                <w:bCs/>
                <w:sz w:val="18"/>
                <w:szCs w:val="18"/>
              </w:rPr>
              <w:t>交易对方或</w:t>
            </w:r>
            <w:r>
              <w:rPr>
                <w:rFonts w:ascii="宋体" w:hAnsi="宋体" w:cs="宋体" w:eastAsia="宋体" w:hint="default"/>
                <w:b/>
                <w:bCs/>
                <w:spacing w:val="1"/>
                <w:w w:val="99"/>
                <w:sz w:val="18"/>
                <w:szCs w:val="18"/>
              </w:rPr>
              <w:t> </w:t>
            </w:r>
            <w:r>
              <w:rPr>
                <w:rFonts w:ascii="宋体" w:hAnsi="宋体" w:cs="宋体" w:eastAsia="宋体" w:hint="default"/>
                <w:b/>
                <w:bCs/>
                <w:sz w:val="18"/>
                <w:szCs w:val="18"/>
              </w:rPr>
              <w:t>最终控制方</w:t>
            </w:r>
            <w:r>
              <w:rPr>
                <w:rFonts w:ascii="宋体" w:hAnsi="宋体" w:cs="宋体" w:eastAsia="宋体" w:hint="default"/>
                <w:sz w:val="18"/>
                <w:szCs w:val="18"/>
              </w:rPr>
            </w:r>
          </w:p>
        </w:tc>
        <w:tc>
          <w:tcPr>
            <w:tcW w:w="12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83" w:right="0"/>
              <w:jc w:val="left"/>
              <w:rPr>
                <w:rFonts w:ascii="宋体" w:hAnsi="宋体" w:cs="宋体" w:eastAsia="宋体" w:hint="default"/>
                <w:sz w:val="18"/>
                <w:szCs w:val="18"/>
              </w:rPr>
            </w:pPr>
            <w:r>
              <w:rPr>
                <w:rFonts w:ascii="宋体" w:hAnsi="宋体" w:cs="宋体" w:eastAsia="宋体" w:hint="default"/>
                <w:b/>
                <w:bCs/>
                <w:sz w:val="18"/>
                <w:szCs w:val="18"/>
              </w:rPr>
              <w:t>被收购资产</w:t>
            </w:r>
            <w:r>
              <w:rPr>
                <w:rFonts w:ascii="宋体" w:hAnsi="宋体" w:cs="宋体" w:eastAsia="宋体" w:hint="default"/>
                <w:sz w:val="18"/>
                <w:szCs w:val="18"/>
              </w:rPr>
            </w:r>
          </w:p>
        </w:tc>
        <w:tc>
          <w:tcPr>
            <w:tcW w:w="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38" w:right="0"/>
              <w:jc w:val="left"/>
              <w:rPr>
                <w:rFonts w:ascii="宋体" w:hAnsi="宋体" w:cs="宋体" w:eastAsia="宋体" w:hint="default"/>
                <w:sz w:val="18"/>
                <w:szCs w:val="18"/>
              </w:rPr>
            </w:pPr>
            <w:r>
              <w:rPr>
                <w:rFonts w:ascii="宋体" w:hAnsi="宋体" w:cs="宋体" w:eastAsia="宋体" w:hint="default"/>
                <w:b/>
                <w:bCs/>
                <w:sz w:val="18"/>
                <w:szCs w:val="18"/>
              </w:rPr>
              <w:t>购买日</w:t>
            </w:r>
            <w:r>
              <w:rPr>
                <w:rFonts w:ascii="宋体" w:hAnsi="宋体" w:cs="宋体" w:eastAsia="宋体" w:hint="default"/>
                <w:sz w:val="18"/>
                <w:szCs w:val="18"/>
              </w:rPr>
            </w:r>
          </w:p>
        </w:tc>
        <w:tc>
          <w:tcPr>
            <w:tcW w:w="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32" w:lineRule="exact"/>
              <w:ind w:left="71" w:right="68" w:firstLine="1"/>
              <w:jc w:val="left"/>
              <w:rPr>
                <w:rFonts w:ascii="宋体" w:hAnsi="宋体" w:cs="宋体" w:eastAsia="宋体" w:hint="default"/>
                <w:sz w:val="18"/>
                <w:szCs w:val="18"/>
              </w:rPr>
            </w:pPr>
            <w:r>
              <w:rPr>
                <w:rFonts w:ascii="宋体" w:hAnsi="宋体" w:cs="宋体" w:eastAsia="宋体" w:hint="default"/>
                <w:b/>
                <w:bCs/>
                <w:sz w:val="18"/>
                <w:szCs w:val="18"/>
              </w:rPr>
              <w:t>资产收</w:t>
            </w:r>
            <w:r>
              <w:rPr>
                <w:rFonts w:ascii="宋体" w:hAnsi="宋体" w:cs="宋体" w:eastAsia="宋体" w:hint="default"/>
                <w:b/>
                <w:bCs/>
                <w:spacing w:val="1"/>
                <w:w w:val="99"/>
                <w:sz w:val="18"/>
                <w:szCs w:val="18"/>
              </w:rPr>
              <w:t> </w:t>
            </w:r>
            <w:r>
              <w:rPr>
                <w:rFonts w:ascii="宋体" w:hAnsi="宋体" w:cs="宋体" w:eastAsia="宋体" w:hint="default"/>
                <w:b/>
                <w:bCs/>
                <w:sz w:val="18"/>
                <w:szCs w:val="18"/>
              </w:rPr>
              <w:t>购价格</w:t>
            </w:r>
            <w:r>
              <w:rPr>
                <w:rFonts w:ascii="宋体" w:hAnsi="宋体" w:cs="宋体" w:eastAsia="宋体" w:hint="default"/>
                <w:sz w:val="18"/>
                <w:szCs w:val="18"/>
              </w:rPr>
            </w:r>
          </w:p>
        </w:tc>
        <w:tc>
          <w:tcPr>
            <w:tcW w:w="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37" w:lineRule="auto"/>
              <w:ind w:left="118" w:right="116" w:firstLine="1"/>
              <w:jc w:val="both"/>
              <w:rPr>
                <w:rFonts w:ascii="宋体" w:hAnsi="宋体" w:cs="宋体" w:eastAsia="宋体" w:hint="default"/>
                <w:sz w:val="18"/>
                <w:szCs w:val="18"/>
              </w:rPr>
            </w:pPr>
            <w:r>
              <w:rPr>
                <w:rFonts w:ascii="宋体" w:hAnsi="宋体" w:cs="宋体" w:eastAsia="宋体" w:hint="default"/>
                <w:b/>
                <w:bCs/>
                <w:sz w:val="18"/>
                <w:szCs w:val="18"/>
              </w:rPr>
              <w:t>自收购日</w:t>
            </w:r>
            <w:r>
              <w:rPr>
                <w:rFonts w:ascii="宋体" w:hAnsi="宋体" w:cs="宋体" w:eastAsia="宋体" w:hint="default"/>
                <w:b/>
                <w:bCs/>
                <w:w w:val="99"/>
                <w:sz w:val="18"/>
                <w:szCs w:val="18"/>
              </w:rPr>
              <w:t> </w:t>
            </w:r>
            <w:r>
              <w:rPr>
                <w:rFonts w:ascii="宋体" w:hAnsi="宋体" w:cs="宋体" w:eastAsia="宋体" w:hint="default"/>
                <w:b/>
                <w:bCs/>
                <w:sz w:val="18"/>
                <w:szCs w:val="18"/>
              </w:rPr>
              <w:t>起至本年</w:t>
            </w:r>
            <w:r>
              <w:rPr>
                <w:rFonts w:ascii="宋体" w:hAnsi="宋体" w:cs="宋体" w:eastAsia="宋体" w:hint="default"/>
                <w:b/>
                <w:bCs/>
                <w:w w:val="99"/>
                <w:sz w:val="18"/>
                <w:szCs w:val="18"/>
              </w:rPr>
              <w:t> </w:t>
            </w:r>
            <w:r>
              <w:rPr>
                <w:rFonts w:ascii="宋体" w:hAnsi="宋体" w:cs="宋体" w:eastAsia="宋体" w:hint="default"/>
                <w:b/>
                <w:bCs/>
                <w:sz w:val="18"/>
                <w:szCs w:val="18"/>
              </w:rPr>
              <w:t>末为上市</w:t>
            </w:r>
            <w:r>
              <w:rPr>
                <w:rFonts w:ascii="宋体" w:hAnsi="宋体" w:cs="宋体" w:eastAsia="宋体" w:hint="default"/>
                <w:b/>
                <w:bCs/>
                <w:w w:val="99"/>
                <w:sz w:val="18"/>
                <w:szCs w:val="18"/>
              </w:rPr>
              <w:t> </w:t>
            </w:r>
            <w:r>
              <w:rPr>
                <w:rFonts w:ascii="宋体" w:hAnsi="宋体" w:cs="宋体" w:eastAsia="宋体" w:hint="default"/>
                <w:b/>
                <w:bCs/>
                <w:sz w:val="18"/>
                <w:szCs w:val="18"/>
              </w:rPr>
              <w:t>公司贡献</w:t>
            </w:r>
            <w:r>
              <w:rPr>
                <w:rFonts w:ascii="宋体" w:hAnsi="宋体" w:cs="宋体" w:eastAsia="宋体" w:hint="default"/>
                <w:b/>
                <w:bCs/>
                <w:w w:val="99"/>
                <w:sz w:val="18"/>
                <w:szCs w:val="18"/>
              </w:rPr>
              <w:t> </w:t>
            </w:r>
            <w:r>
              <w:rPr>
                <w:rFonts w:ascii="宋体" w:hAnsi="宋体" w:cs="宋体" w:eastAsia="宋体" w:hint="default"/>
                <w:b/>
                <w:bCs/>
                <w:sz w:val="18"/>
                <w:szCs w:val="18"/>
              </w:rPr>
              <w:t>的净利润</w:t>
            </w:r>
            <w:r>
              <w:rPr>
                <w:rFonts w:ascii="宋体" w:hAnsi="宋体" w:cs="宋体" w:eastAsia="宋体" w:hint="default"/>
                <w:sz w:val="18"/>
                <w:szCs w:val="18"/>
              </w:rPr>
            </w:r>
          </w:p>
        </w:tc>
        <w:tc>
          <w:tcPr>
            <w:tcW w:w="117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b/>
                <w:bCs/>
                <w:sz w:val="18"/>
                <w:szCs w:val="18"/>
              </w:rPr>
              <w:t>自本年初至</w:t>
            </w:r>
            <w:r>
              <w:rPr>
                <w:rFonts w:ascii="宋体" w:hAnsi="宋体" w:cs="宋体" w:eastAsia="宋体" w:hint="default"/>
                <w:sz w:val="18"/>
                <w:szCs w:val="18"/>
              </w:rPr>
            </w:r>
          </w:p>
          <w:p>
            <w:pPr>
              <w:pStyle w:val="TableParagraph"/>
              <w:spacing w:line="237" w:lineRule="auto"/>
              <w:ind w:left="49" w:right="47" w:hanging="2"/>
              <w:jc w:val="center"/>
              <w:rPr>
                <w:rFonts w:ascii="宋体" w:hAnsi="宋体" w:cs="宋体" w:eastAsia="宋体" w:hint="default"/>
                <w:sz w:val="18"/>
                <w:szCs w:val="18"/>
              </w:rPr>
            </w:pPr>
            <w:r>
              <w:rPr>
                <w:rFonts w:ascii="宋体" w:hAnsi="宋体" w:cs="宋体" w:eastAsia="宋体" w:hint="default"/>
                <w:b/>
                <w:bCs/>
                <w:sz w:val="18"/>
                <w:szCs w:val="18"/>
              </w:rPr>
              <w:t>本年末为上</w:t>
            </w:r>
            <w:r>
              <w:rPr>
                <w:rFonts w:ascii="宋体" w:hAnsi="宋体" w:cs="宋体" w:eastAsia="宋体" w:hint="default"/>
                <w:b/>
                <w:bCs/>
                <w:spacing w:val="1"/>
                <w:w w:val="99"/>
                <w:sz w:val="18"/>
                <w:szCs w:val="18"/>
              </w:rPr>
              <w:t> </w:t>
            </w:r>
            <w:r>
              <w:rPr>
                <w:rFonts w:ascii="宋体" w:hAnsi="宋体" w:cs="宋体" w:eastAsia="宋体" w:hint="default"/>
                <w:b/>
                <w:bCs/>
                <w:sz w:val="18"/>
                <w:szCs w:val="18"/>
              </w:rPr>
              <w:t>市公司贡献</w:t>
            </w:r>
            <w:r>
              <w:rPr>
                <w:rFonts w:ascii="宋体" w:hAnsi="宋体" w:cs="宋体" w:eastAsia="宋体" w:hint="default"/>
                <w:b/>
                <w:bCs/>
                <w:spacing w:val="1"/>
                <w:w w:val="99"/>
                <w:sz w:val="18"/>
                <w:szCs w:val="18"/>
              </w:rPr>
              <w:t> </w:t>
            </w:r>
            <w:r>
              <w:rPr>
                <w:rFonts w:ascii="宋体" w:hAnsi="宋体" w:cs="宋体" w:eastAsia="宋体" w:hint="default"/>
                <w:b/>
                <w:bCs/>
                <w:spacing w:val="-4"/>
                <w:sz w:val="18"/>
                <w:szCs w:val="18"/>
              </w:rPr>
              <w:t>的净利润（适</w:t>
            </w:r>
            <w:r>
              <w:rPr>
                <w:rFonts w:ascii="宋体" w:hAnsi="宋体" w:cs="宋体" w:eastAsia="宋体" w:hint="default"/>
                <w:b/>
                <w:bCs/>
                <w:spacing w:val="1"/>
                <w:w w:val="99"/>
                <w:sz w:val="18"/>
                <w:szCs w:val="18"/>
              </w:rPr>
              <w:t> </w:t>
            </w:r>
            <w:r>
              <w:rPr>
                <w:rFonts w:ascii="宋体" w:hAnsi="宋体" w:cs="宋体" w:eastAsia="宋体" w:hint="default"/>
                <w:b/>
                <w:bCs/>
                <w:sz w:val="18"/>
                <w:szCs w:val="18"/>
              </w:rPr>
              <w:t>用于同一控</w:t>
            </w:r>
            <w:r>
              <w:rPr>
                <w:rFonts w:ascii="宋体" w:hAnsi="宋体" w:cs="宋体" w:eastAsia="宋体" w:hint="default"/>
                <w:b/>
                <w:bCs/>
                <w:spacing w:val="1"/>
                <w:w w:val="99"/>
                <w:sz w:val="18"/>
                <w:szCs w:val="18"/>
              </w:rPr>
              <w:t> </w:t>
            </w:r>
            <w:r>
              <w:rPr>
                <w:rFonts w:ascii="宋体" w:hAnsi="宋体" w:cs="宋体" w:eastAsia="宋体" w:hint="default"/>
                <w:b/>
                <w:bCs/>
                <w:sz w:val="18"/>
                <w:szCs w:val="18"/>
              </w:rPr>
              <w:t>制下的企业</w:t>
            </w:r>
            <w:r>
              <w:rPr>
                <w:rFonts w:ascii="宋体" w:hAnsi="宋体" w:cs="宋体" w:eastAsia="宋体" w:hint="default"/>
                <w:b/>
                <w:bCs/>
                <w:spacing w:val="1"/>
                <w:w w:val="99"/>
                <w:sz w:val="18"/>
                <w:szCs w:val="18"/>
              </w:rPr>
              <w:t> </w:t>
            </w:r>
            <w:r>
              <w:rPr>
                <w:rFonts w:ascii="宋体" w:hAnsi="宋体" w:cs="宋体" w:eastAsia="宋体" w:hint="default"/>
                <w:b/>
                <w:bCs/>
                <w:sz w:val="18"/>
                <w:szCs w:val="18"/>
              </w:rPr>
              <w:t>合并）</w:t>
            </w:r>
            <w:r>
              <w:rPr>
                <w:rFonts w:ascii="宋体" w:hAnsi="宋体" w:cs="宋体" w:eastAsia="宋体" w:hint="default"/>
                <w:sz w:val="18"/>
                <w:szCs w:val="18"/>
              </w:rPr>
            </w:r>
          </w:p>
        </w:tc>
        <w:tc>
          <w:tcPr>
            <w:tcW w:w="800"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89"/>
              <w:ind w:left="49" w:right="48" w:firstLine="1"/>
              <w:jc w:val="center"/>
              <w:rPr>
                <w:rFonts w:ascii="宋体" w:hAnsi="宋体" w:cs="宋体" w:eastAsia="宋体" w:hint="default"/>
                <w:sz w:val="18"/>
                <w:szCs w:val="18"/>
              </w:rPr>
            </w:pPr>
            <w:r>
              <w:rPr>
                <w:rFonts w:ascii="宋体" w:hAnsi="宋体" w:cs="宋体" w:eastAsia="宋体" w:hint="default"/>
                <w:b/>
                <w:bCs/>
                <w:sz w:val="18"/>
                <w:szCs w:val="18"/>
              </w:rPr>
              <w:t>是否为</w:t>
            </w:r>
            <w:r>
              <w:rPr>
                <w:rFonts w:ascii="宋体" w:hAnsi="宋体" w:cs="宋体" w:eastAsia="宋体" w:hint="default"/>
                <w:b/>
                <w:bCs/>
                <w:spacing w:val="1"/>
                <w:w w:val="99"/>
                <w:sz w:val="18"/>
                <w:szCs w:val="18"/>
              </w:rPr>
              <w:t> </w:t>
            </w:r>
            <w:r>
              <w:rPr>
                <w:rFonts w:ascii="宋体" w:hAnsi="宋体" w:cs="宋体" w:eastAsia="宋体" w:hint="default"/>
                <w:b/>
                <w:bCs/>
                <w:sz w:val="18"/>
                <w:szCs w:val="18"/>
              </w:rPr>
              <w:t>关联交</w:t>
            </w:r>
            <w:r>
              <w:rPr>
                <w:rFonts w:ascii="宋体" w:hAnsi="宋体" w:cs="宋体" w:eastAsia="宋体" w:hint="default"/>
                <w:b/>
                <w:bCs/>
                <w:spacing w:val="1"/>
                <w:w w:val="99"/>
                <w:sz w:val="18"/>
                <w:szCs w:val="18"/>
              </w:rPr>
              <w:t> </w:t>
            </w:r>
            <w:r>
              <w:rPr>
                <w:rFonts w:ascii="宋体" w:hAnsi="宋体" w:cs="宋体" w:eastAsia="宋体" w:hint="default"/>
                <w:b/>
                <w:bCs/>
                <w:sz w:val="18"/>
                <w:szCs w:val="18"/>
              </w:rPr>
              <w:t>易（如</w:t>
            </w:r>
            <w:r>
              <w:rPr>
                <w:rFonts w:ascii="宋体" w:hAnsi="宋体" w:cs="宋体" w:eastAsia="宋体" w:hint="default"/>
                <w:b/>
                <w:bCs/>
                <w:spacing w:val="1"/>
                <w:w w:val="99"/>
                <w:sz w:val="18"/>
                <w:szCs w:val="18"/>
              </w:rPr>
              <w:t> </w:t>
            </w:r>
            <w:r>
              <w:rPr>
                <w:rFonts w:ascii="宋体" w:hAnsi="宋体" w:cs="宋体" w:eastAsia="宋体" w:hint="default"/>
                <w:b/>
                <w:bCs/>
                <w:spacing w:val="-9"/>
                <w:sz w:val="18"/>
                <w:szCs w:val="18"/>
              </w:rPr>
              <w:t>是，说明</w:t>
            </w:r>
            <w:r>
              <w:rPr>
                <w:rFonts w:ascii="宋体" w:hAnsi="宋体" w:cs="宋体" w:eastAsia="宋体" w:hint="default"/>
                <w:b/>
                <w:bCs/>
                <w:w w:val="99"/>
                <w:sz w:val="18"/>
                <w:szCs w:val="18"/>
              </w:rPr>
              <w:t> </w:t>
            </w:r>
            <w:r>
              <w:rPr>
                <w:rFonts w:ascii="宋体" w:hAnsi="宋体" w:cs="宋体" w:eastAsia="宋体" w:hint="default"/>
                <w:b/>
                <w:bCs/>
                <w:sz w:val="18"/>
                <w:szCs w:val="18"/>
              </w:rPr>
              <w:t>定价原</w:t>
            </w:r>
            <w:r>
              <w:rPr>
                <w:rFonts w:ascii="宋体" w:hAnsi="宋体" w:cs="宋体" w:eastAsia="宋体" w:hint="default"/>
                <w:b/>
                <w:bCs/>
                <w:spacing w:val="1"/>
                <w:w w:val="99"/>
                <w:sz w:val="18"/>
                <w:szCs w:val="18"/>
              </w:rPr>
              <w:t> </w:t>
            </w:r>
            <w:r>
              <w:rPr>
                <w:rFonts w:ascii="宋体" w:hAnsi="宋体" w:cs="宋体" w:eastAsia="宋体" w:hint="default"/>
                <w:b/>
                <w:bCs/>
                <w:sz w:val="18"/>
                <w:szCs w:val="18"/>
              </w:rPr>
              <w:t>则）</w:t>
            </w:r>
            <w:r>
              <w:rPr>
                <w:rFonts w:ascii="宋体" w:hAnsi="宋体" w:cs="宋体" w:eastAsia="宋体" w:hint="default"/>
                <w:sz w:val="18"/>
                <w:szCs w:val="18"/>
              </w:rPr>
            </w:r>
          </w:p>
        </w:tc>
        <w:tc>
          <w:tcPr>
            <w:tcW w:w="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37" w:lineRule="auto"/>
              <w:ind w:left="110" w:right="107" w:firstLine="1"/>
              <w:jc w:val="both"/>
              <w:rPr>
                <w:rFonts w:ascii="宋体" w:hAnsi="宋体" w:cs="宋体" w:eastAsia="宋体" w:hint="default"/>
                <w:sz w:val="18"/>
                <w:szCs w:val="18"/>
              </w:rPr>
            </w:pPr>
            <w:r>
              <w:rPr>
                <w:rFonts w:ascii="宋体" w:hAnsi="宋体" w:cs="宋体" w:eastAsia="宋体" w:hint="default"/>
                <w:b/>
                <w:bCs/>
                <w:sz w:val="18"/>
                <w:szCs w:val="18"/>
              </w:rPr>
              <w:t>资产</w:t>
            </w:r>
            <w:r>
              <w:rPr>
                <w:rFonts w:ascii="宋体" w:hAnsi="宋体" w:cs="宋体" w:eastAsia="宋体" w:hint="default"/>
                <w:b/>
                <w:bCs/>
                <w:spacing w:val="1"/>
                <w:w w:val="99"/>
                <w:sz w:val="18"/>
                <w:szCs w:val="18"/>
              </w:rPr>
              <w:t> </w:t>
            </w:r>
            <w:r>
              <w:rPr>
                <w:rFonts w:ascii="宋体" w:hAnsi="宋体" w:cs="宋体" w:eastAsia="宋体" w:hint="default"/>
                <w:b/>
                <w:bCs/>
                <w:sz w:val="18"/>
                <w:szCs w:val="18"/>
              </w:rPr>
              <w:t>收购</w:t>
            </w:r>
            <w:r>
              <w:rPr>
                <w:rFonts w:ascii="宋体" w:hAnsi="宋体" w:cs="宋体" w:eastAsia="宋体" w:hint="default"/>
                <w:b/>
                <w:bCs/>
                <w:spacing w:val="1"/>
                <w:w w:val="99"/>
                <w:sz w:val="18"/>
                <w:szCs w:val="18"/>
              </w:rPr>
              <w:t> </w:t>
            </w:r>
            <w:r>
              <w:rPr>
                <w:rFonts w:ascii="宋体" w:hAnsi="宋体" w:cs="宋体" w:eastAsia="宋体" w:hint="default"/>
                <w:b/>
                <w:bCs/>
                <w:sz w:val="18"/>
                <w:szCs w:val="18"/>
              </w:rPr>
              <w:t>定价</w:t>
            </w:r>
            <w:r>
              <w:rPr>
                <w:rFonts w:ascii="宋体" w:hAnsi="宋体" w:cs="宋体" w:eastAsia="宋体" w:hint="default"/>
                <w:b/>
                <w:bCs/>
                <w:spacing w:val="1"/>
                <w:w w:val="99"/>
                <w:sz w:val="18"/>
                <w:szCs w:val="18"/>
              </w:rPr>
              <w:t> </w:t>
            </w:r>
            <w:r>
              <w:rPr>
                <w:rFonts w:ascii="宋体" w:hAnsi="宋体" w:cs="宋体" w:eastAsia="宋体" w:hint="default"/>
                <w:b/>
                <w:bCs/>
                <w:sz w:val="18"/>
                <w:szCs w:val="18"/>
              </w:rPr>
              <w:t>原则</w:t>
            </w:r>
            <w:r>
              <w:rPr>
                <w:rFonts w:ascii="宋体" w:hAnsi="宋体" w:cs="宋体" w:eastAsia="宋体" w:hint="default"/>
                <w:sz w:val="18"/>
                <w:szCs w:val="18"/>
              </w:rPr>
            </w:r>
          </w:p>
        </w:tc>
        <w:tc>
          <w:tcPr>
            <w:tcW w:w="9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37" w:lineRule="auto"/>
              <w:ind w:left="100" w:right="97"/>
              <w:jc w:val="both"/>
              <w:rPr>
                <w:rFonts w:ascii="宋体" w:hAnsi="宋体" w:cs="宋体" w:eastAsia="宋体" w:hint="default"/>
                <w:sz w:val="18"/>
                <w:szCs w:val="18"/>
              </w:rPr>
            </w:pPr>
            <w:r>
              <w:rPr>
                <w:rFonts w:ascii="宋体" w:hAnsi="宋体" w:cs="宋体" w:eastAsia="宋体" w:hint="default"/>
                <w:b/>
                <w:bCs/>
                <w:sz w:val="18"/>
                <w:szCs w:val="18"/>
              </w:rPr>
              <w:t>所涉及的</w:t>
            </w:r>
            <w:r>
              <w:rPr>
                <w:rFonts w:ascii="宋体" w:hAnsi="宋体" w:cs="宋体" w:eastAsia="宋体" w:hint="default"/>
                <w:b/>
                <w:bCs/>
                <w:w w:val="99"/>
                <w:sz w:val="18"/>
                <w:szCs w:val="18"/>
              </w:rPr>
              <w:t> </w:t>
            </w:r>
            <w:r>
              <w:rPr>
                <w:rFonts w:ascii="宋体" w:hAnsi="宋体" w:cs="宋体" w:eastAsia="宋体" w:hint="default"/>
                <w:b/>
                <w:bCs/>
                <w:sz w:val="18"/>
                <w:szCs w:val="18"/>
              </w:rPr>
              <w:t>资产产权</w:t>
            </w:r>
            <w:r>
              <w:rPr>
                <w:rFonts w:ascii="宋体" w:hAnsi="宋体" w:cs="宋体" w:eastAsia="宋体" w:hint="default"/>
                <w:b/>
                <w:bCs/>
                <w:w w:val="99"/>
                <w:sz w:val="18"/>
                <w:szCs w:val="18"/>
              </w:rPr>
              <w:t> </w:t>
            </w:r>
            <w:r>
              <w:rPr>
                <w:rFonts w:ascii="宋体" w:hAnsi="宋体" w:cs="宋体" w:eastAsia="宋体" w:hint="default"/>
                <w:b/>
                <w:bCs/>
                <w:sz w:val="18"/>
                <w:szCs w:val="18"/>
              </w:rPr>
              <w:t>是否已全</w:t>
            </w:r>
            <w:r>
              <w:rPr>
                <w:rFonts w:ascii="宋体" w:hAnsi="宋体" w:cs="宋体" w:eastAsia="宋体" w:hint="default"/>
                <w:b/>
                <w:bCs/>
                <w:w w:val="99"/>
                <w:sz w:val="18"/>
                <w:szCs w:val="18"/>
              </w:rPr>
              <w:t> </w:t>
            </w:r>
            <w:r>
              <w:rPr>
                <w:rFonts w:ascii="宋体" w:hAnsi="宋体" w:cs="宋体" w:eastAsia="宋体" w:hint="default"/>
                <w:b/>
                <w:bCs/>
                <w:sz w:val="18"/>
                <w:szCs w:val="18"/>
              </w:rPr>
              <w:t>部过户</w:t>
            </w:r>
            <w:r>
              <w:rPr>
                <w:rFonts w:ascii="宋体" w:hAnsi="宋体" w:cs="宋体" w:eastAsia="宋体" w:hint="default"/>
                <w:sz w:val="18"/>
                <w:szCs w:val="18"/>
              </w:rPr>
            </w:r>
          </w:p>
        </w:tc>
        <w:tc>
          <w:tcPr>
            <w:tcW w:w="8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37" w:lineRule="auto"/>
              <w:ind w:left="50" w:right="48"/>
              <w:jc w:val="both"/>
              <w:rPr>
                <w:rFonts w:ascii="宋体" w:hAnsi="宋体" w:cs="宋体" w:eastAsia="宋体" w:hint="default"/>
                <w:sz w:val="18"/>
                <w:szCs w:val="18"/>
              </w:rPr>
            </w:pPr>
            <w:r>
              <w:rPr>
                <w:rFonts w:ascii="宋体" w:hAnsi="宋体" w:cs="宋体" w:eastAsia="宋体" w:hint="default"/>
                <w:b/>
                <w:bCs/>
                <w:sz w:val="18"/>
                <w:szCs w:val="18"/>
              </w:rPr>
              <w:t>所涉及的</w:t>
            </w:r>
            <w:r>
              <w:rPr>
                <w:rFonts w:ascii="宋体" w:hAnsi="宋体" w:cs="宋体" w:eastAsia="宋体" w:hint="default"/>
                <w:b/>
                <w:bCs/>
                <w:w w:val="99"/>
                <w:sz w:val="18"/>
                <w:szCs w:val="18"/>
              </w:rPr>
              <w:t> </w:t>
            </w:r>
            <w:r>
              <w:rPr>
                <w:rFonts w:ascii="宋体" w:hAnsi="宋体" w:cs="宋体" w:eastAsia="宋体" w:hint="default"/>
                <w:b/>
                <w:bCs/>
                <w:sz w:val="18"/>
                <w:szCs w:val="18"/>
              </w:rPr>
              <w:t>债权债务</w:t>
            </w:r>
            <w:r>
              <w:rPr>
                <w:rFonts w:ascii="宋体" w:hAnsi="宋体" w:cs="宋体" w:eastAsia="宋体" w:hint="default"/>
                <w:b/>
                <w:bCs/>
                <w:w w:val="99"/>
                <w:sz w:val="18"/>
                <w:szCs w:val="18"/>
              </w:rPr>
              <w:t> </w:t>
            </w:r>
            <w:r>
              <w:rPr>
                <w:rFonts w:ascii="宋体" w:hAnsi="宋体" w:cs="宋体" w:eastAsia="宋体" w:hint="default"/>
                <w:b/>
                <w:bCs/>
                <w:sz w:val="18"/>
                <w:szCs w:val="18"/>
              </w:rPr>
              <w:t>是否已全</w:t>
            </w:r>
            <w:r>
              <w:rPr>
                <w:rFonts w:ascii="宋体" w:hAnsi="宋体" w:cs="宋体" w:eastAsia="宋体" w:hint="default"/>
                <w:b/>
                <w:bCs/>
                <w:w w:val="99"/>
                <w:sz w:val="18"/>
                <w:szCs w:val="18"/>
              </w:rPr>
              <w:t> </w:t>
            </w:r>
            <w:r>
              <w:rPr>
                <w:rFonts w:ascii="宋体" w:hAnsi="宋体" w:cs="宋体" w:eastAsia="宋体" w:hint="default"/>
                <w:b/>
                <w:bCs/>
                <w:sz w:val="18"/>
                <w:szCs w:val="18"/>
              </w:rPr>
              <w:t>部转移</w:t>
            </w:r>
            <w:r>
              <w:rPr>
                <w:rFonts w:ascii="宋体" w:hAnsi="宋体" w:cs="宋体" w:eastAsia="宋体" w:hint="default"/>
                <w:sz w:val="18"/>
                <w:szCs w:val="18"/>
              </w:rPr>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19" w:right="0"/>
              <w:jc w:val="both"/>
              <w:rPr>
                <w:rFonts w:ascii="宋体" w:hAnsi="宋体" w:cs="宋体" w:eastAsia="宋体" w:hint="default"/>
                <w:sz w:val="18"/>
                <w:szCs w:val="18"/>
              </w:rPr>
            </w:pPr>
            <w:r>
              <w:rPr>
                <w:rFonts w:ascii="宋体" w:hAnsi="宋体" w:cs="宋体" w:eastAsia="宋体" w:hint="default"/>
                <w:b/>
                <w:bCs/>
                <w:sz w:val="18"/>
                <w:szCs w:val="18"/>
              </w:rPr>
              <w:t>该资产</w:t>
            </w:r>
            <w:r>
              <w:rPr>
                <w:rFonts w:ascii="宋体" w:hAnsi="宋体" w:cs="宋体" w:eastAsia="宋体" w:hint="default"/>
                <w:sz w:val="18"/>
                <w:szCs w:val="18"/>
              </w:rPr>
            </w:r>
          </w:p>
          <w:p>
            <w:pPr>
              <w:pStyle w:val="TableParagraph"/>
              <w:spacing w:line="237" w:lineRule="auto"/>
              <w:ind w:left="49" w:right="119" w:firstLine="70"/>
              <w:jc w:val="both"/>
              <w:rPr>
                <w:rFonts w:ascii="宋体" w:hAnsi="宋体" w:cs="宋体" w:eastAsia="宋体" w:hint="default"/>
                <w:sz w:val="18"/>
                <w:szCs w:val="18"/>
              </w:rPr>
            </w:pPr>
            <w:r>
              <w:rPr>
                <w:rFonts w:ascii="宋体" w:hAnsi="宋体" w:cs="宋体" w:eastAsia="宋体" w:hint="default"/>
                <w:b/>
                <w:bCs/>
                <w:sz w:val="18"/>
                <w:szCs w:val="18"/>
              </w:rPr>
              <w:t>贡献的</w:t>
            </w:r>
            <w:r>
              <w:rPr>
                <w:rFonts w:ascii="宋体" w:hAnsi="宋体" w:cs="宋体" w:eastAsia="宋体" w:hint="default"/>
                <w:b/>
                <w:bCs/>
                <w:spacing w:val="1"/>
                <w:w w:val="99"/>
                <w:sz w:val="18"/>
                <w:szCs w:val="18"/>
              </w:rPr>
              <w:t> </w:t>
            </w:r>
            <w:r>
              <w:rPr>
                <w:rFonts w:ascii="宋体" w:hAnsi="宋体" w:cs="宋体" w:eastAsia="宋体" w:hint="default"/>
                <w:b/>
                <w:bCs/>
                <w:sz w:val="18"/>
                <w:szCs w:val="18"/>
              </w:rPr>
              <w:t>净利润</w:t>
            </w:r>
            <w:r>
              <w:rPr>
                <w:rFonts w:ascii="宋体" w:hAnsi="宋体" w:cs="宋体" w:eastAsia="宋体" w:hint="default"/>
                <w:b/>
                <w:bCs/>
                <w:spacing w:val="1"/>
                <w:w w:val="99"/>
                <w:sz w:val="18"/>
                <w:szCs w:val="18"/>
              </w:rPr>
              <w:t> </w:t>
            </w:r>
            <w:r>
              <w:rPr>
                <w:rFonts w:ascii="宋体" w:hAnsi="宋体" w:cs="宋体" w:eastAsia="宋体" w:hint="default"/>
                <w:b/>
                <w:bCs/>
                <w:sz w:val="18"/>
                <w:szCs w:val="18"/>
              </w:rPr>
              <w:t>占上市</w:t>
            </w:r>
            <w:r>
              <w:rPr>
                <w:rFonts w:ascii="宋体" w:hAnsi="宋体" w:cs="宋体" w:eastAsia="宋体" w:hint="default"/>
                <w:b/>
                <w:bCs/>
                <w:spacing w:val="1"/>
                <w:w w:val="99"/>
                <w:sz w:val="18"/>
                <w:szCs w:val="18"/>
              </w:rPr>
              <w:t> </w:t>
            </w:r>
            <w:r>
              <w:rPr>
                <w:rFonts w:ascii="宋体" w:hAnsi="宋体" w:cs="宋体" w:eastAsia="宋体" w:hint="default"/>
                <w:b/>
                <w:bCs/>
                <w:sz w:val="18"/>
                <w:szCs w:val="18"/>
              </w:rPr>
              <w:t>公司净</w:t>
            </w:r>
            <w:r>
              <w:rPr>
                <w:rFonts w:ascii="宋体" w:hAnsi="宋体" w:cs="宋体" w:eastAsia="宋体" w:hint="default"/>
                <w:b/>
                <w:bCs/>
                <w:spacing w:val="1"/>
                <w:w w:val="99"/>
                <w:sz w:val="18"/>
                <w:szCs w:val="18"/>
              </w:rPr>
              <w:t> </w:t>
            </w:r>
            <w:r>
              <w:rPr>
                <w:rFonts w:ascii="宋体" w:hAnsi="宋体" w:cs="宋体" w:eastAsia="宋体" w:hint="default"/>
                <w:b/>
                <w:bCs/>
                <w:sz w:val="18"/>
                <w:szCs w:val="18"/>
              </w:rPr>
              <w:t>利润的</w:t>
            </w:r>
            <w:r>
              <w:rPr>
                <w:rFonts w:ascii="宋体" w:hAnsi="宋体" w:cs="宋体" w:eastAsia="宋体" w:hint="default"/>
                <w:b/>
                <w:bCs/>
                <w:spacing w:val="1"/>
                <w:w w:val="99"/>
                <w:sz w:val="18"/>
                <w:szCs w:val="18"/>
              </w:rPr>
              <w:t> </w:t>
            </w:r>
            <w:r>
              <w:rPr>
                <w:rFonts w:ascii="宋体" w:hAnsi="宋体" w:cs="宋体" w:eastAsia="宋体" w:hint="default"/>
                <w:b/>
                <w:bCs/>
                <w:spacing w:val="-9"/>
                <w:sz w:val="18"/>
                <w:szCs w:val="18"/>
              </w:rPr>
              <w:t>比例（%</w:t>
            </w:r>
            <w:r>
              <w:rPr>
                <w:rFonts w:ascii="宋体" w:hAnsi="宋体" w:cs="宋体" w:eastAsia="宋体" w:hint="default"/>
                <w:sz w:val="18"/>
                <w:szCs w:val="18"/>
              </w:rPr>
            </w:r>
          </w:p>
        </w:tc>
        <w:tc>
          <w:tcPr>
            <w:tcW w:w="5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6"/>
                <w:szCs w:val="26"/>
              </w:rPr>
            </w:pPr>
          </w:p>
          <w:p>
            <w:pPr>
              <w:pStyle w:val="TableParagraph"/>
              <w:spacing w:line="232" w:lineRule="exact"/>
              <w:ind w:left="100" w:right="101"/>
              <w:jc w:val="left"/>
              <w:rPr>
                <w:rFonts w:ascii="宋体" w:hAnsi="宋体" w:cs="宋体" w:eastAsia="宋体" w:hint="default"/>
                <w:sz w:val="18"/>
                <w:szCs w:val="18"/>
              </w:rPr>
            </w:pPr>
            <w:r>
              <w:rPr>
                <w:rFonts w:ascii="宋体" w:hAnsi="宋体" w:cs="宋体" w:eastAsia="宋体" w:hint="default"/>
                <w:b/>
                <w:bCs/>
                <w:sz w:val="18"/>
                <w:szCs w:val="18"/>
              </w:rPr>
              <w:t>关联</w:t>
            </w:r>
            <w:r>
              <w:rPr>
                <w:rFonts w:ascii="宋体" w:hAnsi="宋体" w:cs="宋体" w:eastAsia="宋体" w:hint="default"/>
                <w:b/>
                <w:bCs/>
                <w:spacing w:val="1"/>
                <w:w w:val="99"/>
                <w:sz w:val="18"/>
                <w:szCs w:val="18"/>
              </w:rPr>
              <w:t> </w:t>
            </w:r>
            <w:r>
              <w:rPr>
                <w:rFonts w:ascii="宋体" w:hAnsi="宋体" w:cs="宋体" w:eastAsia="宋体" w:hint="default"/>
                <w:b/>
                <w:bCs/>
                <w:sz w:val="18"/>
                <w:szCs w:val="18"/>
              </w:rPr>
              <w:t>关系</w:t>
            </w:r>
            <w:r>
              <w:rPr>
                <w:rFonts w:ascii="宋体" w:hAnsi="宋体" w:cs="宋体" w:eastAsia="宋体" w:hint="default"/>
                <w:sz w:val="18"/>
                <w:szCs w:val="18"/>
              </w:rPr>
            </w:r>
          </w:p>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155" w:right="0"/>
              <w:jc w:val="left"/>
              <w:rPr>
                <w:rFonts w:ascii="宋体" w:hAnsi="宋体" w:cs="宋体" w:eastAsia="宋体" w:hint="default"/>
                <w:sz w:val="18"/>
                <w:szCs w:val="18"/>
              </w:rPr>
            </w:pPr>
            <w:r>
              <w:rPr>
                <w:rFonts w:ascii="宋体" w:hAnsi="宋体" w:cs="宋体" w:eastAsia="宋体" w:hint="default"/>
                <w:b/>
                <w:bCs/>
                <w:w w:val="99"/>
                <w:sz w:val="18"/>
                <w:szCs w:val="18"/>
              </w:rPr>
              <w:t>）</w:t>
            </w:r>
            <w:r>
              <w:rPr>
                <w:rFonts w:ascii="宋体" w:hAnsi="宋体" w:cs="宋体" w:eastAsia="宋体" w:hint="default"/>
                <w:sz w:val="18"/>
                <w:szCs w:val="18"/>
              </w:rPr>
            </w:r>
          </w:p>
        </w:tc>
      </w:tr>
      <w:tr>
        <w:trPr>
          <w:trHeight w:val="1570" w:hRule="exact"/>
        </w:trPr>
        <w:tc>
          <w:tcPr>
            <w:tcW w:w="10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49" w:right="46"/>
              <w:jc w:val="left"/>
              <w:rPr>
                <w:rFonts w:ascii="Times New Roman" w:hAnsi="Times New Roman" w:cs="Times New Roman" w:eastAsia="Times New Roman" w:hint="default"/>
                <w:sz w:val="18"/>
                <w:szCs w:val="18"/>
              </w:rPr>
            </w:pPr>
            <w:r>
              <w:rPr>
                <w:rFonts w:ascii="Times New Roman"/>
                <w:sz w:val="18"/>
              </w:rPr>
              <w:t>Sesca Group Oy</w:t>
            </w:r>
          </w:p>
        </w:tc>
        <w:tc>
          <w:tcPr>
            <w:tcW w:w="1288" w:type="dxa"/>
            <w:tcBorders>
              <w:top w:val="single" w:sz="6" w:space="0" w:color="000000"/>
              <w:left w:val="single" w:sz="6" w:space="0" w:color="000000"/>
              <w:bottom w:val="single" w:sz="6" w:space="0" w:color="000000"/>
              <w:right w:val="single" w:sz="6" w:space="0" w:color="000000"/>
            </w:tcBorders>
          </w:tcPr>
          <w:p>
            <w:pPr>
              <w:pStyle w:val="TableParagraph"/>
              <w:spacing w:line="225" w:lineRule="auto" w:before="6"/>
              <w:ind w:left="50" w:right="125"/>
              <w:jc w:val="left"/>
              <w:rPr>
                <w:rFonts w:ascii="宋体" w:hAnsi="宋体" w:cs="宋体" w:eastAsia="宋体" w:hint="default"/>
                <w:sz w:val="18"/>
                <w:szCs w:val="18"/>
              </w:rPr>
            </w:pPr>
            <w:r>
              <w:rPr>
                <w:rFonts w:ascii="Times New Roman" w:hAnsi="Times New Roman" w:cs="Times New Roman" w:eastAsia="Times New Roman" w:hint="default"/>
                <w:sz w:val="18"/>
                <w:szCs w:val="18"/>
              </w:rPr>
              <w:t>Sesca Mobile Software</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z w:val="18"/>
                <w:szCs w:val="18"/>
              </w:rPr>
              <w:t>Oy</w:t>
            </w:r>
            <w:r>
              <w:rPr>
                <w:rFonts w:ascii="宋体" w:hAnsi="宋体" w:cs="宋体" w:eastAsia="宋体" w:hint="default"/>
                <w:sz w:val="18"/>
                <w:szCs w:val="18"/>
              </w:rPr>
              <w:t>、 </w:t>
            </w:r>
            <w:r>
              <w:rPr>
                <w:rFonts w:ascii="Times New Roman" w:hAnsi="Times New Roman" w:cs="Times New Roman" w:eastAsia="Times New Roman" w:hint="default"/>
                <w:sz w:val="18"/>
                <w:szCs w:val="18"/>
              </w:rPr>
              <w:t>Almitas Oy</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和 </w:t>
            </w:r>
            <w:r>
              <w:rPr>
                <w:rFonts w:ascii="Times New Roman" w:hAnsi="Times New Roman" w:cs="Times New Roman" w:eastAsia="Times New Roman" w:hint="default"/>
                <w:sz w:val="18"/>
                <w:szCs w:val="18"/>
              </w:rPr>
              <w:t>Sesca Technologies SRL</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三家公司 100%股权</w:t>
            </w:r>
          </w:p>
        </w:tc>
        <w:tc>
          <w:tcPr>
            <w:tcW w:w="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34" w:lineRule="exact" w:before="161"/>
              <w:ind w:left="49"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49" w:right="0"/>
              <w:jc w:val="left"/>
              <w:rPr>
                <w:rFonts w:ascii="宋体" w:hAnsi="宋体" w:cs="宋体" w:eastAsia="宋体" w:hint="default"/>
                <w:sz w:val="18"/>
                <w:szCs w:val="18"/>
              </w:rPr>
            </w:pPr>
            <w:r>
              <w:rPr>
                <w:rFonts w:ascii="宋体" w:hAnsi="宋体" w:cs="宋体" w:eastAsia="宋体" w:hint="default"/>
                <w:spacing w:val="14"/>
                <w:sz w:val="18"/>
                <w:szCs w:val="18"/>
              </w:rPr>
              <w:t>10月</w:t>
            </w:r>
            <w:r>
              <w:rPr>
                <w:rFonts w:ascii="宋体" w:hAnsi="宋体" w:cs="宋体" w:eastAsia="宋体" w:hint="default"/>
                <w:spacing w:val="-46"/>
                <w:sz w:val="18"/>
                <w:szCs w:val="18"/>
              </w:rPr>
              <w:t> </w:t>
            </w:r>
            <w:r>
              <w:rPr>
                <w:rFonts w:ascii="宋体" w:hAnsi="宋体" w:cs="宋体" w:eastAsia="宋体" w:hint="default"/>
                <w:sz w:val="18"/>
                <w:szCs w:val="18"/>
              </w:rPr>
              <w:t>31</w:t>
            </w:r>
          </w:p>
          <w:p>
            <w:pPr>
              <w:pStyle w:val="TableParagraph"/>
              <w:spacing w:line="235" w:lineRule="exact"/>
              <w:ind w:left="49"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52" w:lineRule="auto"/>
              <w:ind w:left="141" w:right="71" w:hanging="68"/>
              <w:jc w:val="left"/>
              <w:rPr>
                <w:rFonts w:ascii="Arial" w:hAnsi="Arial" w:cs="Arial" w:eastAsia="Arial" w:hint="default"/>
                <w:sz w:val="18"/>
                <w:szCs w:val="18"/>
              </w:rPr>
            </w:pPr>
            <w:r>
              <w:rPr>
                <w:rFonts w:ascii="宋体" w:hAnsi="宋体" w:cs="宋体" w:eastAsia="宋体" w:hint="default"/>
                <w:sz w:val="18"/>
                <w:szCs w:val="18"/>
              </w:rPr>
              <w:t>最多不 超过 </w:t>
            </w:r>
            <w:r>
              <w:rPr>
                <w:rFonts w:ascii="Arial" w:hAnsi="Arial" w:cs="Arial" w:eastAsia="Arial" w:hint="default"/>
                <w:sz w:val="18"/>
                <w:szCs w:val="18"/>
              </w:rPr>
              <w:t>1200</w:t>
            </w:r>
          </w:p>
          <w:p>
            <w:pPr>
              <w:pStyle w:val="TableParagraph"/>
              <w:spacing w:line="197" w:lineRule="exact"/>
              <w:ind w:left="74" w:right="0"/>
              <w:jc w:val="left"/>
              <w:rPr>
                <w:rFonts w:ascii="宋体" w:hAnsi="宋体" w:cs="宋体" w:eastAsia="宋体" w:hint="default"/>
                <w:sz w:val="18"/>
                <w:szCs w:val="18"/>
              </w:rPr>
            </w:pPr>
            <w:r>
              <w:rPr>
                <w:rFonts w:ascii="宋体" w:hAnsi="宋体" w:cs="宋体" w:eastAsia="宋体" w:hint="default"/>
                <w:sz w:val="18"/>
                <w:szCs w:val="18"/>
              </w:rPr>
              <w:t>万欧元</w:t>
            </w:r>
          </w:p>
        </w:tc>
        <w:tc>
          <w:tcPr>
            <w:tcW w:w="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 w:right="0"/>
              <w:jc w:val="center"/>
              <w:rPr>
                <w:rFonts w:ascii="Arial" w:hAnsi="Arial" w:cs="Arial" w:eastAsia="Arial" w:hint="default"/>
                <w:sz w:val="18"/>
                <w:szCs w:val="18"/>
              </w:rPr>
            </w:pPr>
            <w:r>
              <w:rPr>
                <w:rFonts w:ascii="Arial"/>
                <w:sz w:val="18"/>
              </w:rPr>
              <w:t>-3,145,373</w:t>
            </w:r>
          </w:p>
        </w:tc>
        <w:tc>
          <w:tcPr>
            <w:tcW w:w="11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right="1"/>
              <w:jc w:val="center"/>
              <w:rPr>
                <w:rFonts w:ascii="宋体" w:hAnsi="宋体" w:cs="宋体" w:eastAsia="宋体" w:hint="default"/>
                <w:sz w:val="18"/>
                <w:szCs w:val="18"/>
              </w:rPr>
            </w:pPr>
            <w:r>
              <w:rPr>
                <w:rFonts w:ascii="宋体" w:hAnsi="宋体" w:cs="宋体" w:eastAsia="宋体" w:hint="default"/>
                <w:sz w:val="18"/>
                <w:szCs w:val="18"/>
              </w:rPr>
              <w:t>不适用</w:t>
            </w:r>
          </w:p>
        </w:tc>
        <w:tc>
          <w:tcPr>
            <w:tcW w:w="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598"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49"/>
              <w:ind w:left="111" w:right="109"/>
              <w:jc w:val="both"/>
              <w:rPr>
                <w:rFonts w:ascii="宋体" w:hAnsi="宋体" w:cs="宋体" w:eastAsia="宋体" w:hint="default"/>
                <w:sz w:val="18"/>
                <w:szCs w:val="18"/>
              </w:rPr>
            </w:pPr>
            <w:r>
              <w:rPr>
                <w:rFonts w:ascii="宋体" w:hAnsi="宋体" w:cs="宋体" w:eastAsia="宋体" w:hint="default"/>
                <w:sz w:val="18"/>
                <w:szCs w:val="18"/>
              </w:rPr>
              <w:t>根据 市场 价格 以及 双方 协商</w:t>
            </w:r>
          </w:p>
        </w:tc>
        <w:tc>
          <w:tcPr>
            <w:tcW w:w="9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
              <w:jc w:val="center"/>
              <w:rPr>
                <w:rFonts w:ascii="Arial" w:hAnsi="Arial" w:cs="Arial" w:eastAsia="Arial" w:hint="default"/>
                <w:sz w:val="18"/>
                <w:szCs w:val="18"/>
              </w:rPr>
            </w:pPr>
            <w:r>
              <w:rPr>
                <w:rFonts w:ascii="Arial"/>
                <w:sz w:val="18"/>
              </w:rPr>
              <w:t>-0.49</w:t>
            </w:r>
          </w:p>
        </w:tc>
        <w:tc>
          <w:tcPr>
            <w:tcW w:w="5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left="19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1" w:hRule="exact"/>
        </w:trPr>
        <w:tc>
          <w:tcPr>
            <w:tcW w:w="1074" w:type="dxa"/>
            <w:tcBorders>
              <w:top w:val="single" w:sz="6" w:space="0" w:color="000000"/>
              <w:left w:val="single" w:sz="6" w:space="0" w:color="000000"/>
              <w:bottom w:val="nil" w:sz="6" w:space="0" w:color="auto"/>
              <w:right w:val="single" w:sz="6" w:space="0" w:color="000000"/>
            </w:tcBorders>
          </w:tcPr>
          <w:p>
            <w:pPr/>
          </w:p>
        </w:tc>
        <w:tc>
          <w:tcPr>
            <w:tcW w:w="1288" w:type="dxa"/>
            <w:tcBorders>
              <w:top w:val="single" w:sz="6" w:space="0" w:color="000000"/>
              <w:left w:val="single" w:sz="6" w:space="0" w:color="000000"/>
              <w:bottom w:val="nil" w:sz="6" w:space="0" w:color="auto"/>
              <w:right w:val="single" w:sz="6" w:space="0" w:color="000000"/>
            </w:tcBorders>
          </w:tcPr>
          <w:p>
            <w:pPr/>
          </w:p>
        </w:tc>
        <w:tc>
          <w:tcPr>
            <w:tcW w:w="834" w:type="dxa"/>
            <w:tcBorders>
              <w:top w:val="single" w:sz="6" w:space="0" w:color="000000"/>
              <w:left w:val="single" w:sz="6" w:space="0" w:color="000000"/>
              <w:bottom w:val="nil" w:sz="6" w:space="0" w:color="auto"/>
              <w:right w:val="single" w:sz="6" w:space="0" w:color="000000"/>
            </w:tcBorders>
          </w:tcPr>
          <w:p>
            <w:pPr/>
          </w:p>
        </w:tc>
        <w:tc>
          <w:tcPr>
            <w:tcW w:w="702" w:type="dxa"/>
            <w:tcBorders>
              <w:top w:val="single" w:sz="6" w:space="0" w:color="000000"/>
              <w:left w:val="single" w:sz="6" w:space="0" w:color="000000"/>
              <w:bottom w:val="nil" w:sz="6" w:space="0" w:color="auto"/>
              <w:right w:val="single" w:sz="6" w:space="0" w:color="000000"/>
            </w:tcBorders>
          </w:tcPr>
          <w:p>
            <w:pPr/>
          </w:p>
        </w:tc>
        <w:tc>
          <w:tcPr>
            <w:tcW w:w="976" w:type="dxa"/>
            <w:tcBorders>
              <w:top w:val="single" w:sz="6" w:space="0" w:color="000000"/>
              <w:left w:val="single" w:sz="6" w:space="0" w:color="000000"/>
              <w:bottom w:val="nil" w:sz="6" w:space="0" w:color="auto"/>
              <w:right w:val="single" w:sz="6" w:space="0" w:color="000000"/>
            </w:tcBorders>
          </w:tcPr>
          <w:p>
            <w:pPr/>
          </w:p>
        </w:tc>
        <w:tc>
          <w:tcPr>
            <w:tcW w:w="1172" w:type="dxa"/>
            <w:tcBorders>
              <w:top w:val="single" w:sz="6" w:space="0" w:color="000000"/>
              <w:left w:val="single" w:sz="6" w:space="0" w:color="000000"/>
              <w:bottom w:val="nil" w:sz="6" w:space="0" w:color="auto"/>
              <w:right w:val="single" w:sz="6" w:space="0" w:color="000000"/>
            </w:tcBorders>
          </w:tcPr>
          <w:p>
            <w:pPr/>
          </w:p>
        </w:tc>
        <w:tc>
          <w:tcPr>
            <w:tcW w:w="800" w:type="dxa"/>
            <w:tcBorders>
              <w:top w:val="single" w:sz="6" w:space="0" w:color="000000"/>
              <w:left w:val="single" w:sz="6" w:space="0" w:color="000000"/>
              <w:bottom w:val="nil" w:sz="6" w:space="0" w:color="auto"/>
              <w:right w:val="single" w:sz="6" w:space="0" w:color="000000"/>
            </w:tcBorders>
          </w:tcPr>
          <w:p>
            <w:pPr/>
          </w:p>
        </w:tc>
        <w:tc>
          <w:tcPr>
            <w:tcW w:w="598"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根据</w:t>
            </w:r>
          </w:p>
        </w:tc>
        <w:tc>
          <w:tcPr>
            <w:tcW w:w="937" w:type="dxa"/>
            <w:tcBorders>
              <w:top w:val="single" w:sz="6" w:space="0" w:color="000000"/>
              <w:left w:val="single" w:sz="6" w:space="0" w:color="000000"/>
              <w:bottom w:val="nil" w:sz="6" w:space="0" w:color="auto"/>
              <w:right w:val="single" w:sz="6" w:space="0" w:color="000000"/>
            </w:tcBorders>
          </w:tcPr>
          <w:p>
            <w:pPr/>
          </w:p>
        </w:tc>
        <w:tc>
          <w:tcPr>
            <w:tcW w:w="838" w:type="dxa"/>
            <w:tcBorders>
              <w:top w:val="single" w:sz="6" w:space="0" w:color="000000"/>
              <w:left w:val="single" w:sz="6" w:space="0" w:color="000000"/>
              <w:bottom w:val="nil" w:sz="6" w:space="0" w:color="auto"/>
              <w:right w:val="single" w:sz="6" w:space="0" w:color="000000"/>
            </w:tcBorders>
          </w:tcPr>
          <w:p>
            <w:pPr/>
          </w:p>
        </w:tc>
        <w:tc>
          <w:tcPr>
            <w:tcW w:w="799" w:type="dxa"/>
            <w:tcBorders>
              <w:top w:val="single" w:sz="6" w:space="0" w:color="000000"/>
              <w:left w:val="single" w:sz="6" w:space="0" w:color="000000"/>
              <w:bottom w:val="nil" w:sz="6" w:space="0" w:color="auto"/>
              <w:right w:val="single" w:sz="6" w:space="0" w:color="000000"/>
            </w:tcBorders>
          </w:tcPr>
          <w:p>
            <w:pPr/>
          </w:p>
        </w:tc>
        <w:tc>
          <w:tcPr>
            <w:tcW w:w="581" w:type="dxa"/>
            <w:tcBorders>
              <w:top w:val="single" w:sz="6" w:space="0" w:color="000000"/>
              <w:left w:val="single" w:sz="6" w:space="0" w:color="000000"/>
              <w:bottom w:val="nil" w:sz="6" w:space="0" w:color="auto"/>
              <w:right w:val="single" w:sz="6" w:space="0" w:color="000000"/>
            </w:tcBorders>
          </w:tcPr>
          <w:p>
            <w:pPr/>
          </w:p>
        </w:tc>
      </w:tr>
      <w:tr>
        <w:trPr>
          <w:trHeight w:val="933" w:hRule="exact"/>
        </w:trPr>
        <w:tc>
          <w:tcPr>
            <w:tcW w:w="1074"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9" w:right="35"/>
              <w:jc w:val="left"/>
              <w:rPr>
                <w:rFonts w:ascii="宋体" w:hAnsi="宋体" w:cs="宋体" w:eastAsia="宋体" w:hint="default"/>
                <w:sz w:val="18"/>
                <w:szCs w:val="18"/>
              </w:rPr>
            </w:pPr>
            <w:r>
              <w:rPr>
                <w:rFonts w:ascii="宋体" w:hAnsi="宋体" w:cs="宋体" w:eastAsia="宋体" w:hint="default"/>
                <w:spacing w:val="14"/>
                <w:sz w:val="18"/>
                <w:szCs w:val="18"/>
              </w:rPr>
              <w:t>沈阳金软科 </w:t>
            </w:r>
            <w:r>
              <w:rPr>
                <w:rFonts w:ascii="宋体" w:hAnsi="宋体" w:cs="宋体" w:eastAsia="宋体" w:hint="default"/>
                <w:sz w:val="18"/>
                <w:szCs w:val="18"/>
              </w:rPr>
              <w:t>技有限公司</w:t>
            </w:r>
          </w:p>
        </w:tc>
        <w:tc>
          <w:tcPr>
            <w:tcW w:w="1288" w:type="dxa"/>
            <w:tcBorders>
              <w:top w:val="nil" w:sz="6" w:space="0" w:color="auto"/>
              <w:left w:val="single" w:sz="6" w:space="0" w:color="000000"/>
              <w:bottom w:val="nil" w:sz="6" w:space="0" w:color="auto"/>
              <w:right w:val="single" w:sz="6" w:space="0" w:color="000000"/>
            </w:tcBorders>
          </w:tcPr>
          <w:p>
            <w:pPr>
              <w:pStyle w:val="TableParagraph"/>
              <w:spacing w:line="237" w:lineRule="auto" w:before="88"/>
              <w:ind w:left="50" w:right="140"/>
              <w:jc w:val="both"/>
              <w:rPr>
                <w:rFonts w:ascii="宋体" w:hAnsi="宋体" w:cs="宋体" w:eastAsia="宋体" w:hint="default"/>
                <w:sz w:val="18"/>
                <w:szCs w:val="18"/>
              </w:rPr>
            </w:pPr>
            <w:r>
              <w:rPr>
                <w:rFonts w:ascii="宋体" w:hAnsi="宋体" w:cs="宋体" w:eastAsia="宋体" w:hint="default"/>
                <w:sz w:val="18"/>
                <w:szCs w:val="18"/>
              </w:rPr>
              <w:t>沈阳金软科技 有限公司公积 金业务业务</w:t>
            </w:r>
          </w:p>
        </w:tc>
        <w:tc>
          <w:tcPr>
            <w:tcW w:w="834"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35" w:lineRule="exact"/>
              <w:ind w:left="49"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9</w:t>
            </w:r>
          </w:p>
          <w:p>
            <w:pPr>
              <w:pStyle w:val="TableParagraph"/>
              <w:spacing w:line="235" w:lineRule="exact"/>
              <w:ind w:left="49"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pacing w:val="14"/>
                <w:sz w:val="18"/>
                <w:szCs w:val="18"/>
              </w:rPr>
              <w:t>23日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702"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193" w:lineRule="exact"/>
              <w:ind w:left="194" w:right="0"/>
              <w:jc w:val="left"/>
              <w:rPr>
                <w:rFonts w:ascii="Arial" w:hAnsi="Arial" w:cs="Arial" w:eastAsia="Arial" w:hint="default"/>
                <w:sz w:val="18"/>
                <w:szCs w:val="18"/>
              </w:rPr>
            </w:pPr>
            <w:r>
              <w:rPr>
                <w:rFonts w:ascii="Arial"/>
                <w:sz w:val="18"/>
              </w:rPr>
              <w:t>300</w:t>
            </w:r>
          </w:p>
          <w:p>
            <w:pPr>
              <w:pStyle w:val="TableParagraph"/>
              <w:spacing w:line="221" w:lineRule="exact"/>
              <w:ind w:left="164"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976"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1172"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不适用</w:t>
            </w:r>
          </w:p>
        </w:tc>
        <w:tc>
          <w:tcPr>
            <w:tcW w:w="800"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598"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11" w:right="0"/>
              <w:jc w:val="both"/>
              <w:rPr>
                <w:rFonts w:ascii="宋体" w:hAnsi="宋体" w:cs="宋体" w:eastAsia="宋体" w:hint="default"/>
                <w:sz w:val="18"/>
                <w:szCs w:val="18"/>
              </w:rPr>
            </w:pPr>
            <w:r>
              <w:rPr>
                <w:rFonts w:ascii="宋体" w:hAnsi="宋体" w:cs="宋体" w:eastAsia="宋体" w:hint="default"/>
                <w:sz w:val="18"/>
                <w:szCs w:val="18"/>
              </w:rPr>
              <w:t>市场</w:t>
            </w:r>
          </w:p>
          <w:p>
            <w:pPr>
              <w:pStyle w:val="TableParagraph"/>
              <w:spacing w:line="237" w:lineRule="auto"/>
              <w:ind w:left="111" w:right="109"/>
              <w:jc w:val="both"/>
              <w:rPr>
                <w:rFonts w:ascii="宋体" w:hAnsi="宋体" w:cs="宋体" w:eastAsia="宋体" w:hint="default"/>
                <w:sz w:val="18"/>
                <w:szCs w:val="18"/>
              </w:rPr>
            </w:pPr>
            <w:r>
              <w:rPr>
                <w:rFonts w:ascii="宋体" w:hAnsi="宋体" w:cs="宋体" w:eastAsia="宋体" w:hint="default"/>
                <w:sz w:val="18"/>
                <w:szCs w:val="18"/>
              </w:rPr>
              <w:t>价格 以及 双方</w:t>
            </w:r>
          </w:p>
        </w:tc>
        <w:tc>
          <w:tcPr>
            <w:tcW w:w="937"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99"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581"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9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2" w:hRule="exact"/>
        </w:trPr>
        <w:tc>
          <w:tcPr>
            <w:tcW w:w="1074" w:type="dxa"/>
            <w:tcBorders>
              <w:top w:val="nil" w:sz="6" w:space="0" w:color="auto"/>
              <w:left w:val="single" w:sz="6" w:space="0" w:color="000000"/>
              <w:bottom w:val="single" w:sz="6" w:space="0" w:color="000000"/>
              <w:right w:val="single" w:sz="6" w:space="0" w:color="000000"/>
            </w:tcBorders>
          </w:tcPr>
          <w:p>
            <w:pPr/>
          </w:p>
        </w:tc>
        <w:tc>
          <w:tcPr>
            <w:tcW w:w="1288" w:type="dxa"/>
            <w:tcBorders>
              <w:top w:val="nil" w:sz="6" w:space="0" w:color="auto"/>
              <w:left w:val="single" w:sz="6" w:space="0" w:color="000000"/>
              <w:bottom w:val="single" w:sz="6" w:space="0" w:color="000000"/>
              <w:right w:val="single" w:sz="6" w:space="0" w:color="000000"/>
            </w:tcBorders>
          </w:tcPr>
          <w:p>
            <w:pPr/>
          </w:p>
        </w:tc>
        <w:tc>
          <w:tcPr>
            <w:tcW w:w="834" w:type="dxa"/>
            <w:tcBorders>
              <w:top w:val="nil" w:sz="6" w:space="0" w:color="auto"/>
              <w:left w:val="single" w:sz="6" w:space="0" w:color="000000"/>
              <w:bottom w:val="single" w:sz="6" w:space="0" w:color="000000"/>
              <w:right w:val="single" w:sz="6" w:space="0" w:color="000000"/>
            </w:tcBorders>
          </w:tcPr>
          <w:p>
            <w:pPr/>
          </w:p>
        </w:tc>
        <w:tc>
          <w:tcPr>
            <w:tcW w:w="702" w:type="dxa"/>
            <w:tcBorders>
              <w:top w:val="nil" w:sz="6" w:space="0" w:color="auto"/>
              <w:left w:val="single" w:sz="6" w:space="0" w:color="000000"/>
              <w:bottom w:val="single" w:sz="6" w:space="0" w:color="000000"/>
              <w:right w:val="single" w:sz="6" w:space="0" w:color="000000"/>
            </w:tcBorders>
          </w:tcPr>
          <w:p>
            <w:pPr/>
          </w:p>
        </w:tc>
        <w:tc>
          <w:tcPr>
            <w:tcW w:w="976" w:type="dxa"/>
            <w:tcBorders>
              <w:top w:val="nil" w:sz="6" w:space="0" w:color="auto"/>
              <w:left w:val="single" w:sz="6" w:space="0" w:color="000000"/>
              <w:bottom w:val="single" w:sz="6" w:space="0" w:color="000000"/>
              <w:right w:val="single" w:sz="6" w:space="0" w:color="000000"/>
            </w:tcBorders>
          </w:tcPr>
          <w:p>
            <w:pPr/>
          </w:p>
        </w:tc>
        <w:tc>
          <w:tcPr>
            <w:tcW w:w="1172" w:type="dxa"/>
            <w:tcBorders>
              <w:top w:val="nil" w:sz="6" w:space="0" w:color="auto"/>
              <w:left w:val="single" w:sz="6" w:space="0" w:color="000000"/>
              <w:bottom w:val="single" w:sz="6" w:space="0" w:color="000000"/>
              <w:right w:val="single" w:sz="6" w:space="0" w:color="000000"/>
            </w:tcBorders>
          </w:tcPr>
          <w:p>
            <w:pPr/>
          </w:p>
        </w:tc>
        <w:tc>
          <w:tcPr>
            <w:tcW w:w="800" w:type="dxa"/>
            <w:tcBorders>
              <w:top w:val="nil" w:sz="6" w:space="0" w:color="auto"/>
              <w:left w:val="single" w:sz="6" w:space="0" w:color="000000"/>
              <w:bottom w:val="single" w:sz="6" w:space="0" w:color="000000"/>
              <w:right w:val="single" w:sz="6" w:space="0" w:color="000000"/>
            </w:tcBorders>
          </w:tcPr>
          <w:p>
            <w:pPr/>
          </w:p>
        </w:tc>
        <w:tc>
          <w:tcPr>
            <w:tcW w:w="598" w:type="dxa"/>
            <w:tcBorders>
              <w:top w:val="nil" w:sz="6" w:space="0" w:color="auto"/>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协商</w:t>
            </w:r>
          </w:p>
        </w:tc>
        <w:tc>
          <w:tcPr>
            <w:tcW w:w="937" w:type="dxa"/>
            <w:tcBorders>
              <w:top w:val="nil" w:sz="6" w:space="0" w:color="auto"/>
              <w:left w:val="single" w:sz="6" w:space="0" w:color="000000"/>
              <w:bottom w:val="single" w:sz="6" w:space="0" w:color="000000"/>
              <w:right w:val="single" w:sz="6" w:space="0" w:color="000000"/>
            </w:tcBorders>
          </w:tcPr>
          <w:p>
            <w:pPr/>
          </w:p>
        </w:tc>
        <w:tc>
          <w:tcPr>
            <w:tcW w:w="838" w:type="dxa"/>
            <w:tcBorders>
              <w:top w:val="nil" w:sz="6" w:space="0" w:color="auto"/>
              <w:left w:val="single" w:sz="6" w:space="0" w:color="000000"/>
              <w:bottom w:val="single" w:sz="6" w:space="0" w:color="000000"/>
              <w:right w:val="single" w:sz="6" w:space="0" w:color="000000"/>
            </w:tcBorders>
          </w:tcPr>
          <w:p>
            <w:pPr/>
          </w:p>
        </w:tc>
        <w:tc>
          <w:tcPr>
            <w:tcW w:w="799" w:type="dxa"/>
            <w:tcBorders>
              <w:top w:val="nil" w:sz="6" w:space="0" w:color="auto"/>
              <w:left w:val="single" w:sz="6" w:space="0" w:color="000000"/>
              <w:bottom w:val="single" w:sz="6" w:space="0" w:color="000000"/>
              <w:right w:val="single" w:sz="6" w:space="0" w:color="000000"/>
            </w:tcBorders>
          </w:tcPr>
          <w:p>
            <w:pPr/>
          </w:p>
        </w:tc>
        <w:tc>
          <w:tcPr>
            <w:tcW w:w="581" w:type="dxa"/>
            <w:tcBorders>
              <w:top w:val="nil" w:sz="6" w:space="0" w:color="auto"/>
              <w:left w:val="single" w:sz="6" w:space="0" w:color="000000"/>
              <w:bottom w:val="single" w:sz="6" w:space="0" w:color="000000"/>
              <w:right w:val="single" w:sz="6" w:space="0" w:color="000000"/>
            </w:tcBorders>
          </w:tcPr>
          <w:p>
            <w:pPr/>
          </w:p>
        </w:tc>
      </w:tr>
      <w:tr>
        <w:trPr>
          <w:trHeight w:val="240" w:hRule="exact"/>
        </w:trPr>
        <w:tc>
          <w:tcPr>
            <w:tcW w:w="1074" w:type="dxa"/>
            <w:tcBorders>
              <w:top w:val="single" w:sz="6" w:space="0" w:color="000000"/>
              <w:left w:val="single" w:sz="6" w:space="0" w:color="000000"/>
              <w:bottom w:val="nil" w:sz="6" w:space="0" w:color="auto"/>
              <w:right w:val="single" w:sz="6" w:space="0" w:color="000000"/>
            </w:tcBorders>
          </w:tcPr>
          <w:p>
            <w:pPr/>
          </w:p>
        </w:tc>
        <w:tc>
          <w:tcPr>
            <w:tcW w:w="1288" w:type="dxa"/>
            <w:tcBorders>
              <w:top w:val="single" w:sz="6" w:space="0" w:color="000000"/>
              <w:left w:val="single" w:sz="6" w:space="0" w:color="000000"/>
              <w:bottom w:val="nil" w:sz="6" w:space="0" w:color="auto"/>
              <w:right w:val="single" w:sz="6" w:space="0" w:color="000000"/>
            </w:tcBorders>
          </w:tcPr>
          <w:p>
            <w:pPr/>
          </w:p>
        </w:tc>
        <w:tc>
          <w:tcPr>
            <w:tcW w:w="834" w:type="dxa"/>
            <w:tcBorders>
              <w:top w:val="single" w:sz="6" w:space="0" w:color="000000"/>
              <w:left w:val="single" w:sz="6" w:space="0" w:color="000000"/>
              <w:bottom w:val="nil" w:sz="6" w:space="0" w:color="auto"/>
              <w:right w:val="single" w:sz="6" w:space="0" w:color="000000"/>
            </w:tcBorders>
          </w:tcPr>
          <w:p>
            <w:pPr/>
          </w:p>
        </w:tc>
        <w:tc>
          <w:tcPr>
            <w:tcW w:w="702" w:type="dxa"/>
            <w:tcBorders>
              <w:top w:val="single" w:sz="6" w:space="0" w:color="000000"/>
              <w:left w:val="single" w:sz="6" w:space="0" w:color="000000"/>
              <w:bottom w:val="nil" w:sz="6" w:space="0" w:color="auto"/>
              <w:right w:val="single" w:sz="6" w:space="0" w:color="000000"/>
            </w:tcBorders>
          </w:tcPr>
          <w:p>
            <w:pPr/>
          </w:p>
        </w:tc>
        <w:tc>
          <w:tcPr>
            <w:tcW w:w="976" w:type="dxa"/>
            <w:tcBorders>
              <w:top w:val="single" w:sz="6" w:space="0" w:color="000000"/>
              <w:left w:val="single" w:sz="6" w:space="0" w:color="000000"/>
              <w:bottom w:val="nil" w:sz="6" w:space="0" w:color="auto"/>
              <w:right w:val="single" w:sz="6" w:space="0" w:color="000000"/>
            </w:tcBorders>
          </w:tcPr>
          <w:p>
            <w:pPr/>
          </w:p>
        </w:tc>
        <w:tc>
          <w:tcPr>
            <w:tcW w:w="1172" w:type="dxa"/>
            <w:tcBorders>
              <w:top w:val="single" w:sz="6" w:space="0" w:color="000000"/>
              <w:left w:val="single" w:sz="6" w:space="0" w:color="000000"/>
              <w:bottom w:val="nil" w:sz="6" w:space="0" w:color="auto"/>
              <w:right w:val="single" w:sz="6" w:space="0" w:color="000000"/>
            </w:tcBorders>
          </w:tcPr>
          <w:p>
            <w:pPr/>
          </w:p>
        </w:tc>
        <w:tc>
          <w:tcPr>
            <w:tcW w:w="800" w:type="dxa"/>
            <w:tcBorders>
              <w:top w:val="single" w:sz="6" w:space="0" w:color="000000"/>
              <w:left w:val="single" w:sz="6" w:space="0" w:color="000000"/>
              <w:bottom w:val="nil" w:sz="6" w:space="0" w:color="auto"/>
              <w:right w:val="single" w:sz="6" w:space="0" w:color="000000"/>
            </w:tcBorders>
          </w:tcPr>
          <w:p>
            <w:pPr/>
          </w:p>
        </w:tc>
        <w:tc>
          <w:tcPr>
            <w:tcW w:w="598" w:type="dxa"/>
            <w:tcBorders>
              <w:top w:val="single" w:sz="6" w:space="0" w:color="000000"/>
              <w:left w:val="single" w:sz="6" w:space="0" w:color="000000"/>
              <w:bottom w:val="nil" w:sz="6" w:space="0" w:color="auto"/>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根据</w:t>
            </w:r>
          </w:p>
        </w:tc>
        <w:tc>
          <w:tcPr>
            <w:tcW w:w="937" w:type="dxa"/>
            <w:tcBorders>
              <w:top w:val="single" w:sz="6" w:space="0" w:color="000000"/>
              <w:left w:val="single" w:sz="6" w:space="0" w:color="000000"/>
              <w:bottom w:val="nil" w:sz="6" w:space="0" w:color="auto"/>
              <w:right w:val="single" w:sz="6" w:space="0" w:color="000000"/>
            </w:tcBorders>
          </w:tcPr>
          <w:p>
            <w:pPr/>
          </w:p>
        </w:tc>
        <w:tc>
          <w:tcPr>
            <w:tcW w:w="838" w:type="dxa"/>
            <w:tcBorders>
              <w:top w:val="single" w:sz="6" w:space="0" w:color="000000"/>
              <w:left w:val="single" w:sz="6" w:space="0" w:color="000000"/>
              <w:bottom w:val="nil" w:sz="6" w:space="0" w:color="auto"/>
              <w:right w:val="single" w:sz="6" w:space="0" w:color="000000"/>
            </w:tcBorders>
          </w:tcPr>
          <w:p>
            <w:pPr/>
          </w:p>
        </w:tc>
        <w:tc>
          <w:tcPr>
            <w:tcW w:w="799" w:type="dxa"/>
            <w:tcBorders>
              <w:top w:val="single" w:sz="6" w:space="0" w:color="000000"/>
              <w:left w:val="single" w:sz="6" w:space="0" w:color="000000"/>
              <w:bottom w:val="nil" w:sz="6" w:space="0" w:color="auto"/>
              <w:right w:val="single" w:sz="6" w:space="0" w:color="000000"/>
            </w:tcBorders>
          </w:tcPr>
          <w:p>
            <w:pPr/>
          </w:p>
        </w:tc>
        <w:tc>
          <w:tcPr>
            <w:tcW w:w="581" w:type="dxa"/>
            <w:tcBorders>
              <w:top w:val="single" w:sz="6" w:space="0" w:color="000000"/>
              <w:left w:val="single" w:sz="6" w:space="0" w:color="000000"/>
              <w:bottom w:val="nil" w:sz="6" w:space="0" w:color="auto"/>
              <w:right w:val="single" w:sz="6" w:space="0" w:color="000000"/>
            </w:tcBorders>
          </w:tcPr>
          <w:p>
            <w:pPr/>
          </w:p>
        </w:tc>
      </w:tr>
      <w:tr>
        <w:trPr>
          <w:trHeight w:val="933" w:hRule="exact"/>
        </w:trPr>
        <w:tc>
          <w:tcPr>
            <w:tcW w:w="1074"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49" w:right="158"/>
              <w:jc w:val="left"/>
              <w:rPr>
                <w:rFonts w:ascii="Times New Roman" w:hAnsi="Times New Roman" w:cs="Times New Roman" w:eastAsia="Times New Roman" w:hint="default"/>
                <w:sz w:val="18"/>
                <w:szCs w:val="18"/>
              </w:rPr>
            </w:pPr>
            <w:r>
              <w:rPr>
                <w:rFonts w:ascii="Times New Roman"/>
                <w:sz w:val="18"/>
              </w:rPr>
              <w:t>Taproot</w:t>
            </w:r>
            <w:r>
              <w:rPr>
                <w:rFonts w:ascii="Times New Roman"/>
                <w:w w:val="99"/>
                <w:sz w:val="18"/>
              </w:rPr>
              <w:t> </w:t>
            </w:r>
            <w:r>
              <w:rPr>
                <w:rFonts w:ascii="Times New Roman"/>
                <w:sz w:val="18"/>
              </w:rPr>
              <w:t>System</w:t>
            </w:r>
            <w:r>
              <w:rPr>
                <w:rFonts w:ascii="Times New Roman"/>
                <w:spacing w:val="-5"/>
                <w:sz w:val="18"/>
              </w:rPr>
              <w:t> </w:t>
            </w:r>
            <w:r>
              <w:rPr>
                <w:rFonts w:ascii="Times New Roman"/>
                <w:sz w:val="18"/>
              </w:rPr>
              <w:t>Inc.</w:t>
            </w:r>
          </w:p>
        </w:tc>
        <w:tc>
          <w:tcPr>
            <w:tcW w:w="128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24" w:lineRule="exact"/>
              <w:ind w:left="50" w:right="75"/>
              <w:jc w:val="left"/>
              <w:rPr>
                <w:rFonts w:ascii="宋体" w:hAnsi="宋体" w:cs="宋体" w:eastAsia="宋体" w:hint="default"/>
                <w:sz w:val="18"/>
                <w:szCs w:val="18"/>
              </w:rPr>
            </w:pPr>
            <w:r>
              <w:rPr>
                <w:rFonts w:ascii="Times New Roman" w:hAnsi="Times New Roman" w:cs="Times New Roman" w:eastAsia="Times New Roman" w:hint="default"/>
                <w:sz w:val="18"/>
                <w:szCs w:val="18"/>
              </w:rPr>
              <w:t>Taproot</w:t>
            </w:r>
            <w:r>
              <w:rPr>
                <w:rFonts w:ascii="Times New Roman" w:hAnsi="Times New Roman" w:cs="Times New Roman" w:eastAsia="Times New Roman" w:hint="default"/>
                <w:spacing w:val="-7"/>
                <w:sz w:val="18"/>
                <w:szCs w:val="18"/>
              </w:rPr>
              <w:t> </w:t>
            </w:r>
            <w:r>
              <w:rPr>
                <w:rFonts w:ascii="Times New Roman" w:hAnsi="Times New Roman" w:cs="Times New Roman" w:eastAsia="Times New Roman" w:hint="default"/>
                <w:sz w:val="18"/>
                <w:szCs w:val="18"/>
              </w:rPr>
              <w:t>System</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Inc.</w:t>
            </w:r>
            <w:r>
              <w:rPr>
                <w:rFonts w:ascii="宋体" w:hAnsi="宋体" w:cs="宋体" w:eastAsia="宋体" w:hint="default"/>
                <w:sz w:val="18"/>
                <w:szCs w:val="18"/>
              </w:rPr>
              <w:t>手机业务</w:t>
            </w:r>
          </w:p>
        </w:tc>
        <w:tc>
          <w:tcPr>
            <w:tcW w:w="834" w:type="dxa"/>
            <w:tcBorders>
              <w:top w:val="nil" w:sz="6" w:space="0" w:color="auto"/>
              <w:left w:val="single" w:sz="6" w:space="0" w:color="000000"/>
              <w:bottom w:val="nil" w:sz="6" w:space="0" w:color="auto"/>
              <w:right w:val="single" w:sz="6" w:space="0" w:color="000000"/>
            </w:tcBorders>
          </w:tcPr>
          <w:p>
            <w:pPr>
              <w:pStyle w:val="TableParagraph"/>
              <w:spacing w:line="234" w:lineRule="exact" w:before="87"/>
              <w:ind w:left="49"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49" w:right="0"/>
              <w:jc w:val="left"/>
              <w:rPr>
                <w:rFonts w:ascii="宋体" w:hAnsi="宋体" w:cs="宋体" w:eastAsia="宋体" w:hint="default"/>
                <w:sz w:val="18"/>
                <w:szCs w:val="18"/>
              </w:rPr>
            </w:pPr>
            <w:r>
              <w:rPr>
                <w:rFonts w:ascii="宋体" w:hAnsi="宋体" w:cs="宋体" w:eastAsia="宋体" w:hint="default"/>
                <w:spacing w:val="14"/>
                <w:sz w:val="18"/>
                <w:szCs w:val="18"/>
              </w:rPr>
              <w:t>12月</w:t>
            </w:r>
            <w:r>
              <w:rPr>
                <w:rFonts w:ascii="宋体" w:hAnsi="宋体" w:cs="宋体" w:eastAsia="宋体" w:hint="default"/>
                <w:spacing w:val="-46"/>
                <w:sz w:val="18"/>
                <w:szCs w:val="18"/>
              </w:rPr>
              <w:t> </w:t>
            </w:r>
            <w:r>
              <w:rPr>
                <w:rFonts w:ascii="宋体" w:hAnsi="宋体" w:cs="宋体" w:eastAsia="宋体" w:hint="default"/>
                <w:sz w:val="18"/>
                <w:szCs w:val="18"/>
              </w:rPr>
              <w:t>28</w:t>
            </w:r>
          </w:p>
          <w:p>
            <w:pPr>
              <w:pStyle w:val="TableParagraph"/>
              <w:spacing w:line="235" w:lineRule="exact"/>
              <w:ind w:left="49"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2"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1" w:lineRule="exact"/>
              <w:ind w:left="84" w:right="0"/>
              <w:jc w:val="left"/>
              <w:rPr>
                <w:rFonts w:ascii="宋体" w:hAnsi="宋体" w:cs="宋体" w:eastAsia="宋体" w:hint="default"/>
                <w:sz w:val="18"/>
                <w:szCs w:val="18"/>
              </w:rPr>
            </w:pPr>
            <w:r>
              <w:rPr>
                <w:rFonts w:ascii="Arial" w:hAnsi="Arial" w:cs="Arial" w:eastAsia="Arial" w:hint="default"/>
                <w:sz w:val="18"/>
                <w:szCs w:val="18"/>
              </w:rPr>
              <w:t>310</w:t>
            </w:r>
            <w:r>
              <w:rPr>
                <w:rFonts w:ascii="Arial" w:hAnsi="Arial" w:cs="Arial" w:eastAsia="Arial" w:hint="default"/>
                <w:spacing w:val="-14"/>
                <w:sz w:val="18"/>
                <w:szCs w:val="18"/>
              </w:rPr>
              <w:t> </w:t>
            </w:r>
            <w:r>
              <w:rPr>
                <w:rFonts w:ascii="宋体" w:hAnsi="宋体" w:cs="宋体" w:eastAsia="宋体" w:hint="default"/>
                <w:sz w:val="18"/>
                <w:szCs w:val="18"/>
              </w:rPr>
              <w:t>万</w:t>
            </w:r>
          </w:p>
          <w:p>
            <w:pPr>
              <w:pStyle w:val="TableParagraph"/>
              <w:spacing w:line="228" w:lineRule="exact"/>
              <w:ind w:left="164"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976"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1172"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800"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598"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11" w:right="0"/>
              <w:jc w:val="both"/>
              <w:rPr>
                <w:rFonts w:ascii="宋体" w:hAnsi="宋体" w:cs="宋体" w:eastAsia="宋体" w:hint="default"/>
                <w:sz w:val="18"/>
                <w:szCs w:val="18"/>
              </w:rPr>
            </w:pPr>
            <w:r>
              <w:rPr>
                <w:rFonts w:ascii="宋体" w:hAnsi="宋体" w:cs="宋体" w:eastAsia="宋体" w:hint="default"/>
                <w:sz w:val="18"/>
                <w:szCs w:val="18"/>
              </w:rPr>
              <w:t>市场</w:t>
            </w:r>
          </w:p>
          <w:p>
            <w:pPr>
              <w:pStyle w:val="TableParagraph"/>
              <w:spacing w:line="237" w:lineRule="auto" w:before="1"/>
              <w:ind w:left="111" w:right="109"/>
              <w:jc w:val="both"/>
              <w:rPr>
                <w:rFonts w:ascii="宋体" w:hAnsi="宋体" w:cs="宋体" w:eastAsia="宋体" w:hint="default"/>
                <w:sz w:val="18"/>
                <w:szCs w:val="18"/>
              </w:rPr>
            </w:pPr>
            <w:r>
              <w:rPr>
                <w:rFonts w:ascii="宋体" w:hAnsi="宋体" w:cs="宋体" w:eastAsia="宋体" w:hint="default"/>
                <w:sz w:val="18"/>
                <w:szCs w:val="18"/>
              </w:rPr>
              <w:t>价格 以及 双方</w:t>
            </w:r>
          </w:p>
        </w:tc>
        <w:tc>
          <w:tcPr>
            <w:tcW w:w="937"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99"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不适用</w:t>
            </w:r>
          </w:p>
        </w:tc>
        <w:tc>
          <w:tcPr>
            <w:tcW w:w="581"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19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1" w:hRule="exact"/>
        </w:trPr>
        <w:tc>
          <w:tcPr>
            <w:tcW w:w="1074" w:type="dxa"/>
            <w:tcBorders>
              <w:top w:val="nil" w:sz="6" w:space="0" w:color="auto"/>
              <w:left w:val="single" w:sz="6" w:space="0" w:color="000000"/>
              <w:bottom w:val="single" w:sz="6" w:space="0" w:color="000000"/>
              <w:right w:val="single" w:sz="6" w:space="0" w:color="000000"/>
            </w:tcBorders>
          </w:tcPr>
          <w:p>
            <w:pPr/>
          </w:p>
        </w:tc>
        <w:tc>
          <w:tcPr>
            <w:tcW w:w="1288" w:type="dxa"/>
            <w:tcBorders>
              <w:top w:val="nil" w:sz="6" w:space="0" w:color="auto"/>
              <w:left w:val="single" w:sz="6" w:space="0" w:color="000000"/>
              <w:bottom w:val="single" w:sz="6" w:space="0" w:color="000000"/>
              <w:right w:val="single" w:sz="6" w:space="0" w:color="000000"/>
            </w:tcBorders>
          </w:tcPr>
          <w:p>
            <w:pPr/>
          </w:p>
        </w:tc>
        <w:tc>
          <w:tcPr>
            <w:tcW w:w="834" w:type="dxa"/>
            <w:tcBorders>
              <w:top w:val="nil" w:sz="6" w:space="0" w:color="auto"/>
              <w:left w:val="single" w:sz="6" w:space="0" w:color="000000"/>
              <w:bottom w:val="single" w:sz="6" w:space="0" w:color="000000"/>
              <w:right w:val="single" w:sz="6" w:space="0" w:color="000000"/>
            </w:tcBorders>
          </w:tcPr>
          <w:p>
            <w:pPr/>
          </w:p>
        </w:tc>
        <w:tc>
          <w:tcPr>
            <w:tcW w:w="702" w:type="dxa"/>
            <w:tcBorders>
              <w:top w:val="nil" w:sz="6" w:space="0" w:color="auto"/>
              <w:left w:val="single" w:sz="6" w:space="0" w:color="000000"/>
              <w:bottom w:val="single" w:sz="6" w:space="0" w:color="000000"/>
              <w:right w:val="single" w:sz="6" w:space="0" w:color="000000"/>
            </w:tcBorders>
          </w:tcPr>
          <w:p>
            <w:pPr/>
          </w:p>
        </w:tc>
        <w:tc>
          <w:tcPr>
            <w:tcW w:w="976" w:type="dxa"/>
            <w:tcBorders>
              <w:top w:val="nil" w:sz="6" w:space="0" w:color="auto"/>
              <w:left w:val="single" w:sz="6" w:space="0" w:color="000000"/>
              <w:bottom w:val="single" w:sz="6" w:space="0" w:color="000000"/>
              <w:right w:val="single" w:sz="6" w:space="0" w:color="000000"/>
            </w:tcBorders>
          </w:tcPr>
          <w:p>
            <w:pPr/>
          </w:p>
        </w:tc>
        <w:tc>
          <w:tcPr>
            <w:tcW w:w="1172" w:type="dxa"/>
            <w:tcBorders>
              <w:top w:val="nil" w:sz="6" w:space="0" w:color="auto"/>
              <w:left w:val="single" w:sz="6" w:space="0" w:color="000000"/>
              <w:bottom w:val="single" w:sz="6" w:space="0" w:color="000000"/>
              <w:right w:val="single" w:sz="6" w:space="0" w:color="000000"/>
            </w:tcBorders>
          </w:tcPr>
          <w:p>
            <w:pPr/>
          </w:p>
        </w:tc>
        <w:tc>
          <w:tcPr>
            <w:tcW w:w="800" w:type="dxa"/>
            <w:tcBorders>
              <w:top w:val="nil" w:sz="6" w:space="0" w:color="auto"/>
              <w:left w:val="single" w:sz="6" w:space="0" w:color="000000"/>
              <w:bottom w:val="single" w:sz="6" w:space="0" w:color="000000"/>
              <w:right w:val="single" w:sz="6" w:space="0" w:color="000000"/>
            </w:tcBorders>
          </w:tcPr>
          <w:p>
            <w:pPr/>
          </w:p>
        </w:tc>
        <w:tc>
          <w:tcPr>
            <w:tcW w:w="598"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协商</w:t>
            </w:r>
          </w:p>
        </w:tc>
        <w:tc>
          <w:tcPr>
            <w:tcW w:w="937" w:type="dxa"/>
            <w:tcBorders>
              <w:top w:val="nil" w:sz="6" w:space="0" w:color="auto"/>
              <w:left w:val="single" w:sz="6" w:space="0" w:color="000000"/>
              <w:bottom w:val="single" w:sz="6" w:space="0" w:color="000000"/>
              <w:right w:val="single" w:sz="6" w:space="0" w:color="000000"/>
            </w:tcBorders>
          </w:tcPr>
          <w:p>
            <w:pPr/>
          </w:p>
        </w:tc>
        <w:tc>
          <w:tcPr>
            <w:tcW w:w="838" w:type="dxa"/>
            <w:tcBorders>
              <w:top w:val="nil" w:sz="6" w:space="0" w:color="auto"/>
              <w:left w:val="single" w:sz="6" w:space="0" w:color="000000"/>
              <w:bottom w:val="single" w:sz="6" w:space="0" w:color="000000"/>
              <w:right w:val="single" w:sz="6" w:space="0" w:color="000000"/>
            </w:tcBorders>
          </w:tcPr>
          <w:p>
            <w:pPr/>
          </w:p>
        </w:tc>
        <w:tc>
          <w:tcPr>
            <w:tcW w:w="799" w:type="dxa"/>
            <w:tcBorders>
              <w:top w:val="nil" w:sz="6" w:space="0" w:color="auto"/>
              <w:left w:val="single" w:sz="6" w:space="0" w:color="000000"/>
              <w:bottom w:val="single" w:sz="6" w:space="0" w:color="000000"/>
              <w:right w:val="single" w:sz="6" w:space="0" w:color="000000"/>
            </w:tcBorders>
          </w:tcPr>
          <w:p>
            <w:pPr/>
          </w:p>
        </w:tc>
        <w:tc>
          <w:tcPr>
            <w:tcW w:w="581" w:type="dxa"/>
            <w:tcBorders>
              <w:top w:val="nil" w:sz="6" w:space="0" w:color="auto"/>
              <w:left w:val="single" w:sz="6" w:space="0" w:color="000000"/>
              <w:bottom w:val="single" w:sz="6" w:space="0" w:color="000000"/>
              <w:right w:val="single" w:sz="6" w:space="0" w:color="000000"/>
            </w:tcBorders>
          </w:tcPr>
          <w:p>
            <w:pPr/>
          </w:p>
        </w:tc>
      </w:tr>
      <w:tr>
        <w:trPr>
          <w:trHeight w:val="241" w:hRule="exact"/>
        </w:trPr>
        <w:tc>
          <w:tcPr>
            <w:tcW w:w="1074" w:type="dxa"/>
            <w:tcBorders>
              <w:top w:val="single" w:sz="6" w:space="0" w:color="000000"/>
              <w:left w:val="single" w:sz="6" w:space="0" w:color="000000"/>
              <w:bottom w:val="nil" w:sz="6" w:space="0" w:color="auto"/>
              <w:right w:val="single" w:sz="6" w:space="0" w:color="000000"/>
            </w:tcBorders>
          </w:tcPr>
          <w:p>
            <w:pPr/>
          </w:p>
        </w:tc>
        <w:tc>
          <w:tcPr>
            <w:tcW w:w="1288" w:type="dxa"/>
            <w:tcBorders>
              <w:top w:val="single" w:sz="6" w:space="0" w:color="000000"/>
              <w:left w:val="single" w:sz="6" w:space="0" w:color="000000"/>
              <w:bottom w:val="nil" w:sz="6" w:space="0" w:color="auto"/>
              <w:right w:val="single" w:sz="6" w:space="0" w:color="000000"/>
            </w:tcBorders>
          </w:tcPr>
          <w:p>
            <w:pPr/>
          </w:p>
        </w:tc>
        <w:tc>
          <w:tcPr>
            <w:tcW w:w="834" w:type="dxa"/>
            <w:tcBorders>
              <w:top w:val="single" w:sz="6" w:space="0" w:color="000000"/>
              <w:left w:val="single" w:sz="6" w:space="0" w:color="000000"/>
              <w:bottom w:val="nil" w:sz="6" w:space="0" w:color="auto"/>
              <w:right w:val="single" w:sz="6" w:space="0" w:color="000000"/>
            </w:tcBorders>
          </w:tcPr>
          <w:p>
            <w:pPr/>
          </w:p>
        </w:tc>
        <w:tc>
          <w:tcPr>
            <w:tcW w:w="702" w:type="dxa"/>
            <w:tcBorders>
              <w:top w:val="single" w:sz="6" w:space="0" w:color="000000"/>
              <w:left w:val="single" w:sz="6" w:space="0" w:color="000000"/>
              <w:bottom w:val="nil" w:sz="6" w:space="0" w:color="auto"/>
              <w:right w:val="single" w:sz="6" w:space="0" w:color="000000"/>
            </w:tcBorders>
          </w:tcPr>
          <w:p>
            <w:pPr/>
          </w:p>
        </w:tc>
        <w:tc>
          <w:tcPr>
            <w:tcW w:w="976" w:type="dxa"/>
            <w:tcBorders>
              <w:top w:val="single" w:sz="6" w:space="0" w:color="000000"/>
              <w:left w:val="single" w:sz="6" w:space="0" w:color="000000"/>
              <w:bottom w:val="nil" w:sz="6" w:space="0" w:color="auto"/>
              <w:right w:val="single" w:sz="6" w:space="0" w:color="000000"/>
            </w:tcBorders>
          </w:tcPr>
          <w:p>
            <w:pPr/>
          </w:p>
        </w:tc>
        <w:tc>
          <w:tcPr>
            <w:tcW w:w="1172" w:type="dxa"/>
            <w:tcBorders>
              <w:top w:val="single" w:sz="6" w:space="0" w:color="000000"/>
              <w:left w:val="single" w:sz="6" w:space="0" w:color="000000"/>
              <w:bottom w:val="nil" w:sz="6" w:space="0" w:color="auto"/>
              <w:right w:val="single" w:sz="6" w:space="0" w:color="000000"/>
            </w:tcBorders>
          </w:tcPr>
          <w:p>
            <w:pPr/>
          </w:p>
        </w:tc>
        <w:tc>
          <w:tcPr>
            <w:tcW w:w="800" w:type="dxa"/>
            <w:tcBorders>
              <w:top w:val="single" w:sz="6" w:space="0" w:color="000000"/>
              <w:left w:val="single" w:sz="6" w:space="0" w:color="000000"/>
              <w:bottom w:val="nil" w:sz="6" w:space="0" w:color="auto"/>
              <w:right w:val="single" w:sz="6" w:space="0" w:color="000000"/>
            </w:tcBorders>
          </w:tcPr>
          <w:p>
            <w:pPr/>
          </w:p>
        </w:tc>
        <w:tc>
          <w:tcPr>
            <w:tcW w:w="598"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根据</w:t>
            </w:r>
          </w:p>
        </w:tc>
        <w:tc>
          <w:tcPr>
            <w:tcW w:w="937" w:type="dxa"/>
            <w:tcBorders>
              <w:top w:val="single" w:sz="6" w:space="0" w:color="000000"/>
              <w:left w:val="single" w:sz="6" w:space="0" w:color="000000"/>
              <w:bottom w:val="nil" w:sz="6" w:space="0" w:color="auto"/>
              <w:right w:val="single" w:sz="6" w:space="0" w:color="000000"/>
            </w:tcBorders>
          </w:tcPr>
          <w:p>
            <w:pPr/>
          </w:p>
        </w:tc>
        <w:tc>
          <w:tcPr>
            <w:tcW w:w="838" w:type="dxa"/>
            <w:tcBorders>
              <w:top w:val="single" w:sz="6" w:space="0" w:color="000000"/>
              <w:left w:val="single" w:sz="6" w:space="0" w:color="000000"/>
              <w:bottom w:val="nil" w:sz="6" w:space="0" w:color="auto"/>
              <w:right w:val="single" w:sz="6" w:space="0" w:color="000000"/>
            </w:tcBorders>
          </w:tcPr>
          <w:p>
            <w:pPr/>
          </w:p>
        </w:tc>
        <w:tc>
          <w:tcPr>
            <w:tcW w:w="799" w:type="dxa"/>
            <w:tcBorders>
              <w:top w:val="single" w:sz="6" w:space="0" w:color="000000"/>
              <w:left w:val="single" w:sz="6" w:space="0" w:color="000000"/>
              <w:bottom w:val="nil" w:sz="6" w:space="0" w:color="auto"/>
              <w:right w:val="single" w:sz="6" w:space="0" w:color="000000"/>
            </w:tcBorders>
          </w:tcPr>
          <w:p>
            <w:pPr/>
          </w:p>
        </w:tc>
        <w:tc>
          <w:tcPr>
            <w:tcW w:w="581" w:type="dxa"/>
            <w:tcBorders>
              <w:top w:val="single" w:sz="6" w:space="0" w:color="000000"/>
              <w:left w:val="single" w:sz="6" w:space="0" w:color="000000"/>
              <w:bottom w:val="nil" w:sz="6" w:space="0" w:color="auto"/>
              <w:right w:val="single" w:sz="6" w:space="0" w:color="000000"/>
            </w:tcBorders>
          </w:tcPr>
          <w:p>
            <w:pPr/>
          </w:p>
        </w:tc>
      </w:tr>
      <w:tr>
        <w:trPr>
          <w:trHeight w:val="934" w:hRule="exact"/>
        </w:trPr>
        <w:tc>
          <w:tcPr>
            <w:tcW w:w="1074" w:type="dxa"/>
            <w:tcBorders>
              <w:top w:val="nil" w:sz="6" w:space="0" w:color="auto"/>
              <w:left w:val="single" w:sz="6" w:space="0" w:color="000000"/>
              <w:bottom w:val="nil" w:sz="6" w:space="0" w:color="auto"/>
              <w:right w:val="single" w:sz="6" w:space="0" w:color="000000"/>
            </w:tcBorders>
          </w:tcPr>
          <w:p>
            <w:pPr>
              <w:pStyle w:val="TableParagraph"/>
              <w:spacing w:line="237" w:lineRule="auto" w:before="88"/>
              <w:ind w:left="49" w:right="35"/>
              <w:jc w:val="both"/>
              <w:rPr>
                <w:rFonts w:ascii="宋体" w:hAnsi="宋体" w:cs="宋体" w:eastAsia="宋体" w:hint="default"/>
                <w:sz w:val="18"/>
                <w:szCs w:val="18"/>
              </w:rPr>
            </w:pPr>
            <w:r>
              <w:rPr>
                <w:rFonts w:ascii="宋体" w:hAnsi="宋体" w:cs="宋体" w:eastAsia="宋体" w:hint="default"/>
                <w:spacing w:val="14"/>
                <w:sz w:val="18"/>
                <w:szCs w:val="18"/>
              </w:rPr>
              <w:t>浙江海科电 力软件技术 </w:t>
            </w:r>
            <w:r>
              <w:rPr>
                <w:rFonts w:ascii="宋体" w:hAnsi="宋体" w:cs="宋体" w:eastAsia="宋体" w:hint="default"/>
                <w:sz w:val="18"/>
                <w:szCs w:val="18"/>
              </w:rPr>
              <w:t>有限公司</w:t>
            </w:r>
          </w:p>
        </w:tc>
        <w:tc>
          <w:tcPr>
            <w:tcW w:w="1288" w:type="dxa"/>
            <w:tcBorders>
              <w:top w:val="nil" w:sz="6" w:space="0" w:color="auto"/>
              <w:left w:val="single" w:sz="6" w:space="0" w:color="000000"/>
              <w:bottom w:val="nil" w:sz="6" w:space="0" w:color="auto"/>
              <w:right w:val="single" w:sz="6" w:space="0" w:color="000000"/>
            </w:tcBorders>
          </w:tcPr>
          <w:p>
            <w:pPr>
              <w:pStyle w:val="TableParagraph"/>
              <w:spacing w:line="237" w:lineRule="auto" w:before="88"/>
              <w:ind w:left="50" w:right="140"/>
              <w:jc w:val="both"/>
              <w:rPr>
                <w:rFonts w:ascii="宋体" w:hAnsi="宋体" w:cs="宋体" w:eastAsia="宋体" w:hint="default"/>
                <w:sz w:val="18"/>
                <w:szCs w:val="18"/>
              </w:rPr>
            </w:pPr>
            <w:r>
              <w:rPr>
                <w:rFonts w:ascii="宋体" w:hAnsi="宋体" w:cs="宋体" w:eastAsia="宋体" w:hint="default"/>
                <w:sz w:val="18"/>
                <w:szCs w:val="18"/>
              </w:rPr>
              <w:t>浙江海科电力 软件技术有限 公司电力业务</w:t>
            </w:r>
          </w:p>
        </w:tc>
        <w:tc>
          <w:tcPr>
            <w:tcW w:w="834" w:type="dxa"/>
            <w:tcBorders>
              <w:top w:val="nil" w:sz="6" w:space="0" w:color="auto"/>
              <w:left w:val="single" w:sz="6" w:space="0" w:color="000000"/>
              <w:bottom w:val="nil" w:sz="6" w:space="0" w:color="auto"/>
              <w:right w:val="single" w:sz="6" w:space="0" w:color="000000"/>
            </w:tcBorders>
          </w:tcPr>
          <w:p>
            <w:pPr>
              <w:pStyle w:val="TableParagraph"/>
              <w:spacing w:line="235" w:lineRule="exact" w:before="86"/>
              <w:ind w:left="49"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3" w:lineRule="exact"/>
              <w:ind w:left="49" w:right="0"/>
              <w:jc w:val="left"/>
              <w:rPr>
                <w:rFonts w:ascii="宋体" w:hAnsi="宋体" w:cs="宋体" w:eastAsia="宋体" w:hint="default"/>
                <w:sz w:val="18"/>
                <w:szCs w:val="18"/>
              </w:rPr>
            </w:pPr>
            <w:r>
              <w:rPr>
                <w:rFonts w:ascii="宋体" w:hAnsi="宋体" w:cs="宋体" w:eastAsia="宋体" w:hint="default"/>
                <w:spacing w:val="14"/>
                <w:sz w:val="18"/>
                <w:szCs w:val="18"/>
              </w:rPr>
              <w:t>12月</w:t>
            </w:r>
            <w:r>
              <w:rPr>
                <w:rFonts w:ascii="宋体" w:hAnsi="宋体" w:cs="宋体" w:eastAsia="宋体" w:hint="default"/>
                <w:spacing w:val="-46"/>
                <w:sz w:val="18"/>
                <w:szCs w:val="18"/>
              </w:rPr>
              <w:t> </w:t>
            </w:r>
            <w:r>
              <w:rPr>
                <w:rFonts w:ascii="宋体" w:hAnsi="宋体" w:cs="宋体" w:eastAsia="宋体" w:hint="default"/>
                <w:sz w:val="18"/>
                <w:szCs w:val="18"/>
              </w:rPr>
              <w:t>30</w:t>
            </w:r>
          </w:p>
          <w:p>
            <w:pPr>
              <w:pStyle w:val="TableParagraph"/>
              <w:spacing w:line="234" w:lineRule="exact"/>
              <w:ind w:left="49"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2"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193" w:lineRule="exact"/>
              <w:ind w:left="68" w:right="0"/>
              <w:jc w:val="left"/>
              <w:rPr>
                <w:rFonts w:ascii="Arial" w:hAnsi="Arial" w:cs="Arial" w:eastAsia="Arial" w:hint="default"/>
                <w:sz w:val="18"/>
                <w:szCs w:val="18"/>
              </w:rPr>
            </w:pPr>
            <w:r>
              <w:rPr>
                <w:rFonts w:ascii="Arial"/>
                <w:sz w:val="18"/>
              </w:rPr>
              <w:t>2326.8</w:t>
            </w:r>
          </w:p>
          <w:p>
            <w:pPr>
              <w:pStyle w:val="TableParagraph"/>
              <w:spacing w:line="222" w:lineRule="exact"/>
              <w:ind w:left="164"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976"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1172"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不适用</w:t>
            </w:r>
          </w:p>
        </w:tc>
        <w:tc>
          <w:tcPr>
            <w:tcW w:w="800"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598"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11" w:right="0"/>
              <w:jc w:val="both"/>
              <w:rPr>
                <w:rFonts w:ascii="宋体" w:hAnsi="宋体" w:cs="宋体" w:eastAsia="宋体" w:hint="default"/>
                <w:sz w:val="18"/>
                <w:szCs w:val="18"/>
              </w:rPr>
            </w:pPr>
            <w:r>
              <w:rPr>
                <w:rFonts w:ascii="宋体" w:hAnsi="宋体" w:cs="宋体" w:eastAsia="宋体" w:hint="default"/>
                <w:sz w:val="18"/>
                <w:szCs w:val="18"/>
              </w:rPr>
              <w:t>市场</w:t>
            </w:r>
          </w:p>
          <w:p>
            <w:pPr>
              <w:pStyle w:val="TableParagraph"/>
              <w:spacing w:line="240" w:lineRule="auto"/>
              <w:ind w:left="111" w:right="109"/>
              <w:jc w:val="both"/>
              <w:rPr>
                <w:rFonts w:ascii="宋体" w:hAnsi="宋体" w:cs="宋体" w:eastAsia="宋体" w:hint="default"/>
                <w:sz w:val="18"/>
                <w:szCs w:val="18"/>
              </w:rPr>
            </w:pPr>
            <w:r>
              <w:rPr>
                <w:rFonts w:ascii="宋体" w:hAnsi="宋体" w:cs="宋体" w:eastAsia="宋体" w:hint="default"/>
                <w:sz w:val="18"/>
                <w:szCs w:val="18"/>
              </w:rPr>
              <w:t>价格 以及 双方</w:t>
            </w:r>
          </w:p>
        </w:tc>
        <w:tc>
          <w:tcPr>
            <w:tcW w:w="937"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99"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581"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9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2" w:hRule="exact"/>
        </w:trPr>
        <w:tc>
          <w:tcPr>
            <w:tcW w:w="1074" w:type="dxa"/>
            <w:tcBorders>
              <w:top w:val="nil" w:sz="6" w:space="0" w:color="auto"/>
              <w:left w:val="single" w:sz="6" w:space="0" w:color="000000"/>
              <w:bottom w:val="single" w:sz="6" w:space="0" w:color="000000"/>
              <w:right w:val="single" w:sz="6" w:space="0" w:color="000000"/>
            </w:tcBorders>
          </w:tcPr>
          <w:p>
            <w:pPr/>
          </w:p>
        </w:tc>
        <w:tc>
          <w:tcPr>
            <w:tcW w:w="1288" w:type="dxa"/>
            <w:tcBorders>
              <w:top w:val="nil" w:sz="6" w:space="0" w:color="auto"/>
              <w:left w:val="single" w:sz="6" w:space="0" w:color="000000"/>
              <w:bottom w:val="single" w:sz="6" w:space="0" w:color="000000"/>
              <w:right w:val="single" w:sz="6" w:space="0" w:color="000000"/>
            </w:tcBorders>
          </w:tcPr>
          <w:p>
            <w:pPr/>
          </w:p>
        </w:tc>
        <w:tc>
          <w:tcPr>
            <w:tcW w:w="834" w:type="dxa"/>
            <w:tcBorders>
              <w:top w:val="nil" w:sz="6" w:space="0" w:color="auto"/>
              <w:left w:val="single" w:sz="6" w:space="0" w:color="000000"/>
              <w:bottom w:val="single" w:sz="6" w:space="0" w:color="000000"/>
              <w:right w:val="single" w:sz="6" w:space="0" w:color="000000"/>
            </w:tcBorders>
          </w:tcPr>
          <w:p>
            <w:pPr/>
          </w:p>
        </w:tc>
        <w:tc>
          <w:tcPr>
            <w:tcW w:w="702" w:type="dxa"/>
            <w:tcBorders>
              <w:top w:val="nil" w:sz="6" w:space="0" w:color="auto"/>
              <w:left w:val="single" w:sz="6" w:space="0" w:color="000000"/>
              <w:bottom w:val="single" w:sz="6" w:space="0" w:color="000000"/>
              <w:right w:val="single" w:sz="6" w:space="0" w:color="000000"/>
            </w:tcBorders>
          </w:tcPr>
          <w:p>
            <w:pPr/>
          </w:p>
        </w:tc>
        <w:tc>
          <w:tcPr>
            <w:tcW w:w="976" w:type="dxa"/>
            <w:tcBorders>
              <w:top w:val="nil" w:sz="6" w:space="0" w:color="auto"/>
              <w:left w:val="single" w:sz="6" w:space="0" w:color="000000"/>
              <w:bottom w:val="single" w:sz="6" w:space="0" w:color="000000"/>
              <w:right w:val="single" w:sz="6" w:space="0" w:color="000000"/>
            </w:tcBorders>
          </w:tcPr>
          <w:p>
            <w:pPr/>
          </w:p>
        </w:tc>
        <w:tc>
          <w:tcPr>
            <w:tcW w:w="1172" w:type="dxa"/>
            <w:tcBorders>
              <w:top w:val="nil" w:sz="6" w:space="0" w:color="auto"/>
              <w:left w:val="single" w:sz="6" w:space="0" w:color="000000"/>
              <w:bottom w:val="single" w:sz="6" w:space="0" w:color="000000"/>
              <w:right w:val="single" w:sz="6" w:space="0" w:color="000000"/>
            </w:tcBorders>
          </w:tcPr>
          <w:p>
            <w:pPr/>
          </w:p>
        </w:tc>
        <w:tc>
          <w:tcPr>
            <w:tcW w:w="800" w:type="dxa"/>
            <w:tcBorders>
              <w:top w:val="nil" w:sz="6" w:space="0" w:color="auto"/>
              <w:left w:val="single" w:sz="6" w:space="0" w:color="000000"/>
              <w:bottom w:val="single" w:sz="6" w:space="0" w:color="000000"/>
              <w:right w:val="single" w:sz="6" w:space="0" w:color="000000"/>
            </w:tcBorders>
          </w:tcPr>
          <w:p>
            <w:pPr/>
          </w:p>
        </w:tc>
        <w:tc>
          <w:tcPr>
            <w:tcW w:w="598"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协商</w:t>
            </w:r>
          </w:p>
        </w:tc>
        <w:tc>
          <w:tcPr>
            <w:tcW w:w="937" w:type="dxa"/>
            <w:tcBorders>
              <w:top w:val="nil" w:sz="6" w:space="0" w:color="auto"/>
              <w:left w:val="single" w:sz="6" w:space="0" w:color="000000"/>
              <w:bottom w:val="single" w:sz="6" w:space="0" w:color="000000"/>
              <w:right w:val="single" w:sz="6" w:space="0" w:color="000000"/>
            </w:tcBorders>
          </w:tcPr>
          <w:p>
            <w:pPr/>
          </w:p>
        </w:tc>
        <w:tc>
          <w:tcPr>
            <w:tcW w:w="838" w:type="dxa"/>
            <w:tcBorders>
              <w:top w:val="nil" w:sz="6" w:space="0" w:color="auto"/>
              <w:left w:val="single" w:sz="6" w:space="0" w:color="000000"/>
              <w:bottom w:val="single" w:sz="6" w:space="0" w:color="000000"/>
              <w:right w:val="single" w:sz="6" w:space="0" w:color="000000"/>
            </w:tcBorders>
          </w:tcPr>
          <w:p>
            <w:pPr/>
          </w:p>
        </w:tc>
        <w:tc>
          <w:tcPr>
            <w:tcW w:w="799" w:type="dxa"/>
            <w:tcBorders>
              <w:top w:val="nil" w:sz="6" w:space="0" w:color="auto"/>
              <w:left w:val="single" w:sz="6" w:space="0" w:color="000000"/>
              <w:bottom w:val="single" w:sz="6" w:space="0" w:color="000000"/>
              <w:right w:val="single" w:sz="6" w:space="0" w:color="000000"/>
            </w:tcBorders>
          </w:tcPr>
          <w:p>
            <w:pPr/>
          </w:p>
        </w:tc>
        <w:tc>
          <w:tcPr>
            <w:tcW w:w="581" w:type="dxa"/>
            <w:tcBorders>
              <w:top w:val="nil" w:sz="6" w:space="0" w:color="auto"/>
              <w:left w:val="single" w:sz="6" w:space="0" w:color="000000"/>
              <w:bottom w:val="single" w:sz="6" w:space="0" w:color="000000"/>
              <w:right w:val="single" w:sz="6" w:space="0" w:color="000000"/>
            </w:tcBorders>
          </w:tcPr>
          <w:p>
            <w:pPr/>
          </w:p>
        </w:tc>
      </w:tr>
    </w:tbl>
    <w:p>
      <w:pPr>
        <w:spacing w:line="240" w:lineRule="auto" w:before="11"/>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type w:val="continuous"/>
          <w:pgSz w:w="11910" w:h="16840"/>
          <w:pgMar w:top="1600" w:bottom="280" w:left="560" w:right="500"/>
        </w:sectPr>
      </w:pPr>
    </w:p>
    <w:p>
      <w:pPr>
        <w:pStyle w:val="BodyText"/>
        <w:spacing w:line="240" w:lineRule="auto" w:before="26"/>
        <w:ind w:left="800" w:right="-20"/>
        <w:jc w:val="left"/>
      </w:pPr>
      <w:r>
        <w:rPr/>
        <w:t>2、出售资产情况</w:t>
      </w:r>
    </w:p>
    <w:p>
      <w:pPr>
        <w:spacing w:line="240" w:lineRule="auto" w:before="0"/>
        <w:rPr>
          <w:rFonts w:ascii="宋体" w:hAnsi="宋体" w:cs="宋体" w:eastAsia="宋体" w:hint="default"/>
          <w:sz w:val="26"/>
          <w:szCs w:val="26"/>
        </w:rPr>
      </w:pPr>
      <w:r>
        <w:rPr/>
        <w:br w:type="column"/>
      </w:r>
      <w:r>
        <w:rPr>
          <w:rFonts w:ascii="宋体"/>
          <w:sz w:val="26"/>
        </w:rPr>
      </w:r>
    </w:p>
    <w:p>
      <w:pPr>
        <w:spacing w:before="0"/>
        <w:ind w:left="80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3"/>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560" w:right="500"/>
          <w:cols w:num="2" w:equalWidth="0">
            <w:col w:w="2601" w:space="4645"/>
            <w:col w:w="3604"/>
          </w:cols>
        </w:sectPr>
      </w:pPr>
    </w:p>
    <w:p>
      <w:pPr>
        <w:spacing w:line="240" w:lineRule="auto" w:before="7"/>
        <w:rPr>
          <w:rFonts w:ascii="宋体" w:hAnsi="宋体" w:cs="宋体" w:eastAsia="宋体" w:hint="default"/>
          <w:sz w:val="2"/>
          <w:szCs w:val="2"/>
        </w:rPr>
      </w:pPr>
    </w:p>
    <w:tbl>
      <w:tblPr>
        <w:tblW w:w="0" w:type="auto"/>
        <w:jc w:val="left"/>
        <w:tblInd w:w="292" w:type="dxa"/>
        <w:tblLayout w:type="fixed"/>
        <w:tblCellMar>
          <w:top w:w="0" w:type="dxa"/>
          <w:left w:w="0" w:type="dxa"/>
          <w:bottom w:w="0" w:type="dxa"/>
          <w:right w:w="0" w:type="dxa"/>
        </w:tblCellMar>
        <w:tblLook w:val="01E0"/>
      </w:tblPr>
      <w:tblGrid>
        <w:gridCol w:w="847"/>
        <w:gridCol w:w="1540"/>
        <w:gridCol w:w="1050"/>
        <w:gridCol w:w="872"/>
        <w:gridCol w:w="732"/>
        <w:gridCol w:w="889"/>
        <w:gridCol w:w="833"/>
        <w:gridCol w:w="508"/>
        <w:gridCol w:w="638"/>
        <w:gridCol w:w="637"/>
        <w:gridCol w:w="1019"/>
        <w:gridCol w:w="679"/>
      </w:tblGrid>
      <w:tr>
        <w:trPr>
          <w:trHeight w:val="2582"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5"/>
                <w:szCs w:val="25"/>
              </w:rPr>
            </w:pPr>
          </w:p>
          <w:p>
            <w:pPr>
              <w:pStyle w:val="TableParagraph"/>
              <w:spacing w:line="232" w:lineRule="exact"/>
              <w:ind w:left="234" w:right="234"/>
              <w:jc w:val="left"/>
              <w:rPr>
                <w:rFonts w:ascii="宋体" w:hAnsi="宋体" w:cs="宋体" w:eastAsia="宋体" w:hint="default"/>
                <w:sz w:val="18"/>
                <w:szCs w:val="18"/>
              </w:rPr>
            </w:pPr>
            <w:r>
              <w:rPr>
                <w:rFonts w:ascii="宋体" w:hAnsi="宋体" w:cs="宋体" w:eastAsia="宋体" w:hint="default"/>
                <w:b/>
                <w:bCs/>
                <w:sz w:val="18"/>
                <w:szCs w:val="18"/>
              </w:rPr>
              <w:t>交易</w:t>
            </w:r>
            <w:r>
              <w:rPr>
                <w:rFonts w:ascii="宋体" w:hAnsi="宋体" w:cs="宋体" w:eastAsia="宋体" w:hint="default"/>
                <w:b/>
                <w:bCs/>
                <w:spacing w:val="1"/>
                <w:w w:val="99"/>
                <w:sz w:val="18"/>
                <w:szCs w:val="18"/>
              </w:rPr>
              <w:t> </w:t>
            </w:r>
            <w:r>
              <w:rPr>
                <w:rFonts w:ascii="宋体" w:hAnsi="宋体" w:cs="宋体" w:eastAsia="宋体" w:hint="default"/>
                <w:b/>
                <w:bCs/>
                <w:sz w:val="18"/>
                <w:szCs w:val="18"/>
              </w:rPr>
              <w:t>对方</w:t>
            </w:r>
            <w:r>
              <w:rPr>
                <w:rFonts w:ascii="宋体" w:hAnsi="宋体" w:cs="宋体" w:eastAsia="宋体" w:hint="default"/>
                <w:sz w:val="18"/>
                <w:szCs w:val="18"/>
              </w:rPr>
            </w:r>
          </w:p>
        </w:tc>
        <w:tc>
          <w:tcPr>
            <w:tcW w:w="15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309" w:right="0"/>
              <w:jc w:val="left"/>
              <w:rPr>
                <w:rFonts w:ascii="宋体" w:hAnsi="宋体" w:cs="宋体" w:eastAsia="宋体" w:hint="default"/>
                <w:sz w:val="18"/>
                <w:szCs w:val="18"/>
              </w:rPr>
            </w:pPr>
            <w:r>
              <w:rPr>
                <w:rFonts w:ascii="宋体" w:hAnsi="宋体" w:cs="宋体" w:eastAsia="宋体" w:hint="default"/>
                <w:b/>
                <w:bCs/>
                <w:sz w:val="18"/>
                <w:szCs w:val="18"/>
              </w:rPr>
              <w:t>被出售资产</w:t>
            </w:r>
            <w:r>
              <w:rPr>
                <w:rFonts w:ascii="宋体" w:hAnsi="宋体" w:cs="宋体" w:eastAsia="宋体" w:hint="default"/>
                <w:sz w:val="18"/>
                <w:szCs w:val="18"/>
              </w:rPr>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出售日</w:t>
            </w:r>
            <w:r>
              <w:rPr>
                <w:rFonts w:ascii="宋体" w:hAnsi="宋体" w:cs="宋体" w:eastAsia="宋体" w:hint="default"/>
                <w:sz w:val="18"/>
                <w:szCs w:val="18"/>
              </w:rPr>
            </w:r>
          </w:p>
        </w:tc>
        <w:tc>
          <w:tcPr>
            <w:tcW w:w="8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5"/>
                <w:szCs w:val="25"/>
              </w:rPr>
            </w:pPr>
          </w:p>
          <w:p>
            <w:pPr>
              <w:pStyle w:val="TableParagraph"/>
              <w:spacing w:line="232" w:lineRule="exact"/>
              <w:ind w:left="247" w:right="246"/>
              <w:jc w:val="left"/>
              <w:rPr>
                <w:rFonts w:ascii="宋体" w:hAnsi="宋体" w:cs="宋体" w:eastAsia="宋体" w:hint="default"/>
                <w:sz w:val="18"/>
                <w:szCs w:val="18"/>
              </w:rPr>
            </w:pPr>
            <w:r>
              <w:rPr>
                <w:rFonts w:ascii="宋体" w:hAnsi="宋体" w:cs="宋体" w:eastAsia="宋体" w:hint="default"/>
                <w:b/>
                <w:bCs/>
                <w:sz w:val="18"/>
                <w:szCs w:val="18"/>
              </w:rPr>
              <w:t>出售</w:t>
            </w:r>
            <w:r>
              <w:rPr>
                <w:rFonts w:ascii="宋体" w:hAnsi="宋体" w:cs="宋体" w:eastAsia="宋体" w:hint="default"/>
                <w:b/>
                <w:bCs/>
                <w:spacing w:val="1"/>
                <w:w w:val="99"/>
                <w:sz w:val="18"/>
                <w:szCs w:val="18"/>
              </w:rPr>
              <w:t> </w:t>
            </w:r>
            <w:r>
              <w:rPr>
                <w:rFonts w:ascii="宋体" w:hAnsi="宋体" w:cs="宋体" w:eastAsia="宋体" w:hint="default"/>
                <w:b/>
                <w:bCs/>
                <w:sz w:val="18"/>
                <w:szCs w:val="18"/>
              </w:rPr>
              <w:t>价格</w:t>
            </w:r>
            <w:r>
              <w:rPr>
                <w:rFonts w:ascii="宋体" w:hAnsi="宋体" w:cs="宋体" w:eastAsia="宋体" w:hint="default"/>
                <w:sz w:val="18"/>
                <w:szCs w:val="18"/>
              </w:rPr>
            </w:r>
          </w:p>
        </w:tc>
        <w:tc>
          <w:tcPr>
            <w:tcW w:w="73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77" w:right="0"/>
              <w:jc w:val="both"/>
              <w:rPr>
                <w:rFonts w:ascii="宋体" w:hAnsi="宋体" w:cs="宋体" w:eastAsia="宋体" w:hint="default"/>
                <w:sz w:val="18"/>
                <w:szCs w:val="18"/>
              </w:rPr>
            </w:pPr>
            <w:r>
              <w:rPr>
                <w:rFonts w:ascii="宋体" w:hAnsi="宋体" w:cs="宋体" w:eastAsia="宋体" w:hint="default"/>
                <w:b/>
                <w:bCs/>
                <w:sz w:val="18"/>
                <w:szCs w:val="18"/>
              </w:rPr>
              <w:t>本年</w:t>
            </w:r>
            <w:r>
              <w:rPr>
                <w:rFonts w:ascii="宋体" w:hAnsi="宋体" w:cs="宋体" w:eastAsia="宋体" w:hint="default"/>
                <w:sz w:val="18"/>
                <w:szCs w:val="18"/>
              </w:rPr>
            </w:r>
          </w:p>
          <w:p>
            <w:pPr>
              <w:pStyle w:val="TableParagraph"/>
              <w:spacing w:line="237" w:lineRule="auto"/>
              <w:ind w:left="177" w:right="175"/>
              <w:jc w:val="both"/>
              <w:rPr>
                <w:rFonts w:ascii="宋体" w:hAnsi="宋体" w:cs="宋体" w:eastAsia="宋体" w:hint="default"/>
                <w:sz w:val="18"/>
                <w:szCs w:val="18"/>
              </w:rPr>
            </w:pPr>
            <w:r>
              <w:rPr>
                <w:rFonts w:ascii="宋体" w:hAnsi="宋体" w:cs="宋体" w:eastAsia="宋体" w:hint="default"/>
                <w:b/>
                <w:bCs/>
                <w:sz w:val="18"/>
                <w:szCs w:val="18"/>
              </w:rPr>
              <w:t>初起</w:t>
            </w:r>
            <w:r>
              <w:rPr>
                <w:rFonts w:ascii="宋体" w:hAnsi="宋体" w:cs="宋体" w:eastAsia="宋体" w:hint="default"/>
                <w:b/>
                <w:bCs/>
                <w:spacing w:val="1"/>
                <w:w w:val="99"/>
                <w:sz w:val="18"/>
                <w:szCs w:val="18"/>
              </w:rPr>
              <w:t> </w:t>
            </w:r>
            <w:r>
              <w:rPr>
                <w:rFonts w:ascii="宋体" w:hAnsi="宋体" w:cs="宋体" w:eastAsia="宋体" w:hint="default"/>
                <w:b/>
                <w:bCs/>
                <w:sz w:val="18"/>
                <w:szCs w:val="18"/>
              </w:rPr>
              <w:t>至出</w:t>
            </w:r>
            <w:r>
              <w:rPr>
                <w:rFonts w:ascii="宋体" w:hAnsi="宋体" w:cs="宋体" w:eastAsia="宋体" w:hint="default"/>
                <w:b/>
                <w:bCs/>
                <w:spacing w:val="1"/>
                <w:w w:val="99"/>
                <w:sz w:val="18"/>
                <w:szCs w:val="18"/>
              </w:rPr>
              <w:t> </w:t>
            </w:r>
            <w:r>
              <w:rPr>
                <w:rFonts w:ascii="宋体" w:hAnsi="宋体" w:cs="宋体" w:eastAsia="宋体" w:hint="default"/>
                <w:b/>
                <w:bCs/>
                <w:sz w:val="18"/>
                <w:szCs w:val="18"/>
              </w:rPr>
              <w:t>售日</w:t>
            </w:r>
            <w:r>
              <w:rPr>
                <w:rFonts w:ascii="宋体" w:hAnsi="宋体" w:cs="宋体" w:eastAsia="宋体" w:hint="default"/>
                <w:b/>
                <w:bCs/>
                <w:spacing w:val="1"/>
                <w:w w:val="99"/>
                <w:sz w:val="18"/>
                <w:szCs w:val="18"/>
              </w:rPr>
              <w:t> </w:t>
            </w:r>
            <w:r>
              <w:rPr>
                <w:rFonts w:ascii="宋体" w:hAnsi="宋体" w:cs="宋体" w:eastAsia="宋体" w:hint="default"/>
                <w:b/>
                <w:bCs/>
                <w:sz w:val="18"/>
                <w:szCs w:val="18"/>
              </w:rPr>
              <w:t>该资</w:t>
            </w:r>
            <w:r>
              <w:rPr>
                <w:rFonts w:ascii="宋体" w:hAnsi="宋体" w:cs="宋体" w:eastAsia="宋体" w:hint="default"/>
                <w:b/>
                <w:bCs/>
                <w:spacing w:val="1"/>
                <w:w w:val="99"/>
                <w:sz w:val="18"/>
                <w:szCs w:val="18"/>
              </w:rPr>
              <w:t> </w:t>
            </w:r>
            <w:r>
              <w:rPr>
                <w:rFonts w:ascii="宋体" w:hAnsi="宋体" w:cs="宋体" w:eastAsia="宋体" w:hint="default"/>
                <w:b/>
                <w:bCs/>
                <w:sz w:val="18"/>
                <w:szCs w:val="18"/>
              </w:rPr>
              <w:t>产为</w:t>
            </w:r>
            <w:r>
              <w:rPr>
                <w:rFonts w:ascii="宋体" w:hAnsi="宋体" w:cs="宋体" w:eastAsia="宋体" w:hint="default"/>
                <w:b/>
                <w:bCs/>
                <w:spacing w:val="1"/>
                <w:w w:val="99"/>
                <w:sz w:val="18"/>
                <w:szCs w:val="18"/>
              </w:rPr>
              <w:t> </w:t>
            </w:r>
            <w:r>
              <w:rPr>
                <w:rFonts w:ascii="宋体" w:hAnsi="宋体" w:cs="宋体" w:eastAsia="宋体" w:hint="default"/>
                <w:b/>
                <w:bCs/>
                <w:sz w:val="18"/>
                <w:szCs w:val="18"/>
              </w:rPr>
              <w:t>上市</w:t>
            </w:r>
            <w:r>
              <w:rPr>
                <w:rFonts w:ascii="宋体" w:hAnsi="宋体" w:cs="宋体" w:eastAsia="宋体" w:hint="default"/>
                <w:b/>
                <w:bCs/>
                <w:spacing w:val="1"/>
                <w:w w:val="99"/>
                <w:sz w:val="18"/>
                <w:szCs w:val="18"/>
              </w:rPr>
              <w:t> </w:t>
            </w:r>
            <w:r>
              <w:rPr>
                <w:rFonts w:ascii="宋体" w:hAnsi="宋体" w:cs="宋体" w:eastAsia="宋体" w:hint="default"/>
                <w:b/>
                <w:bCs/>
                <w:sz w:val="18"/>
                <w:szCs w:val="18"/>
              </w:rPr>
              <w:t>公司</w:t>
            </w:r>
            <w:r>
              <w:rPr>
                <w:rFonts w:ascii="宋体" w:hAnsi="宋体" w:cs="宋体" w:eastAsia="宋体" w:hint="default"/>
                <w:b/>
                <w:bCs/>
                <w:spacing w:val="1"/>
                <w:w w:val="99"/>
                <w:sz w:val="18"/>
                <w:szCs w:val="18"/>
              </w:rPr>
              <w:t> </w:t>
            </w:r>
            <w:r>
              <w:rPr>
                <w:rFonts w:ascii="宋体" w:hAnsi="宋体" w:cs="宋体" w:eastAsia="宋体" w:hint="default"/>
                <w:b/>
                <w:bCs/>
                <w:sz w:val="18"/>
                <w:szCs w:val="18"/>
              </w:rPr>
              <w:t>贡献</w:t>
            </w:r>
            <w:r>
              <w:rPr>
                <w:rFonts w:ascii="宋体" w:hAnsi="宋体" w:cs="宋体" w:eastAsia="宋体" w:hint="default"/>
                <w:b/>
                <w:bCs/>
                <w:spacing w:val="1"/>
                <w:w w:val="99"/>
                <w:sz w:val="18"/>
                <w:szCs w:val="18"/>
              </w:rPr>
              <w:t> </w:t>
            </w:r>
            <w:r>
              <w:rPr>
                <w:rFonts w:ascii="宋体" w:hAnsi="宋体" w:cs="宋体" w:eastAsia="宋体" w:hint="default"/>
                <w:b/>
                <w:bCs/>
                <w:sz w:val="18"/>
                <w:szCs w:val="18"/>
              </w:rPr>
              <w:t>的净</w:t>
            </w:r>
            <w:r>
              <w:rPr>
                <w:rFonts w:ascii="宋体" w:hAnsi="宋体" w:cs="宋体" w:eastAsia="宋体" w:hint="default"/>
                <w:b/>
                <w:bCs/>
                <w:spacing w:val="1"/>
                <w:w w:val="99"/>
                <w:sz w:val="18"/>
                <w:szCs w:val="18"/>
              </w:rPr>
              <w:t> </w:t>
            </w:r>
            <w:r>
              <w:rPr>
                <w:rFonts w:ascii="宋体" w:hAnsi="宋体" w:cs="宋体" w:eastAsia="宋体" w:hint="default"/>
                <w:b/>
                <w:bCs/>
                <w:sz w:val="18"/>
                <w:szCs w:val="18"/>
              </w:rPr>
              <w:t>利润</w:t>
            </w:r>
            <w:r>
              <w:rPr>
                <w:rFonts w:ascii="宋体" w:hAnsi="宋体" w:cs="宋体" w:eastAsia="宋体" w:hint="default"/>
                <w:sz w:val="18"/>
                <w:szCs w:val="18"/>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37" w:lineRule="auto"/>
              <w:ind w:left="166" w:right="162" w:hanging="2"/>
              <w:jc w:val="center"/>
              <w:rPr>
                <w:rFonts w:ascii="宋体" w:hAnsi="宋体" w:cs="宋体" w:eastAsia="宋体" w:hint="default"/>
                <w:sz w:val="18"/>
                <w:szCs w:val="18"/>
              </w:rPr>
            </w:pPr>
            <w:r>
              <w:rPr>
                <w:rFonts w:ascii="宋体" w:hAnsi="宋体" w:cs="宋体" w:eastAsia="宋体" w:hint="default"/>
                <w:b/>
                <w:bCs/>
                <w:sz w:val="18"/>
                <w:szCs w:val="18"/>
              </w:rPr>
              <w:t>出售</w:t>
            </w:r>
            <w:r>
              <w:rPr>
                <w:rFonts w:ascii="宋体" w:hAnsi="宋体" w:cs="宋体" w:eastAsia="宋体" w:hint="default"/>
                <w:b/>
                <w:bCs/>
                <w:spacing w:val="1"/>
                <w:w w:val="99"/>
                <w:sz w:val="18"/>
                <w:szCs w:val="18"/>
              </w:rPr>
              <w:t> </w:t>
            </w:r>
            <w:r>
              <w:rPr>
                <w:rFonts w:ascii="宋体" w:hAnsi="宋体" w:cs="宋体" w:eastAsia="宋体" w:hint="default"/>
                <w:b/>
                <w:bCs/>
                <w:sz w:val="18"/>
                <w:szCs w:val="18"/>
              </w:rPr>
              <w:t>产生的</w:t>
            </w:r>
            <w:r>
              <w:rPr>
                <w:rFonts w:ascii="宋体" w:hAnsi="宋体" w:cs="宋体" w:eastAsia="宋体" w:hint="default"/>
                <w:b/>
                <w:bCs/>
                <w:spacing w:val="1"/>
                <w:w w:val="99"/>
                <w:sz w:val="18"/>
                <w:szCs w:val="18"/>
              </w:rPr>
              <w:t> </w:t>
            </w:r>
            <w:r>
              <w:rPr>
                <w:rFonts w:ascii="宋体" w:hAnsi="宋体" w:cs="宋体" w:eastAsia="宋体" w:hint="default"/>
                <w:b/>
                <w:bCs/>
                <w:sz w:val="18"/>
                <w:szCs w:val="18"/>
              </w:rPr>
              <w:t>损益</w:t>
            </w:r>
            <w:r>
              <w:rPr>
                <w:rFonts w:ascii="宋体" w:hAnsi="宋体" w:cs="宋体" w:eastAsia="宋体" w:hint="default"/>
                <w:sz w:val="18"/>
                <w:szCs w:val="18"/>
              </w:rPr>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37" w:lineRule="auto"/>
              <w:ind w:left="136" w:right="137"/>
              <w:jc w:val="both"/>
              <w:rPr>
                <w:rFonts w:ascii="宋体" w:hAnsi="宋体" w:cs="宋体" w:eastAsia="宋体" w:hint="default"/>
                <w:sz w:val="18"/>
                <w:szCs w:val="18"/>
              </w:rPr>
            </w:pPr>
            <w:r>
              <w:rPr>
                <w:rFonts w:ascii="宋体" w:hAnsi="宋体" w:cs="宋体" w:eastAsia="宋体" w:hint="default"/>
                <w:b/>
                <w:bCs/>
                <w:sz w:val="18"/>
                <w:szCs w:val="18"/>
              </w:rPr>
              <w:t>是否为</w:t>
            </w:r>
            <w:r>
              <w:rPr>
                <w:rFonts w:ascii="宋体" w:hAnsi="宋体" w:cs="宋体" w:eastAsia="宋体" w:hint="default"/>
                <w:b/>
                <w:bCs/>
                <w:spacing w:val="1"/>
                <w:w w:val="99"/>
                <w:sz w:val="18"/>
                <w:szCs w:val="18"/>
              </w:rPr>
              <w:t> </w:t>
            </w:r>
            <w:r>
              <w:rPr>
                <w:rFonts w:ascii="宋体" w:hAnsi="宋体" w:cs="宋体" w:eastAsia="宋体" w:hint="default"/>
                <w:b/>
                <w:bCs/>
                <w:sz w:val="18"/>
                <w:szCs w:val="18"/>
              </w:rPr>
              <w:t>关联交</w:t>
            </w:r>
            <w:r>
              <w:rPr>
                <w:rFonts w:ascii="宋体" w:hAnsi="宋体" w:cs="宋体" w:eastAsia="宋体" w:hint="default"/>
                <w:b/>
                <w:bCs/>
                <w:spacing w:val="1"/>
                <w:w w:val="99"/>
                <w:sz w:val="18"/>
                <w:szCs w:val="18"/>
              </w:rPr>
              <w:t> </w:t>
            </w:r>
            <w:r>
              <w:rPr>
                <w:rFonts w:ascii="宋体" w:hAnsi="宋体" w:cs="宋体" w:eastAsia="宋体" w:hint="default"/>
                <w:b/>
                <w:bCs/>
                <w:sz w:val="18"/>
                <w:szCs w:val="18"/>
              </w:rPr>
              <w:t>易（如</w:t>
            </w:r>
            <w:r>
              <w:rPr>
                <w:rFonts w:ascii="宋体" w:hAnsi="宋体" w:cs="宋体" w:eastAsia="宋体" w:hint="default"/>
                <w:b/>
                <w:bCs/>
                <w:spacing w:val="1"/>
                <w:w w:val="99"/>
                <w:sz w:val="18"/>
                <w:szCs w:val="18"/>
              </w:rPr>
              <w:t> </w:t>
            </w:r>
            <w:r>
              <w:rPr>
                <w:rFonts w:ascii="宋体" w:hAnsi="宋体" w:cs="宋体" w:eastAsia="宋体" w:hint="default"/>
                <w:b/>
                <w:bCs/>
                <w:sz w:val="18"/>
                <w:szCs w:val="18"/>
              </w:rPr>
              <w:t>是，说</w:t>
            </w:r>
            <w:r>
              <w:rPr>
                <w:rFonts w:ascii="宋体" w:hAnsi="宋体" w:cs="宋体" w:eastAsia="宋体" w:hint="default"/>
                <w:b/>
                <w:bCs/>
                <w:spacing w:val="1"/>
                <w:w w:val="99"/>
                <w:sz w:val="18"/>
                <w:szCs w:val="18"/>
              </w:rPr>
              <w:t> </w:t>
            </w:r>
            <w:r>
              <w:rPr>
                <w:rFonts w:ascii="宋体" w:hAnsi="宋体" w:cs="宋体" w:eastAsia="宋体" w:hint="default"/>
                <w:b/>
                <w:bCs/>
                <w:sz w:val="18"/>
                <w:szCs w:val="18"/>
              </w:rPr>
              <w:t>明定价</w:t>
            </w:r>
            <w:r>
              <w:rPr>
                <w:rFonts w:ascii="宋体" w:hAnsi="宋体" w:cs="宋体" w:eastAsia="宋体" w:hint="default"/>
                <w:b/>
                <w:bCs/>
                <w:spacing w:val="1"/>
                <w:w w:val="99"/>
                <w:sz w:val="18"/>
                <w:szCs w:val="18"/>
              </w:rPr>
              <w:t> </w:t>
            </w:r>
            <w:r>
              <w:rPr>
                <w:rFonts w:ascii="宋体" w:hAnsi="宋体" w:cs="宋体" w:eastAsia="宋体" w:hint="default"/>
                <w:b/>
                <w:bCs/>
                <w:sz w:val="18"/>
                <w:szCs w:val="18"/>
              </w:rPr>
              <w:t>原则）</w:t>
            </w:r>
            <w:r>
              <w:rPr>
                <w:rFonts w:ascii="宋体" w:hAnsi="宋体" w:cs="宋体" w:eastAsia="宋体" w:hint="default"/>
                <w:sz w:val="18"/>
                <w:szCs w:val="18"/>
              </w:rPr>
            </w:r>
          </w:p>
        </w:tc>
        <w:tc>
          <w:tcPr>
            <w:tcW w:w="5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37" w:lineRule="auto"/>
              <w:ind w:left="155" w:right="155"/>
              <w:jc w:val="both"/>
              <w:rPr>
                <w:rFonts w:ascii="宋体" w:hAnsi="宋体" w:cs="宋体" w:eastAsia="宋体" w:hint="default"/>
                <w:sz w:val="18"/>
                <w:szCs w:val="18"/>
              </w:rPr>
            </w:pPr>
            <w:r>
              <w:rPr>
                <w:rFonts w:ascii="宋体" w:hAnsi="宋体" w:cs="宋体" w:eastAsia="宋体" w:hint="default"/>
                <w:b/>
                <w:bCs/>
                <w:sz w:val="18"/>
                <w:szCs w:val="18"/>
              </w:rPr>
              <w:t>资</w:t>
            </w:r>
            <w:r>
              <w:rPr>
                <w:rFonts w:ascii="宋体" w:hAnsi="宋体" w:cs="宋体" w:eastAsia="宋体" w:hint="default"/>
                <w:b/>
                <w:bCs/>
                <w:w w:val="99"/>
                <w:sz w:val="18"/>
                <w:szCs w:val="18"/>
              </w:rPr>
              <w:t> </w:t>
            </w:r>
            <w:r>
              <w:rPr>
                <w:rFonts w:ascii="宋体" w:hAnsi="宋体" w:cs="宋体" w:eastAsia="宋体" w:hint="default"/>
                <w:b/>
                <w:bCs/>
                <w:sz w:val="18"/>
                <w:szCs w:val="18"/>
              </w:rPr>
              <w:t>产</w:t>
            </w:r>
            <w:r>
              <w:rPr>
                <w:rFonts w:ascii="宋体" w:hAnsi="宋体" w:cs="宋体" w:eastAsia="宋体" w:hint="default"/>
                <w:b/>
                <w:bCs/>
                <w:w w:val="99"/>
                <w:sz w:val="18"/>
                <w:szCs w:val="18"/>
              </w:rPr>
              <w:t> </w:t>
            </w:r>
            <w:r>
              <w:rPr>
                <w:rFonts w:ascii="宋体" w:hAnsi="宋体" w:cs="宋体" w:eastAsia="宋体" w:hint="default"/>
                <w:b/>
                <w:bCs/>
                <w:sz w:val="18"/>
                <w:szCs w:val="18"/>
              </w:rPr>
              <w:t>出</w:t>
            </w:r>
            <w:r>
              <w:rPr>
                <w:rFonts w:ascii="宋体" w:hAnsi="宋体" w:cs="宋体" w:eastAsia="宋体" w:hint="default"/>
                <w:b/>
                <w:bCs/>
                <w:w w:val="99"/>
                <w:sz w:val="18"/>
                <w:szCs w:val="18"/>
              </w:rPr>
              <w:t> </w:t>
            </w:r>
            <w:r>
              <w:rPr>
                <w:rFonts w:ascii="宋体" w:hAnsi="宋体" w:cs="宋体" w:eastAsia="宋体" w:hint="default"/>
                <w:b/>
                <w:bCs/>
                <w:sz w:val="18"/>
                <w:szCs w:val="18"/>
              </w:rPr>
              <w:t>售</w:t>
            </w:r>
            <w:r>
              <w:rPr>
                <w:rFonts w:ascii="宋体" w:hAnsi="宋体" w:cs="宋体" w:eastAsia="宋体" w:hint="default"/>
                <w:b/>
                <w:bCs/>
                <w:w w:val="99"/>
                <w:sz w:val="18"/>
                <w:szCs w:val="18"/>
              </w:rPr>
              <w:t> </w:t>
            </w:r>
            <w:r>
              <w:rPr>
                <w:rFonts w:ascii="宋体" w:hAnsi="宋体" w:cs="宋体" w:eastAsia="宋体" w:hint="default"/>
                <w:b/>
                <w:bCs/>
                <w:sz w:val="18"/>
                <w:szCs w:val="18"/>
              </w:rPr>
              <w:t>定</w:t>
            </w:r>
            <w:r>
              <w:rPr>
                <w:rFonts w:ascii="宋体" w:hAnsi="宋体" w:cs="宋体" w:eastAsia="宋体" w:hint="default"/>
                <w:b/>
                <w:bCs/>
                <w:w w:val="99"/>
                <w:sz w:val="18"/>
                <w:szCs w:val="18"/>
              </w:rPr>
              <w:t> </w:t>
            </w:r>
            <w:r>
              <w:rPr>
                <w:rFonts w:ascii="宋体" w:hAnsi="宋体" w:cs="宋体" w:eastAsia="宋体" w:hint="default"/>
                <w:b/>
                <w:bCs/>
                <w:sz w:val="18"/>
                <w:szCs w:val="18"/>
              </w:rPr>
              <w:t>价</w:t>
            </w:r>
            <w:r>
              <w:rPr>
                <w:rFonts w:ascii="宋体" w:hAnsi="宋体" w:cs="宋体" w:eastAsia="宋体" w:hint="default"/>
                <w:b/>
                <w:bCs/>
                <w:w w:val="99"/>
                <w:sz w:val="18"/>
                <w:szCs w:val="18"/>
              </w:rPr>
              <w:t> </w:t>
            </w:r>
            <w:r>
              <w:rPr>
                <w:rFonts w:ascii="宋体" w:hAnsi="宋体" w:cs="宋体" w:eastAsia="宋体" w:hint="default"/>
                <w:b/>
                <w:bCs/>
                <w:sz w:val="18"/>
                <w:szCs w:val="18"/>
              </w:rPr>
              <w:t>原</w:t>
            </w:r>
            <w:r>
              <w:rPr>
                <w:rFonts w:ascii="宋体" w:hAnsi="宋体" w:cs="宋体" w:eastAsia="宋体" w:hint="default"/>
                <w:b/>
                <w:bCs/>
                <w:w w:val="99"/>
                <w:sz w:val="18"/>
                <w:szCs w:val="18"/>
              </w:rPr>
              <w:t> </w:t>
            </w:r>
            <w:r>
              <w:rPr>
                <w:rFonts w:ascii="宋体" w:hAnsi="宋体" w:cs="宋体" w:eastAsia="宋体" w:hint="default"/>
                <w:b/>
                <w:bCs/>
                <w:sz w:val="18"/>
                <w:szCs w:val="18"/>
              </w:rPr>
              <w:t>则</w:t>
            </w:r>
            <w:r>
              <w:rPr>
                <w:rFonts w:ascii="宋体" w:hAnsi="宋体" w:cs="宋体" w:eastAsia="宋体" w:hint="default"/>
                <w:sz w:val="18"/>
                <w:szCs w:val="18"/>
              </w:rPr>
            </w:r>
          </w:p>
        </w:tc>
        <w:tc>
          <w:tcPr>
            <w:tcW w:w="6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37" w:lineRule="auto"/>
              <w:ind w:left="130" w:right="128"/>
              <w:jc w:val="both"/>
              <w:rPr>
                <w:rFonts w:ascii="宋体" w:hAnsi="宋体" w:cs="宋体" w:eastAsia="宋体" w:hint="default"/>
                <w:sz w:val="18"/>
                <w:szCs w:val="18"/>
              </w:rPr>
            </w:pPr>
            <w:r>
              <w:rPr>
                <w:rFonts w:ascii="宋体" w:hAnsi="宋体" w:cs="宋体" w:eastAsia="宋体" w:hint="default"/>
                <w:b/>
                <w:bCs/>
                <w:sz w:val="18"/>
                <w:szCs w:val="18"/>
              </w:rPr>
              <w:t>所涉</w:t>
            </w:r>
            <w:r>
              <w:rPr>
                <w:rFonts w:ascii="宋体" w:hAnsi="宋体" w:cs="宋体" w:eastAsia="宋体" w:hint="default"/>
                <w:b/>
                <w:bCs/>
                <w:spacing w:val="1"/>
                <w:w w:val="99"/>
                <w:sz w:val="18"/>
                <w:szCs w:val="18"/>
              </w:rPr>
              <w:t> </w:t>
            </w:r>
            <w:r>
              <w:rPr>
                <w:rFonts w:ascii="宋体" w:hAnsi="宋体" w:cs="宋体" w:eastAsia="宋体" w:hint="default"/>
                <w:b/>
                <w:bCs/>
                <w:sz w:val="18"/>
                <w:szCs w:val="18"/>
              </w:rPr>
              <w:t>及的</w:t>
            </w:r>
            <w:r>
              <w:rPr>
                <w:rFonts w:ascii="宋体" w:hAnsi="宋体" w:cs="宋体" w:eastAsia="宋体" w:hint="default"/>
                <w:b/>
                <w:bCs/>
                <w:spacing w:val="1"/>
                <w:w w:val="99"/>
                <w:sz w:val="18"/>
                <w:szCs w:val="18"/>
              </w:rPr>
              <w:t> </w:t>
            </w:r>
            <w:r>
              <w:rPr>
                <w:rFonts w:ascii="宋体" w:hAnsi="宋体" w:cs="宋体" w:eastAsia="宋体" w:hint="default"/>
                <w:b/>
                <w:bCs/>
                <w:sz w:val="18"/>
                <w:szCs w:val="18"/>
              </w:rPr>
              <w:t>资产</w:t>
            </w:r>
            <w:r>
              <w:rPr>
                <w:rFonts w:ascii="宋体" w:hAnsi="宋体" w:cs="宋体" w:eastAsia="宋体" w:hint="default"/>
                <w:b/>
                <w:bCs/>
                <w:spacing w:val="1"/>
                <w:w w:val="99"/>
                <w:sz w:val="18"/>
                <w:szCs w:val="18"/>
              </w:rPr>
              <w:t> </w:t>
            </w:r>
            <w:r>
              <w:rPr>
                <w:rFonts w:ascii="宋体" w:hAnsi="宋体" w:cs="宋体" w:eastAsia="宋体" w:hint="default"/>
                <w:b/>
                <w:bCs/>
                <w:sz w:val="18"/>
                <w:szCs w:val="18"/>
              </w:rPr>
              <w:t>产权</w:t>
            </w:r>
            <w:r>
              <w:rPr>
                <w:rFonts w:ascii="宋体" w:hAnsi="宋体" w:cs="宋体" w:eastAsia="宋体" w:hint="default"/>
                <w:b/>
                <w:bCs/>
                <w:spacing w:val="1"/>
                <w:w w:val="99"/>
                <w:sz w:val="18"/>
                <w:szCs w:val="18"/>
              </w:rPr>
              <w:t> </w:t>
            </w:r>
            <w:r>
              <w:rPr>
                <w:rFonts w:ascii="宋体" w:hAnsi="宋体" w:cs="宋体" w:eastAsia="宋体" w:hint="default"/>
                <w:b/>
                <w:bCs/>
                <w:sz w:val="18"/>
                <w:szCs w:val="18"/>
              </w:rPr>
              <w:t>是否</w:t>
            </w:r>
            <w:r>
              <w:rPr>
                <w:rFonts w:ascii="宋体" w:hAnsi="宋体" w:cs="宋体" w:eastAsia="宋体" w:hint="default"/>
                <w:b/>
                <w:bCs/>
                <w:spacing w:val="1"/>
                <w:w w:val="99"/>
                <w:sz w:val="18"/>
                <w:szCs w:val="18"/>
              </w:rPr>
              <w:t> </w:t>
            </w:r>
            <w:r>
              <w:rPr>
                <w:rFonts w:ascii="宋体" w:hAnsi="宋体" w:cs="宋体" w:eastAsia="宋体" w:hint="default"/>
                <w:b/>
                <w:bCs/>
                <w:sz w:val="18"/>
                <w:szCs w:val="18"/>
              </w:rPr>
              <w:t>已全</w:t>
            </w:r>
            <w:r>
              <w:rPr>
                <w:rFonts w:ascii="宋体" w:hAnsi="宋体" w:cs="宋体" w:eastAsia="宋体" w:hint="default"/>
                <w:b/>
                <w:bCs/>
                <w:spacing w:val="1"/>
                <w:w w:val="99"/>
                <w:sz w:val="18"/>
                <w:szCs w:val="18"/>
              </w:rPr>
              <w:t> </w:t>
            </w:r>
            <w:r>
              <w:rPr>
                <w:rFonts w:ascii="宋体" w:hAnsi="宋体" w:cs="宋体" w:eastAsia="宋体" w:hint="default"/>
                <w:b/>
                <w:bCs/>
                <w:sz w:val="18"/>
                <w:szCs w:val="18"/>
              </w:rPr>
              <w:t>部过</w:t>
            </w:r>
            <w:r>
              <w:rPr>
                <w:rFonts w:ascii="宋体" w:hAnsi="宋体" w:cs="宋体" w:eastAsia="宋体" w:hint="default"/>
                <w:b/>
                <w:bCs/>
                <w:spacing w:val="1"/>
                <w:w w:val="99"/>
                <w:sz w:val="18"/>
                <w:szCs w:val="18"/>
              </w:rPr>
              <w:t> </w:t>
            </w:r>
            <w:r>
              <w:rPr>
                <w:rFonts w:ascii="宋体" w:hAnsi="宋体" w:cs="宋体" w:eastAsia="宋体" w:hint="default"/>
                <w:b/>
                <w:bCs/>
                <w:sz w:val="18"/>
                <w:szCs w:val="18"/>
              </w:rPr>
              <w:t>户</w:t>
            </w:r>
            <w:r>
              <w:rPr>
                <w:rFonts w:ascii="宋体" w:hAnsi="宋体" w:cs="宋体" w:eastAsia="宋体" w:hint="default"/>
                <w:sz w:val="18"/>
                <w:szCs w:val="18"/>
              </w:rPr>
            </w:r>
          </w:p>
        </w:tc>
        <w:tc>
          <w:tcPr>
            <w:tcW w:w="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37" w:lineRule="auto"/>
              <w:ind w:left="130" w:right="127"/>
              <w:jc w:val="both"/>
              <w:rPr>
                <w:rFonts w:ascii="宋体" w:hAnsi="宋体" w:cs="宋体" w:eastAsia="宋体" w:hint="default"/>
                <w:sz w:val="18"/>
                <w:szCs w:val="18"/>
              </w:rPr>
            </w:pPr>
            <w:r>
              <w:rPr>
                <w:rFonts w:ascii="宋体" w:hAnsi="宋体" w:cs="宋体" w:eastAsia="宋体" w:hint="default"/>
                <w:b/>
                <w:bCs/>
                <w:sz w:val="18"/>
                <w:szCs w:val="18"/>
              </w:rPr>
              <w:t>所涉</w:t>
            </w:r>
            <w:r>
              <w:rPr>
                <w:rFonts w:ascii="宋体" w:hAnsi="宋体" w:cs="宋体" w:eastAsia="宋体" w:hint="default"/>
                <w:b/>
                <w:bCs/>
                <w:spacing w:val="1"/>
                <w:w w:val="99"/>
                <w:sz w:val="18"/>
                <w:szCs w:val="18"/>
              </w:rPr>
              <w:t> </w:t>
            </w:r>
            <w:r>
              <w:rPr>
                <w:rFonts w:ascii="宋体" w:hAnsi="宋体" w:cs="宋体" w:eastAsia="宋体" w:hint="default"/>
                <w:b/>
                <w:bCs/>
                <w:sz w:val="18"/>
                <w:szCs w:val="18"/>
              </w:rPr>
              <w:t>及的</w:t>
            </w:r>
            <w:r>
              <w:rPr>
                <w:rFonts w:ascii="宋体" w:hAnsi="宋体" w:cs="宋体" w:eastAsia="宋体" w:hint="default"/>
                <w:b/>
                <w:bCs/>
                <w:spacing w:val="1"/>
                <w:w w:val="99"/>
                <w:sz w:val="18"/>
                <w:szCs w:val="18"/>
              </w:rPr>
              <w:t> </w:t>
            </w:r>
            <w:r>
              <w:rPr>
                <w:rFonts w:ascii="宋体" w:hAnsi="宋体" w:cs="宋体" w:eastAsia="宋体" w:hint="default"/>
                <w:b/>
                <w:bCs/>
                <w:sz w:val="18"/>
                <w:szCs w:val="18"/>
              </w:rPr>
              <w:t>债权</w:t>
            </w:r>
            <w:r>
              <w:rPr>
                <w:rFonts w:ascii="宋体" w:hAnsi="宋体" w:cs="宋体" w:eastAsia="宋体" w:hint="default"/>
                <w:b/>
                <w:bCs/>
                <w:spacing w:val="1"/>
                <w:w w:val="99"/>
                <w:sz w:val="18"/>
                <w:szCs w:val="18"/>
              </w:rPr>
              <w:t> </w:t>
            </w:r>
            <w:r>
              <w:rPr>
                <w:rFonts w:ascii="宋体" w:hAnsi="宋体" w:cs="宋体" w:eastAsia="宋体" w:hint="default"/>
                <w:b/>
                <w:bCs/>
                <w:sz w:val="18"/>
                <w:szCs w:val="18"/>
              </w:rPr>
              <w:t>债务</w:t>
            </w:r>
            <w:r>
              <w:rPr>
                <w:rFonts w:ascii="宋体" w:hAnsi="宋体" w:cs="宋体" w:eastAsia="宋体" w:hint="default"/>
                <w:b/>
                <w:bCs/>
                <w:spacing w:val="1"/>
                <w:w w:val="99"/>
                <w:sz w:val="18"/>
                <w:szCs w:val="18"/>
              </w:rPr>
              <w:t> </w:t>
            </w:r>
            <w:r>
              <w:rPr>
                <w:rFonts w:ascii="宋体" w:hAnsi="宋体" w:cs="宋体" w:eastAsia="宋体" w:hint="default"/>
                <w:b/>
                <w:bCs/>
                <w:sz w:val="18"/>
                <w:szCs w:val="18"/>
              </w:rPr>
              <w:t>是否</w:t>
            </w:r>
            <w:r>
              <w:rPr>
                <w:rFonts w:ascii="宋体" w:hAnsi="宋体" w:cs="宋体" w:eastAsia="宋体" w:hint="default"/>
                <w:b/>
                <w:bCs/>
                <w:spacing w:val="1"/>
                <w:w w:val="99"/>
                <w:sz w:val="18"/>
                <w:szCs w:val="18"/>
              </w:rPr>
              <w:t> </w:t>
            </w:r>
            <w:r>
              <w:rPr>
                <w:rFonts w:ascii="宋体" w:hAnsi="宋体" w:cs="宋体" w:eastAsia="宋体" w:hint="default"/>
                <w:b/>
                <w:bCs/>
                <w:sz w:val="18"/>
                <w:szCs w:val="18"/>
              </w:rPr>
              <w:t>已全</w:t>
            </w:r>
            <w:r>
              <w:rPr>
                <w:rFonts w:ascii="宋体" w:hAnsi="宋体" w:cs="宋体" w:eastAsia="宋体" w:hint="default"/>
                <w:b/>
                <w:bCs/>
                <w:spacing w:val="1"/>
                <w:w w:val="99"/>
                <w:sz w:val="18"/>
                <w:szCs w:val="18"/>
              </w:rPr>
              <w:t> </w:t>
            </w:r>
            <w:r>
              <w:rPr>
                <w:rFonts w:ascii="宋体" w:hAnsi="宋体" w:cs="宋体" w:eastAsia="宋体" w:hint="default"/>
                <w:b/>
                <w:bCs/>
                <w:sz w:val="18"/>
                <w:szCs w:val="18"/>
              </w:rPr>
              <w:t>部转</w:t>
            </w:r>
            <w:r>
              <w:rPr>
                <w:rFonts w:ascii="宋体" w:hAnsi="宋体" w:cs="宋体" w:eastAsia="宋体" w:hint="default"/>
                <w:b/>
                <w:bCs/>
                <w:spacing w:val="1"/>
                <w:w w:val="99"/>
                <w:sz w:val="18"/>
                <w:szCs w:val="18"/>
              </w:rPr>
              <w:t> </w:t>
            </w:r>
            <w:r>
              <w:rPr>
                <w:rFonts w:ascii="宋体" w:hAnsi="宋体" w:cs="宋体" w:eastAsia="宋体" w:hint="default"/>
                <w:b/>
                <w:bCs/>
                <w:sz w:val="18"/>
                <w:szCs w:val="18"/>
              </w:rPr>
              <w:t>移</w:t>
            </w:r>
            <w:r>
              <w:rPr>
                <w:rFonts w:ascii="宋体" w:hAnsi="宋体" w:cs="宋体" w:eastAsia="宋体" w:hint="default"/>
                <w:sz w:val="18"/>
                <w:szCs w:val="18"/>
              </w:rPr>
            </w:r>
          </w:p>
        </w:tc>
        <w:tc>
          <w:tcPr>
            <w:tcW w:w="10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37" w:lineRule="auto"/>
              <w:ind w:left="100" w:right="86" w:firstLine="39"/>
              <w:jc w:val="both"/>
              <w:rPr>
                <w:rFonts w:ascii="宋体" w:hAnsi="宋体" w:cs="宋体" w:eastAsia="宋体" w:hint="default"/>
                <w:sz w:val="18"/>
                <w:szCs w:val="18"/>
              </w:rPr>
            </w:pPr>
            <w:r>
              <w:rPr>
                <w:rFonts w:ascii="宋体" w:hAnsi="宋体" w:cs="宋体" w:eastAsia="宋体" w:hint="default"/>
                <w:b/>
                <w:bCs/>
                <w:sz w:val="18"/>
                <w:szCs w:val="18"/>
              </w:rPr>
              <w:t>该资产出</w:t>
            </w:r>
            <w:r>
              <w:rPr>
                <w:rFonts w:ascii="宋体" w:hAnsi="宋体" w:cs="宋体" w:eastAsia="宋体" w:hint="default"/>
                <w:b/>
                <w:bCs/>
                <w:w w:val="99"/>
                <w:sz w:val="18"/>
                <w:szCs w:val="18"/>
              </w:rPr>
              <w:t> </w:t>
            </w:r>
            <w:r>
              <w:rPr>
                <w:rFonts w:ascii="宋体" w:hAnsi="宋体" w:cs="宋体" w:eastAsia="宋体" w:hint="default"/>
                <w:b/>
                <w:bCs/>
                <w:sz w:val="18"/>
                <w:szCs w:val="18"/>
              </w:rPr>
              <w:t>售贡献的</w:t>
            </w:r>
            <w:r>
              <w:rPr>
                <w:rFonts w:ascii="宋体" w:hAnsi="宋体" w:cs="宋体" w:eastAsia="宋体" w:hint="default"/>
                <w:b/>
                <w:bCs/>
                <w:w w:val="99"/>
                <w:sz w:val="18"/>
                <w:szCs w:val="18"/>
              </w:rPr>
              <w:t> </w:t>
            </w:r>
            <w:r>
              <w:rPr>
                <w:rFonts w:ascii="宋体" w:hAnsi="宋体" w:cs="宋体" w:eastAsia="宋体" w:hint="default"/>
                <w:b/>
                <w:bCs/>
                <w:sz w:val="18"/>
                <w:szCs w:val="18"/>
              </w:rPr>
              <w:t>净利润占</w:t>
            </w:r>
            <w:r>
              <w:rPr>
                <w:rFonts w:ascii="宋体" w:hAnsi="宋体" w:cs="宋体" w:eastAsia="宋体" w:hint="default"/>
                <w:b/>
                <w:bCs/>
                <w:w w:val="99"/>
                <w:sz w:val="18"/>
                <w:szCs w:val="18"/>
              </w:rPr>
              <w:t> </w:t>
            </w:r>
            <w:r>
              <w:rPr>
                <w:rFonts w:ascii="宋体" w:hAnsi="宋体" w:cs="宋体" w:eastAsia="宋体" w:hint="default"/>
                <w:b/>
                <w:bCs/>
                <w:sz w:val="18"/>
                <w:szCs w:val="18"/>
              </w:rPr>
              <w:t>上市公司</w:t>
            </w:r>
            <w:r>
              <w:rPr>
                <w:rFonts w:ascii="宋体" w:hAnsi="宋体" w:cs="宋体" w:eastAsia="宋体" w:hint="default"/>
                <w:b/>
                <w:bCs/>
                <w:w w:val="99"/>
                <w:sz w:val="18"/>
                <w:szCs w:val="18"/>
              </w:rPr>
              <w:t> </w:t>
            </w:r>
            <w:r>
              <w:rPr>
                <w:rFonts w:ascii="宋体" w:hAnsi="宋体" w:cs="宋体" w:eastAsia="宋体" w:hint="default"/>
                <w:b/>
                <w:bCs/>
                <w:sz w:val="18"/>
                <w:szCs w:val="18"/>
              </w:rPr>
              <w:t>净利润的</w:t>
            </w:r>
            <w:r>
              <w:rPr>
                <w:rFonts w:ascii="宋体" w:hAnsi="宋体" w:cs="宋体" w:eastAsia="宋体" w:hint="default"/>
                <w:b/>
                <w:bCs/>
                <w:w w:val="99"/>
                <w:sz w:val="18"/>
                <w:szCs w:val="18"/>
              </w:rPr>
              <w:t> </w:t>
            </w:r>
            <w:r>
              <w:rPr>
                <w:rFonts w:ascii="宋体" w:hAnsi="宋体" w:cs="宋体" w:eastAsia="宋体" w:hint="default"/>
                <w:b/>
                <w:bCs/>
                <w:sz w:val="18"/>
                <w:szCs w:val="18"/>
              </w:rPr>
              <w:t>比例（%）</w:t>
            </w:r>
            <w:r>
              <w:rPr>
                <w:rFonts w:ascii="宋体" w:hAnsi="宋体" w:cs="宋体" w:eastAsia="宋体" w:hint="default"/>
                <w:sz w:val="18"/>
                <w:szCs w:val="18"/>
              </w:rPr>
            </w:r>
          </w:p>
        </w:tc>
        <w:tc>
          <w:tcPr>
            <w:tcW w:w="6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5"/>
                <w:szCs w:val="25"/>
              </w:rPr>
            </w:pPr>
          </w:p>
          <w:p>
            <w:pPr>
              <w:pStyle w:val="TableParagraph"/>
              <w:spacing w:line="232" w:lineRule="exact"/>
              <w:ind w:left="151" w:right="147" w:firstLine="1"/>
              <w:jc w:val="left"/>
              <w:rPr>
                <w:rFonts w:ascii="宋体" w:hAnsi="宋体" w:cs="宋体" w:eastAsia="宋体" w:hint="default"/>
                <w:sz w:val="18"/>
                <w:szCs w:val="18"/>
              </w:rPr>
            </w:pPr>
            <w:r>
              <w:rPr>
                <w:rFonts w:ascii="宋体" w:hAnsi="宋体" w:cs="宋体" w:eastAsia="宋体" w:hint="default"/>
                <w:b/>
                <w:bCs/>
                <w:sz w:val="18"/>
                <w:szCs w:val="18"/>
              </w:rPr>
              <w:t>关联</w:t>
            </w:r>
            <w:r>
              <w:rPr>
                <w:rFonts w:ascii="宋体" w:hAnsi="宋体" w:cs="宋体" w:eastAsia="宋体" w:hint="default"/>
                <w:b/>
                <w:bCs/>
                <w:spacing w:val="1"/>
                <w:w w:val="99"/>
                <w:sz w:val="18"/>
                <w:szCs w:val="18"/>
              </w:rPr>
              <w:t> </w:t>
            </w:r>
            <w:r>
              <w:rPr>
                <w:rFonts w:ascii="宋体" w:hAnsi="宋体" w:cs="宋体" w:eastAsia="宋体" w:hint="default"/>
                <w:b/>
                <w:bCs/>
                <w:sz w:val="18"/>
                <w:szCs w:val="18"/>
              </w:rPr>
              <w:t>关系</w:t>
            </w:r>
            <w:r>
              <w:rPr>
                <w:rFonts w:ascii="宋体" w:hAnsi="宋体" w:cs="宋体" w:eastAsia="宋体" w:hint="default"/>
                <w:sz w:val="18"/>
                <w:szCs w:val="18"/>
              </w:rPr>
            </w:r>
          </w:p>
        </w:tc>
      </w:tr>
      <w:tr>
        <w:trPr>
          <w:trHeight w:val="949" w:hRule="exact"/>
        </w:trPr>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45" w:right="0"/>
              <w:jc w:val="both"/>
              <w:rPr>
                <w:rFonts w:ascii="宋体" w:hAnsi="宋体" w:cs="宋体" w:eastAsia="宋体" w:hint="default"/>
                <w:sz w:val="18"/>
                <w:szCs w:val="18"/>
              </w:rPr>
            </w:pPr>
            <w:r>
              <w:rPr>
                <w:rFonts w:ascii="宋体" w:hAnsi="宋体" w:cs="宋体" w:eastAsia="宋体" w:hint="default"/>
                <w:sz w:val="18"/>
                <w:szCs w:val="18"/>
              </w:rPr>
              <w:t>大连雅</w:t>
            </w:r>
          </w:p>
          <w:p>
            <w:pPr>
              <w:pStyle w:val="TableParagraph"/>
              <w:spacing w:line="237" w:lineRule="auto" w:before="1"/>
              <w:ind w:left="145" w:right="145"/>
              <w:jc w:val="both"/>
              <w:rPr>
                <w:rFonts w:ascii="宋体" w:hAnsi="宋体" w:cs="宋体" w:eastAsia="宋体" w:hint="default"/>
                <w:sz w:val="18"/>
                <w:szCs w:val="18"/>
              </w:rPr>
            </w:pPr>
            <w:r>
              <w:rPr>
                <w:rFonts w:ascii="宋体" w:hAnsi="宋体" w:cs="宋体" w:eastAsia="宋体" w:hint="default"/>
                <w:sz w:val="18"/>
                <w:szCs w:val="18"/>
              </w:rPr>
              <w:t>迪信息 技术有 限公司</w:t>
            </w:r>
          </w:p>
        </w:tc>
        <w:tc>
          <w:tcPr>
            <w:tcW w:w="1540" w:type="dxa"/>
            <w:tcBorders>
              <w:top w:val="single" w:sz="6" w:space="0" w:color="000000"/>
              <w:left w:val="single" w:sz="6" w:space="0" w:color="000000"/>
              <w:bottom w:val="single" w:sz="6" w:space="0" w:color="000000"/>
              <w:right w:val="single" w:sz="6" w:space="0" w:color="000000"/>
            </w:tcBorders>
          </w:tcPr>
          <w:p>
            <w:pPr>
              <w:pStyle w:val="TableParagraph"/>
              <w:spacing w:line="232" w:lineRule="auto" w:before="93"/>
              <w:ind w:left="100" w:right="98"/>
              <w:jc w:val="both"/>
              <w:rPr>
                <w:rFonts w:ascii="宋体" w:hAnsi="宋体" w:cs="宋体" w:eastAsia="宋体" w:hint="default"/>
                <w:sz w:val="18"/>
                <w:szCs w:val="18"/>
              </w:rPr>
            </w:pPr>
            <w:r>
              <w:rPr>
                <w:rFonts w:ascii="宋体" w:hAnsi="宋体" w:cs="宋体" w:eastAsia="宋体" w:hint="default"/>
                <w:spacing w:val="8"/>
                <w:sz w:val="18"/>
                <w:szCs w:val="18"/>
              </w:rPr>
              <w:t>大连熙霖信息技</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术有限公司</w:t>
            </w:r>
            <w:r>
              <w:rPr>
                <w:rFonts w:ascii="宋体" w:hAnsi="宋体" w:cs="宋体" w:eastAsia="宋体" w:hint="default"/>
                <w:spacing w:val="-28"/>
                <w:sz w:val="18"/>
                <w:szCs w:val="18"/>
              </w:rPr>
              <w:t> </w:t>
            </w:r>
            <w:r>
              <w:rPr>
                <w:rFonts w:ascii="Arial" w:hAnsi="Arial" w:cs="Arial" w:eastAsia="Arial" w:hint="default"/>
                <w:sz w:val="18"/>
                <w:szCs w:val="18"/>
              </w:rPr>
              <w:t>20%</w:t>
            </w:r>
            <w:r>
              <w:rPr>
                <w:rFonts w:ascii="Arial" w:hAnsi="Arial" w:cs="Arial" w:eastAsia="Arial" w:hint="default"/>
                <w:w w:val="99"/>
                <w:sz w:val="18"/>
                <w:szCs w:val="18"/>
              </w:rPr>
              <w:t> </w:t>
            </w:r>
            <w:r>
              <w:rPr>
                <w:rFonts w:ascii="宋体" w:hAnsi="宋体" w:cs="宋体" w:eastAsia="宋体" w:hint="default"/>
                <w:sz w:val="18"/>
                <w:szCs w:val="18"/>
              </w:rPr>
              <w:t>股权</w:t>
            </w:r>
          </w:p>
        </w:tc>
        <w:tc>
          <w:tcPr>
            <w:tcW w:w="1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Times New Roman" w:hAnsi="Times New Roman" w:cs="Times New Roman" w:eastAsia="Times New Roman" w:hint="default"/>
                <w:sz w:val="18"/>
                <w:szCs w:val="18"/>
              </w:rPr>
            </w:pPr>
            <w:r>
              <w:rPr>
                <w:rFonts w:ascii="Times New Roman"/>
                <w:sz w:val="18"/>
              </w:rPr>
              <w:t>2009-2-10</w:t>
            </w:r>
          </w:p>
        </w:tc>
        <w:tc>
          <w:tcPr>
            <w:tcW w:w="8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79"/>
              <w:jc w:val="right"/>
              <w:rPr>
                <w:rFonts w:ascii="Times New Roman" w:hAnsi="Times New Roman" w:cs="Times New Roman" w:eastAsia="Times New Roman" w:hint="default"/>
                <w:sz w:val="18"/>
                <w:szCs w:val="18"/>
              </w:rPr>
            </w:pPr>
            <w:r>
              <w:rPr>
                <w:rFonts w:ascii="Times New Roman"/>
                <w:sz w:val="18"/>
              </w:rPr>
              <w:t>90,000</w:t>
            </w:r>
          </w:p>
        </w:tc>
        <w:tc>
          <w:tcPr>
            <w:tcW w:w="7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59" w:right="0"/>
              <w:jc w:val="left"/>
              <w:rPr>
                <w:rFonts w:ascii="Times New Roman" w:hAnsi="Times New Roman" w:cs="Times New Roman" w:eastAsia="Times New Roman" w:hint="default"/>
                <w:sz w:val="18"/>
                <w:szCs w:val="18"/>
              </w:rPr>
            </w:pPr>
            <w:r>
              <w:rPr>
                <w:rFonts w:ascii="Times New Roman"/>
                <w:sz w:val="18"/>
              </w:rPr>
              <w:t>-70,000</w:t>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508"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56" w:right="0"/>
              <w:jc w:val="both"/>
              <w:rPr>
                <w:rFonts w:ascii="宋体" w:hAnsi="宋体" w:cs="宋体" w:eastAsia="宋体" w:hint="default"/>
                <w:sz w:val="18"/>
                <w:szCs w:val="18"/>
              </w:rPr>
            </w:pPr>
            <w:r>
              <w:rPr>
                <w:rFonts w:ascii="宋体" w:hAnsi="宋体" w:cs="宋体" w:eastAsia="宋体" w:hint="default"/>
                <w:sz w:val="18"/>
                <w:szCs w:val="18"/>
              </w:rPr>
              <w:t>市</w:t>
            </w:r>
          </w:p>
          <w:p>
            <w:pPr>
              <w:pStyle w:val="TableParagraph"/>
              <w:spacing w:line="237" w:lineRule="auto" w:before="1"/>
              <w:ind w:left="156" w:right="155"/>
              <w:jc w:val="both"/>
              <w:rPr>
                <w:rFonts w:ascii="宋体" w:hAnsi="宋体" w:cs="宋体" w:eastAsia="宋体" w:hint="default"/>
                <w:sz w:val="18"/>
                <w:szCs w:val="18"/>
              </w:rPr>
            </w:pPr>
            <w:r>
              <w:rPr>
                <w:rFonts w:ascii="宋体" w:hAnsi="宋体" w:cs="宋体" w:eastAsia="宋体" w:hint="default"/>
                <w:sz w:val="18"/>
                <w:szCs w:val="18"/>
              </w:rPr>
              <w:t>场 价 格</w:t>
            </w:r>
          </w:p>
        </w:tc>
        <w:tc>
          <w:tcPr>
            <w:tcW w:w="6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Times New Roman" w:hAnsi="Times New Roman" w:cs="Times New Roman" w:eastAsia="Times New Roman" w:hint="default"/>
                <w:sz w:val="18"/>
                <w:szCs w:val="18"/>
              </w:rPr>
            </w:pPr>
            <w:r>
              <w:rPr>
                <w:rFonts w:ascii="Times New Roman"/>
                <w:sz w:val="18"/>
              </w:rPr>
              <w:t>-0.01</w:t>
            </w:r>
          </w:p>
        </w:tc>
        <w:tc>
          <w:tcPr>
            <w:tcW w:w="6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947" w:hRule="exact"/>
        </w:trPr>
        <w:tc>
          <w:tcPr>
            <w:tcW w:w="847"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235" w:right="145" w:hanging="90"/>
              <w:jc w:val="left"/>
              <w:rPr>
                <w:rFonts w:ascii="宋体" w:hAnsi="宋体" w:cs="宋体" w:eastAsia="宋体" w:hint="default"/>
                <w:sz w:val="18"/>
                <w:szCs w:val="18"/>
              </w:rPr>
            </w:pPr>
            <w:r>
              <w:rPr>
                <w:rFonts w:ascii="宋体" w:hAnsi="宋体" w:cs="宋体" w:eastAsia="宋体" w:hint="default"/>
                <w:sz w:val="18"/>
                <w:szCs w:val="18"/>
              </w:rPr>
              <w:t>四个自 然人</w:t>
            </w:r>
          </w:p>
        </w:tc>
        <w:tc>
          <w:tcPr>
            <w:tcW w:w="1540" w:type="dxa"/>
            <w:tcBorders>
              <w:top w:val="single" w:sz="6" w:space="0" w:color="000000"/>
              <w:left w:val="single" w:sz="6" w:space="0" w:color="000000"/>
              <w:bottom w:val="single" w:sz="4" w:space="0" w:color="000000"/>
              <w:right w:val="single" w:sz="6" w:space="0" w:color="000000"/>
            </w:tcBorders>
          </w:tcPr>
          <w:p>
            <w:pPr>
              <w:pStyle w:val="TableParagraph"/>
              <w:spacing w:line="232" w:lineRule="auto" w:before="93"/>
              <w:ind w:left="100" w:right="98"/>
              <w:jc w:val="both"/>
              <w:rPr>
                <w:rFonts w:ascii="宋体" w:hAnsi="宋体" w:cs="宋体" w:eastAsia="宋体" w:hint="default"/>
                <w:sz w:val="18"/>
                <w:szCs w:val="18"/>
              </w:rPr>
            </w:pPr>
            <w:r>
              <w:rPr>
                <w:rFonts w:ascii="宋体" w:hAnsi="宋体" w:cs="宋体" w:eastAsia="宋体" w:hint="default"/>
                <w:spacing w:val="8"/>
                <w:sz w:val="18"/>
                <w:szCs w:val="18"/>
              </w:rPr>
              <w:t>大连运筹科技有</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2"/>
                <w:sz w:val="18"/>
                <w:szCs w:val="18"/>
              </w:rPr>
              <w:t>限公司</w:t>
            </w:r>
            <w:r>
              <w:rPr>
                <w:rFonts w:ascii="宋体" w:hAnsi="宋体" w:cs="宋体" w:eastAsia="宋体" w:hint="default"/>
                <w:spacing w:val="31"/>
                <w:sz w:val="18"/>
                <w:szCs w:val="18"/>
              </w:rPr>
              <w:t> </w:t>
            </w:r>
            <w:r>
              <w:rPr>
                <w:rFonts w:ascii="宋体" w:hAnsi="宋体" w:cs="宋体" w:eastAsia="宋体" w:hint="default"/>
                <w:sz w:val="18"/>
                <w:szCs w:val="18"/>
              </w:rPr>
              <w:t>26</w:t>
            </w:r>
            <w:r>
              <w:rPr>
                <w:rFonts w:ascii="Arial" w:hAnsi="Arial" w:cs="Arial" w:eastAsia="Arial" w:hint="default"/>
                <w:sz w:val="18"/>
                <w:szCs w:val="18"/>
              </w:rPr>
              <w:t>.25%</w:t>
            </w:r>
            <w:r>
              <w:rPr>
                <w:rFonts w:ascii="Arial" w:hAnsi="Arial" w:cs="Arial" w:eastAsia="Arial" w:hint="default"/>
                <w:spacing w:val="-1"/>
                <w:w w:val="99"/>
                <w:sz w:val="18"/>
                <w:szCs w:val="18"/>
              </w:rPr>
              <w:t> </w:t>
            </w:r>
            <w:r>
              <w:rPr>
                <w:rFonts w:ascii="宋体" w:hAnsi="宋体" w:cs="宋体" w:eastAsia="宋体" w:hint="default"/>
                <w:sz w:val="18"/>
                <w:szCs w:val="18"/>
              </w:rPr>
              <w:t>股权</w:t>
            </w:r>
          </w:p>
        </w:tc>
        <w:tc>
          <w:tcPr>
            <w:tcW w:w="1050"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Times New Roman" w:hAnsi="Times New Roman" w:cs="Times New Roman" w:eastAsia="Times New Roman" w:hint="default"/>
                <w:sz w:val="18"/>
                <w:szCs w:val="18"/>
              </w:rPr>
            </w:pPr>
            <w:r>
              <w:rPr>
                <w:rFonts w:ascii="Times New Roman"/>
                <w:sz w:val="18"/>
              </w:rPr>
              <w:t>2009-1-15</w:t>
            </w:r>
          </w:p>
        </w:tc>
        <w:tc>
          <w:tcPr>
            <w:tcW w:w="872"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34"/>
              <w:jc w:val="right"/>
              <w:rPr>
                <w:rFonts w:ascii="Times New Roman" w:hAnsi="Times New Roman" w:cs="Times New Roman" w:eastAsia="Times New Roman" w:hint="default"/>
                <w:sz w:val="18"/>
                <w:szCs w:val="18"/>
              </w:rPr>
            </w:pPr>
            <w:r>
              <w:rPr>
                <w:rFonts w:ascii="Times New Roman"/>
                <w:sz w:val="18"/>
              </w:rPr>
              <w:t>300,000</w:t>
            </w:r>
          </w:p>
        </w:tc>
        <w:tc>
          <w:tcPr>
            <w:tcW w:w="732"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89"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89" w:right="0"/>
              <w:jc w:val="left"/>
              <w:rPr>
                <w:rFonts w:ascii="Times New Roman" w:hAnsi="Times New Roman" w:cs="Times New Roman" w:eastAsia="Times New Roman" w:hint="default"/>
                <w:sz w:val="18"/>
                <w:szCs w:val="18"/>
              </w:rPr>
            </w:pPr>
            <w:r>
              <w:rPr>
                <w:rFonts w:ascii="Times New Roman"/>
                <w:sz w:val="18"/>
              </w:rPr>
              <w:t>61,903</w:t>
            </w:r>
          </w:p>
        </w:tc>
        <w:tc>
          <w:tcPr>
            <w:tcW w:w="833"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508" w:type="dxa"/>
            <w:tcBorders>
              <w:top w:val="single" w:sz="6" w:space="0" w:color="000000"/>
              <w:left w:val="single" w:sz="6" w:space="0" w:color="000000"/>
              <w:bottom w:val="single" w:sz="4" w:space="0" w:color="000000"/>
              <w:right w:val="single" w:sz="6" w:space="0" w:color="000000"/>
            </w:tcBorders>
          </w:tcPr>
          <w:p>
            <w:pPr>
              <w:pStyle w:val="TableParagraph"/>
              <w:spacing w:line="205" w:lineRule="exact"/>
              <w:ind w:left="156" w:right="0"/>
              <w:jc w:val="both"/>
              <w:rPr>
                <w:rFonts w:ascii="宋体" w:hAnsi="宋体" w:cs="宋体" w:eastAsia="宋体" w:hint="default"/>
                <w:sz w:val="18"/>
                <w:szCs w:val="18"/>
              </w:rPr>
            </w:pPr>
            <w:r>
              <w:rPr>
                <w:rFonts w:ascii="宋体" w:hAnsi="宋体" w:cs="宋体" w:eastAsia="宋体" w:hint="default"/>
                <w:sz w:val="18"/>
                <w:szCs w:val="18"/>
              </w:rPr>
              <w:t>市</w:t>
            </w:r>
          </w:p>
          <w:p>
            <w:pPr>
              <w:pStyle w:val="TableParagraph"/>
              <w:spacing w:line="237" w:lineRule="auto"/>
              <w:ind w:left="156" w:right="155"/>
              <w:jc w:val="both"/>
              <w:rPr>
                <w:rFonts w:ascii="宋体" w:hAnsi="宋体" w:cs="宋体" w:eastAsia="宋体" w:hint="default"/>
                <w:sz w:val="18"/>
                <w:szCs w:val="18"/>
              </w:rPr>
            </w:pPr>
            <w:r>
              <w:rPr>
                <w:rFonts w:ascii="宋体" w:hAnsi="宋体" w:cs="宋体" w:eastAsia="宋体" w:hint="default"/>
                <w:sz w:val="18"/>
                <w:szCs w:val="18"/>
              </w:rPr>
              <w:t>场 价 格</w:t>
            </w:r>
          </w:p>
        </w:tc>
        <w:tc>
          <w:tcPr>
            <w:tcW w:w="638"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37"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19"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Times New Roman" w:hAnsi="Times New Roman" w:cs="Times New Roman" w:eastAsia="Times New Roman" w:hint="default"/>
                <w:sz w:val="18"/>
                <w:szCs w:val="18"/>
              </w:rPr>
            </w:pPr>
            <w:r>
              <w:rPr>
                <w:rFonts w:ascii="Times New Roman"/>
                <w:sz w:val="18"/>
              </w:rPr>
              <w:t>0.01</w:t>
            </w:r>
          </w:p>
        </w:tc>
        <w:tc>
          <w:tcPr>
            <w:tcW w:w="679"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type w:val="continuous"/>
          <w:pgSz w:w="11910" w:h="16840"/>
          <w:pgMar w:top="1600" w:bottom="280" w:left="560" w:right="5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720" w:footer="721" w:top="1100" w:bottom="920" w:left="860" w:right="780"/>
        </w:sectPr>
      </w:pPr>
    </w:p>
    <w:p>
      <w:pPr>
        <w:pStyle w:val="BodyText"/>
        <w:spacing w:line="310" w:lineRule="exact" w:before="58"/>
        <w:ind w:left="500" w:right="-20"/>
        <w:jc w:val="left"/>
      </w:pPr>
      <w:r>
        <w:rPr/>
        <w:t>（五）报告期内公司重大关联交易事项 1、报告期内关于执行</w:t>
      </w:r>
      <w:r>
        <w:rPr>
          <w:spacing w:val="-60"/>
        </w:rPr>
        <w:t> </w:t>
      </w:r>
      <w:r>
        <w:rPr/>
        <w:t>2009</w:t>
      </w:r>
      <w:r>
        <w:rPr>
          <w:spacing w:val="-60"/>
        </w:rPr>
        <w:t> </w:t>
      </w:r>
      <w:r>
        <w:rPr/>
        <w:t>年度预计日常关联交易情况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1"/>
        <w:rPr>
          <w:rFonts w:ascii="宋体" w:hAnsi="宋体" w:cs="宋体" w:eastAsia="宋体" w:hint="default"/>
          <w:sz w:val="29"/>
          <w:szCs w:val="29"/>
        </w:rPr>
      </w:pPr>
    </w:p>
    <w:p>
      <w:pPr>
        <w:spacing w:before="0"/>
        <w:ind w:left="50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3"/>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860" w:right="780"/>
          <w:cols w:num="2" w:equalWidth="0">
            <w:col w:w="6261" w:space="881"/>
            <w:col w:w="3128"/>
          </w:cols>
        </w:sectPr>
      </w:pPr>
    </w:p>
    <w:p>
      <w:pPr>
        <w:spacing w:line="240" w:lineRule="auto" w:before="7"/>
        <w:rPr>
          <w:rFonts w:ascii="宋体" w:hAnsi="宋体" w:cs="宋体" w:eastAsia="宋体" w:hint="default"/>
          <w:sz w:val="2"/>
          <w:szCs w:val="2"/>
        </w:rPr>
      </w:pPr>
    </w:p>
    <w:tbl>
      <w:tblPr>
        <w:tblW w:w="0" w:type="auto"/>
        <w:jc w:val="left"/>
        <w:tblInd w:w="529" w:type="dxa"/>
        <w:tblLayout w:type="fixed"/>
        <w:tblCellMar>
          <w:top w:w="0" w:type="dxa"/>
          <w:left w:w="0" w:type="dxa"/>
          <w:bottom w:w="0" w:type="dxa"/>
          <w:right w:w="0" w:type="dxa"/>
        </w:tblCellMar>
        <w:tblLook w:val="01E0"/>
      </w:tblPr>
      <w:tblGrid>
        <w:gridCol w:w="2274"/>
        <w:gridCol w:w="2260"/>
        <w:gridCol w:w="2300"/>
        <w:gridCol w:w="2340"/>
      </w:tblGrid>
      <w:tr>
        <w:trPr>
          <w:trHeight w:val="554"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499" w:right="0"/>
              <w:jc w:val="left"/>
              <w:rPr>
                <w:rFonts w:ascii="宋体" w:hAnsi="宋体" w:cs="宋体" w:eastAsia="宋体" w:hint="default"/>
                <w:sz w:val="21"/>
                <w:szCs w:val="21"/>
              </w:rPr>
            </w:pPr>
            <w:r>
              <w:rPr>
                <w:rFonts w:ascii="宋体" w:hAnsi="宋体" w:cs="宋体" w:eastAsia="宋体" w:hint="default"/>
                <w:b/>
                <w:bCs/>
                <w:sz w:val="21"/>
                <w:szCs w:val="21"/>
              </w:rPr>
              <w:t>关联交易类别</w:t>
            </w:r>
            <w:r>
              <w:rPr>
                <w:rFonts w:ascii="宋体" w:hAnsi="宋体" w:cs="宋体" w:eastAsia="宋体" w:hint="default"/>
                <w:sz w:val="21"/>
                <w:szCs w:val="21"/>
              </w:rPr>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实际发生金额</w:t>
            </w:r>
            <w:r>
              <w:rPr>
                <w:rFonts w:ascii="宋体" w:hAnsi="宋体" w:cs="宋体" w:eastAsia="宋体" w:hint="default"/>
                <w:sz w:val="21"/>
                <w:szCs w:val="21"/>
              </w:rPr>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618" w:right="0" w:firstLine="77"/>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74" w:lineRule="exact"/>
              <w:ind w:left="618" w:right="0"/>
              <w:jc w:val="left"/>
              <w:rPr>
                <w:rFonts w:ascii="宋体" w:hAnsi="宋体" w:cs="宋体" w:eastAsia="宋体" w:hint="default"/>
                <w:sz w:val="21"/>
                <w:szCs w:val="21"/>
              </w:rPr>
            </w:pPr>
            <w:r>
              <w:rPr>
                <w:rFonts w:ascii="宋体" w:hAnsi="宋体" w:cs="宋体" w:eastAsia="宋体" w:hint="default"/>
                <w:b/>
                <w:bCs/>
                <w:sz w:val="21"/>
                <w:szCs w:val="21"/>
              </w:rPr>
              <w:t>预计总金额</w:t>
            </w:r>
            <w:r>
              <w:rPr>
                <w:rFonts w:ascii="宋体" w:hAnsi="宋体" w:cs="宋体" w:eastAsia="宋体" w:hint="default"/>
                <w:sz w:val="21"/>
                <w:szCs w:val="21"/>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532" w:right="0" w:firstLine="51"/>
              <w:jc w:val="left"/>
              <w:rPr>
                <w:rFonts w:ascii="宋体" w:hAnsi="宋体" w:cs="宋体" w:eastAsia="宋体" w:hint="default"/>
                <w:sz w:val="21"/>
                <w:szCs w:val="21"/>
              </w:rPr>
            </w:pPr>
            <w:r>
              <w:rPr>
                <w:rFonts w:ascii="宋体" w:hAnsi="宋体" w:cs="宋体" w:eastAsia="宋体" w:hint="default"/>
                <w:b/>
                <w:bCs/>
                <w:sz w:val="21"/>
                <w:szCs w:val="21"/>
              </w:rPr>
              <w:t>占</w:t>
            </w:r>
            <w:r>
              <w:rPr>
                <w:rFonts w:ascii="宋体" w:hAnsi="宋体" w:cs="宋体" w:eastAsia="宋体" w:hint="default"/>
                <w:b/>
                <w:bCs/>
                <w:spacing w:val="-55"/>
                <w:sz w:val="21"/>
                <w:szCs w:val="21"/>
              </w:rPr>
              <w:t> </w:t>
            </w: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74" w:lineRule="exact"/>
              <w:ind w:left="532" w:right="0"/>
              <w:jc w:val="left"/>
              <w:rPr>
                <w:rFonts w:ascii="宋体" w:hAnsi="宋体" w:cs="宋体" w:eastAsia="宋体" w:hint="default"/>
                <w:sz w:val="21"/>
                <w:szCs w:val="21"/>
              </w:rPr>
            </w:pPr>
            <w:r>
              <w:rPr>
                <w:rFonts w:ascii="宋体" w:hAnsi="宋体" w:cs="宋体" w:eastAsia="宋体" w:hint="default"/>
                <w:b/>
                <w:bCs/>
                <w:sz w:val="21"/>
                <w:szCs w:val="21"/>
              </w:rPr>
              <w:t>预计金额比例</w:t>
            </w:r>
            <w:r>
              <w:rPr>
                <w:rFonts w:ascii="宋体" w:hAnsi="宋体" w:cs="宋体" w:eastAsia="宋体" w:hint="default"/>
                <w:sz w:val="21"/>
                <w:szCs w:val="21"/>
              </w:rPr>
            </w:r>
          </w:p>
        </w:tc>
      </w:tr>
      <w:tr>
        <w:trPr>
          <w:trHeight w:val="283"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采购原材料或产成品</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2"/>
              <w:jc w:val="right"/>
              <w:rPr>
                <w:rFonts w:ascii="宋体" w:hAnsi="宋体" w:cs="宋体" w:eastAsia="宋体" w:hint="default"/>
                <w:sz w:val="18"/>
                <w:szCs w:val="18"/>
              </w:rPr>
            </w:pPr>
            <w:r>
              <w:rPr>
                <w:rFonts w:ascii="宋体"/>
                <w:sz w:val="18"/>
              </w:rPr>
              <w:t>310,860,057</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390,000,000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79.7%</w:t>
            </w:r>
          </w:p>
        </w:tc>
      </w:tr>
      <w:tr>
        <w:trPr>
          <w:trHeight w:val="282"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销售产品或商品</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2"/>
              <w:jc w:val="right"/>
              <w:rPr>
                <w:rFonts w:ascii="宋体" w:hAnsi="宋体" w:cs="宋体" w:eastAsia="宋体" w:hint="default"/>
                <w:sz w:val="18"/>
                <w:szCs w:val="18"/>
              </w:rPr>
            </w:pPr>
            <w:r>
              <w:rPr>
                <w:rFonts w:ascii="宋体"/>
                <w:sz w:val="18"/>
              </w:rPr>
              <w:t>443,649,624</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434,400,000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102.1%</w:t>
            </w:r>
          </w:p>
        </w:tc>
      </w:tr>
      <w:tr>
        <w:trPr>
          <w:trHeight w:val="282"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接受劳务</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2"/>
              <w:jc w:val="right"/>
              <w:rPr>
                <w:rFonts w:ascii="宋体" w:hAnsi="宋体" w:cs="宋体" w:eastAsia="宋体" w:hint="default"/>
                <w:sz w:val="18"/>
                <w:szCs w:val="18"/>
              </w:rPr>
            </w:pPr>
            <w:r>
              <w:rPr>
                <w:rFonts w:ascii="宋体"/>
                <w:sz w:val="18"/>
              </w:rPr>
              <w:t>-</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500,000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w:t>
            </w:r>
          </w:p>
        </w:tc>
      </w:tr>
      <w:tr>
        <w:trPr>
          <w:trHeight w:val="283"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提供劳务</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2"/>
              <w:jc w:val="right"/>
              <w:rPr>
                <w:rFonts w:ascii="宋体" w:hAnsi="宋体" w:cs="宋体" w:eastAsia="宋体" w:hint="default"/>
                <w:sz w:val="18"/>
                <w:szCs w:val="18"/>
              </w:rPr>
            </w:pPr>
            <w:r>
              <w:rPr>
                <w:rFonts w:ascii="宋体"/>
                <w:sz w:val="18"/>
              </w:rPr>
              <w:t>48,355,527</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53,800,000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right="101"/>
              <w:jc w:val="right"/>
              <w:rPr>
                <w:rFonts w:ascii="宋体" w:hAnsi="宋体" w:cs="宋体" w:eastAsia="宋体" w:hint="default"/>
                <w:sz w:val="18"/>
                <w:szCs w:val="18"/>
              </w:rPr>
            </w:pPr>
            <w:r>
              <w:rPr>
                <w:rFonts w:ascii="宋体"/>
                <w:sz w:val="18"/>
              </w:rPr>
              <w:t>89.9%</w:t>
            </w:r>
          </w:p>
        </w:tc>
      </w:tr>
    </w:tbl>
    <w:p>
      <w:pPr>
        <w:spacing w:line="240" w:lineRule="auto" w:before="10"/>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type w:val="continuous"/>
          <w:pgSz w:w="11910" w:h="16840"/>
          <w:pgMar w:top="1600" w:bottom="280" w:left="860" w:right="780"/>
        </w:sectPr>
      </w:pPr>
    </w:p>
    <w:p>
      <w:pPr>
        <w:pStyle w:val="BodyText"/>
        <w:spacing w:line="240" w:lineRule="auto" w:before="26"/>
        <w:ind w:left="500" w:right="-20"/>
        <w:jc w:val="left"/>
      </w:pPr>
      <w:r>
        <w:rPr/>
        <w:t>2、与日常经营相关的关联交易</w:t>
      </w:r>
    </w:p>
    <w:p>
      <w:pPr>
        <w:spacing w:line="240" w:lineRule="auto" w:before="2"/>
        <w:rPr>
          <w:rFonts w:ascii="宋体" w:hAnsi="宋体" w:cs="宋体" w:eastAsia="宋体" w:hint="default"/>
          <w:sz w:val="26"/>
          <w:szCs w:val="26"/>
        </w:rPr>
      </w:pPr>
      <w:r>
        <w:rPr/>
        <w:br w:type="column"/>
      </w:r>
      <w:r>
        <w:rPr>
          <w:rFonts w:ascii="宋体"/>
          <w:sz w:val="26"/>
        </w:rPr>
      </w:r>
    </w:p>
    <w:p>
      <w:pPr>
        <w:spacing w:before="0"/>
        <w:ind w:left="50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3"/>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860" w:right="780"/>
          <w:cols w:num="2" w:equalWidth="0">
            <w:col w:w="3741" w:space="3505"/>
            <w:col w:w="3024"/>
          </w:cols>
        </w:sectPr>
      </w:pPr>
    </w:p>
    <w:p>
      <w:pPr>
        <w:spacing w:line="240" w:lineRule="auto" w:before="7"/>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414"/>
        <w:gridCol w:w="1577"/>
        <w:gridCol w:w="1301"/>
        <w:gridCol w:w="1339"/>
        <w:gridCol w:w="1388"/>
        <w:gridCol w:w="888"/>
        <w:gridCol w:w="968"/>
        <w:gridCol w:w="1146"/>
      </w:tblGrid>
      <w:tr>
        <w:trPr>
          <w:trHeight w:val="948" w:hRule="exact"/>
        </w:trPr>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47" w:right="0"/>
              <w:jc w:val="left"/>
              <w:rPr>
                <w:rFonts w:ascii="宋体" w:hAnsi="宋体" w:cs="宋体" w:eastAsia="宋体" w:hint="default"/>
                <w:sz w:val="18"/>
                <w:szCs w:val="18"/>
              </w:rPr>
            </w:pPr>
            <w:r>
              <w:rPr>
                <w:rFonts w:ascii="宋体" w:hAnsi="宋体" w:cs="宋体" w:eastAsia="宋体" w:hint="default"/>
                <w:b/>
                <w:bCs/>
                <w:sz w:val="18"/>
                <w:szCs w:val="18"/>
              </w:rPr>
              <w:t>关联交易方</w:t>
            </w:r>
            <w:r>
              <w:rPr>
                <w:rFonts w:ascii="宋体" w:hAnsi="宋体" w:cs="宋体" w:eastAsia="宋体" w:hint="default"/>
                <w:sz w:val="18"/>
                <w:szCs w:val="18"/>
              </w:rPr>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599" w:right="598"/>
              <w:jc w:val="center"/>
              <w:rPr>
                <w:rFonts w:ascii="宋体" w:hAnsi="宋体" w:cs="宋体" w:eastAsia="宋体" w:hint="default"/>
                <w:sz w:val="18"/>
                <w:szCs w:val="18"/>
              </w:rPr>
            </w:pPr>
            <w:r>
              <w:rPr>
                <w:rFonts w:ascii="宋体" w:hAnsi="宋体" w:cs="宋体" w:eastAsia="宋体" w:hint="default"/>
                <w:b/>
                <w:bCs/>
                <w:sz w:val="18"/>
                <w:szCs w:val="18"/>
              </w:rPr>
              <w:t>关联</w:t>
            </w:r>
            <w:r>
              <w:rPr>
                <w:rFonts w:ascii="宋体" w:hAnsi="宋体" w:cs="宋体" w:eastAsia="宋体" w:hint="default"/>
                <w:b/>
                <w:bCs/>
                <w:spacing w:val="1"/>
                <w:w w:val="99"/>
                <w:sz w:val="18"/>
                <w:szCs w:val="18"/>
              </w:rPr>
              <w:t> </w:t>
            </w:r>
            <w:r>
              <w:rPr>
                <w:rFonts w:ascii="宋体" w:hAnsi="宋体" w:cs="宋体" w:eastAsia="宋体" w:hint="default"/>
                <w:b/>
                <w:bCs/>
                <w:sz w:val="18"/>
                <w:szCs w:val="18"/>
              </w:rPr>
              <w:t>关系</w:t>
            </w:r>
            <w:r>
              <w:rPr>
                <w:rFonts w:ascii="宋体" w:hAnsi="宋体" w:cs="宋体" w:eastAsia="宋体" w:hint="default"/>
                <w:sz w:val="18"/>
                <w:szCs w:val="18"/>
              </w:rPr>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b/>
                <w:bCs/>
                <w:sz w:val="18"/>
                <w:szCs w:val="18"/>
              </w:rPr>
              <w:t>关联交易内容</w:t>
            </w:r>
            <w:r>
              <w:rPr>
                <w:rFonts w:ascii="宋体" w:hAnsi="宋体" w:cs="宋体" w:eastAsia="宋体" w:hint="default"/>
                <w:sz w:val="18"/>
                <w:szCs w:val="18"/>
              </w:rPr>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481" w:right="119" w:hanging="362"/>
              <w:jc w:val="left"/>
              <w:rPr>
                <w:rFonts w:ascii="宋体" w:hAnsi="宋体" w:cs="宋体" w:eastAsia="宋体" w:hint="default"/>
                <w:sz w:val="18"/>
                <w:szCs w:val="18"/>
              </w:rPr>
            </w:pPr>
            <w:r>
              <w:rPr>
                <w:rFonts w:ascii="宋体" w:hAnsi="宋体" w:cs="宋体" w:eastAsia="宋体" w:hint="default"/>
                <w:b/>
                <w:bCs/>
                <w:sz w:val="18"/>
                <w:szCs w:val="18"/>
              </w:rPr>
              <w:t>关联交易定价</w:t>
            </w:r>
            <w:r>
              <w:rPr>
                <w:rFonts w:ascii="宋体" w:hAnsi="宋体" w:cs="宋体" w:eastAsia="宋体" w:hint="default"/>
                <w:b/>
                <w:bCs/>
                <w:w w:val="99"/>
                <w:sz w:val="18"/>
                <w:szCs w:val="18"/>
              </w:rPr>
              <w:t> </w:t>
            </w:r>
            <w:r>
              <w:rPr>
                <w:rFonts w:ascii="宋体" w:hAnsi="宋体" w:cs="宋体" w:eastAsia="宋体" w:hint="default"/>
                <w:b/>
                <w:bCs/>
                <w:sz w:val="18"/>
                <w:szCs w:val="18"/>
              </w:rPr>
              <w:t>原则</w:t>
            </w:r>
            <w:r>
              <w:rPr>
                <w:rFonts w:ascii="宋体" w:hAnsi="宋体" w:cs="宋体" w:eastAsia="宋体" w:hint="default"/>
                <w:sz w:val="18"/>
                <w:szCs w:val="18"/>
              </w:rPr>
            </w:r>
          </w:p>
        </w:tc>
        <w:tc>
          <w:tcPr>
            <w:tcW w:w="1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505" w:right="324" w:hanging="180"/>
              <w:jc w:val="left"/>
              <w:rPr>
                <w:rFonts w:ascii="宋体" w:hAnsi="宋体" w:cs="宋体" w:eastAsia="宋体" w:hint="default"/>
                <w:sz w:val="18"/>
                <w:szCs w:val="18"/>
              </w:rPr>
            </w:pPr>
            <w:r>
              <w:rPr>
                <w:rFonts w:ascii="宋体" w:hAnsi="宋体" w:cs="宋体" w:eastAsia="宋体" w:hint="default"/>
                <w:b/>
                <w:bCs/>
                <w:sz w:val="18"/>
                <w:szCs w:val="18"/>
              </w:rPr>
              <w:t>关联交易</w:t>
            </w:r>
            <w:r>
              <w:rPr>
                <w:rFonts w:ascii="宋体" w:hAnsi="宋体" w:cs="宋体" w:eastAsia="宋体" w:hint="default"/>
                <w:b/>
                <w:bCs/>
                <w:w w:val="99"/>
                <w:sz w:val="18"/>
                <w:szCs w:val="18"/>
              </w:rPr>
              <w:t> </w:t>
            </w:r>
            <w:r>
              <w:rPr>
                <w:rFonts w:ascii="宋体" w:hAnsi="宋体" w:cs="宋体" w:eastAsia="宋体" w:hint="default"/>
                <w:b/>
                <w:bCs/>
                <w:sz w:val="18"/>
                <w:szCs w:val="18"/>
              </w:rPr>
              <w:t>金额</w:t>
            </w:r>
            <w:r>
              <w:rPr>
                <w:rFonts w:ascii="宋体" w:hAnsi="宋体" w:cs="宋体" w:eastAsia="宋体" w:hint="default"/>
                <w:sz w:val="18"/>
                <w:szCs w:val="18"/>
              </w:rPr>
            </w:r>
          </w:p>
        </w:tc>
        <w:tc>
          <w:tcPr>
            <w:tcW w:w="88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65" w:right="0"/>
              <w:jc w:val="both"/>
              <w:rPr>
                <w:rFonts w:ascii="宋体" w:hAnsi="宋体" w:cs="宋体" w:eastAsia="宋体" w:hint="default"/>
                <w:sz w:val="18"/>
                <w:szCs w:val="18"/>
              </w:rPr>
            </w:pPr>
            <w:r>
              <w:rPr>
                <w:rFonts w:ascii="宋体" w:hAnsi="宋体" w:cs="宋体" w:eastAsia="宋体" w:hint="default"/>
                <w:b/>
                <w:bCs/>
                <w:sz w:val="18"/>
                <w:szCs w:val="18"/>
              </w:rPr>
              <w:t>占同类</w:t>
            </w:r>
            <w:r>
              <w:rPr>
                <w:rFonts w:ascii="宋体" w:hAnsi="宋体" w:cs="宋体" w:eastAsia="宋体" w:hint="default"/>
                <w:sz w:val="18"/>
                <w:szCs w:val="18"/>
              </w:rPr>
            </w:r>
          </w:p>
          <w:p>
            <w:pPr>
              <w:pStyle w:val="TableParagraph"/>
              <w:spacing w:line="237" w:lineRule="auto"/>
              <w:ind w:left="120" w:right="119" w:firstLine="45"/>
              <w:jc w:val="both"/>
              <w:rPr>
                <w:rFonts w:ascii="宋体" w:hAnsi="宋体" w:cs="宋体" w:eastAsia="宋体" w:hint="default"/>
                <w:sz w:val="18"/>
                <w:szCs w:val="18"/>
              </w:rPr>
            </w:pPr>
            <w:r>
              <w:rPr>
                <w:rFonts w:ascii="宋体" w:hAnsi="宋体" w:cs="宋体" w:eastAsia="宋体" w:hint="default"/>
                <w:b/>
                <w:bCs/>
                <w:sz w:val="18"/>
                <w:szCs w:val="18"/>
              </w:rPr>
              <w:t>交易金</w:t>
            </w:r>
            <w:r>
              <w:rPr>
                <w:rFonts w:ascii="宋体" w:hAnsi="宋体" w:cs="宋体" w:eastAsia="宋体" w:hint="default"/>
                <w:b/>
                <w:bCs/>
                <w:spacing w:val="1"/>
                <w:w w:val="99"/>
                <w:sz w:val="18"/>
                <w:szCs w:val="18"/>
              </w:rPr>
              <w:t> </w:t>
            </w:r>
            <w:r>
              <w:rPr>
                <w:rFonts w:ascii="宋体" w:hAnsi="宋体" w:cs="宋体" w:eastAsia="宋体" w:hint="default"/>
                <w:b/>
                <w:bCs/>
                <w:sz w:val="18"/>
                <w:szCs w:val="18"/>
              </w:rPr>
              <w:t>额的比</w:t>
            </w:r>
            <w:r>
              <w:rPr>
                <w:rFonts w:ascii="宋体" w:hAnsi="宋体" w:cs="宋体" w:eastAsia="宋体" w:hint="default"/>
                <w:b/>
                <w:bCs/>
                <w:spacing w:val="1"/>
                <w:w w:val="99"/>
                <w:sz w:val="18"/>
                <w:szCs w:val="18"/>
              </w:rPr>
              <w:t> </w:t>
            </w:r>
            <w:r>
              <w:rPr>
                <w:rFonts w:ascii="宋体" w:hAnsi="宋体" w:cs="宋体" w:eastAsia="宋体" w:hint="default"/>
                <w:b/>
                <w:bCs/>
                <w:sz w:val="18"/>
                <w:szCs w:val="18"/>
              </w:rPr>
              <w:t>例（%）</w:t>
            </w:r>
            <w:r>
              <w:rPr>
                <w:rFonts w:ascii="宋体" w:hAnsi="宋体" w:cs="宋体" w:eastAsia="宋体" w:hint="default"/>
                <w:sz w:val="18"/>
                <w:szCs w:val="18"/>
              </w:rPr>
            </w:r>
          </w:p>
        </w:tc>
        <w:tc>
          <w:tcPr>
            <w:tcW w:w="9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115" w:right="114"/>
              <w:jc w:val="left"/>
              <w:rPr>
                <w:rFonts w:ascii="宋体" w:hAnsi="宋体" w:cs="宋体" w:eastAsia="宋体" w:hint="default"/>
                <w:sz w:val="18"/>
                <w:szCs w:val="18"/>
              </w:rPr>
            </w:pPr>
            <w:r>
              <w:rPr>
                <w:rFonts w:ascii="宋体" w:hAnsi="宋体" w:cs="宋体" w:eastAsia="宋体" w:hint="default"/>
                <w:b/>
                <w:bCs/>
                <w:sz w:val="18"/>
                <w:szCs w:val="18"/>
              </w:rPr>
              <w:t>关联交易</w:t>
            </w:r>
            <w:r>
              <w:rPr>
                <w:rFonts w:ascii="宋体" w:hAnsi="宋体" w:cs="宋体" w:eastAsia="宋体" w:hint="default"/>
                <w:b/>
                <w:bCs/>
                <w:w w:val="99"/>
                <w:sz w:val="18"/>
                <w:szCs w:val="18"/>
              </w:rPr>
              <w:t> </w:t>
            </w:r>
            <w:r>
              <w:rPr>
                <w:rFonts w:ascii="宋体" w:hAnsi="宋体" w:cs="宋体" w:eastAsia="宋体" w:hint="default"/>
                <w:b/>
                <w:bCs/>
                <w:sz w:val="18"/>
                <w:szCs w:val="18"/>
              </w:rPr>
              <w:t>结算方式</w:t>
            </w:r>
            <w:r>
              <w:rPr>
                <w:rFonts w:ascii="宋体" w:hAnsi="宋体" w:cs="宋体" w:eastAsia="宋体" w:hint="default"/>
                <w:sz w:val="18"/>
                <w:szCs w:val="18"/>
              </w:rPr>
            </w:r>
          </w:p>
        </w:tc>
        <w:tc>
          <w:tcPr>
            <w:tcW w:w="114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交易价格与</w:t>
            </w:r>
            <w:r>
              <w:rPr>
                <w:rFonts w:ascii="宋体" w:hAnsi="宋体" w:cs="宋体" w:eastAsia="宋体" w:hint="default"/>
                <w:sz w:val="18"/>
                <w:szCs w:val="18"/>
              </w:rPr>
            </w:r>
          </w:p>
          <w:p>
            <w:pPr>
              <w:pStyle w:val="TableParagraph"/>
              <w:spacing w:line="237" w:lineRule="auto"/>
              <w:ind w:left="114" w:right="110"/>
              <w:jc w:val="center"/>
              <w:rPr>
                <w:rFonts w:ascii="宋体" w:hAnsi="宋体" w:cs="宋体" w:eastAsia="宋体" w:hint="default"/>
                <w:sz w:val="18"/>
                <w:szCs w:val="18"/>
              </w:rPr>
            </w:pPr>
            <w:r>
              <w:rPr>
                <w:rFonts w:ascii="宋体" w:hAnsi="宋体" w:cs="宋体" w:eastAsia="宋体" w:hint="default"/>
                <w:b/>
                <w:bCs/>
                <w:sz w:val="18"/>
                <w:szCs w:val="18"/>
              </w:rPr>
              <w:t>市场参考价</w:t>
            </w:r>
            <w:r>
              <w:rPr>
                <w:rFonts w:ascii="宋体" w:hAnsi="宋体" w:cs="宋体" w:eastAsia="宋体" w:hint="default"/>
                <w:b/>
                <w:bCs/>
                <w:spacing w:val="1"/>
                <w:w w:val="99"/>
                <w:sz w:val="18"/>
                <w:szCs w:val="18"/>
              </w:rPr>
              <w:t> </w:t>
            </w:r>
            <w:r>
              <w:rPr>
                <w:rFonts w:ascii="宋体" w:hAnsi="宋体" w:cs="宋体" w:eastAsia="宋体" w:hint="default"/>
                <w:b/>
                <w:bCs/>
                <w:sz w:val="18"/>
                <w:szCs w:val="18"/>
              </w:rPr>
              <w:t>格差异较大</w:t>
            </w:r>
            <w:r>
              <w:rPr>
                <w:rFonts w:ascii="宋体" w:hAnsi="宋体" w:cs="宋体" w:eastAsia="宋体" w:hint="default"/>
                <w:b/>
                <w:bCs/>
                <w:spacing w:val="1"/>
                <w:w w:val="99"/>
                <w:sz w:val="18"/>
                <w:szCs w:val="18"/>
              </w:rPr>
              <w:t> </w:t>
            </w:r>
            <w:r>
              <w:rPr>
                <w:rFonts w:ascii="宋体" w:hAnsi="宋体" w:cs="宋体" w:eastAsia="宋体" w:hint="default"/>
                <w:b/>
                <w:bCs/>
                <w:sz w:val="18"/>
                <w:szCs w:val="18"/>
              </w:rPr>
              <w:t>的原因</w:t>
            </w:r>
            <w:r>
              <w:rPr>
                <w:rFonts w:ascii="宋体" w:hAnsi="宋体" w:cs="宋体" w:eastAsia="宋体" w:hint="default"/>
                <w:sz w:val="18"/>
                <w:szCs w:val="18"/>
              </w:rPr>
            </w:r>
          </w:p>
        </w:tc>
      </w:tr>
      <w:tr>
        <w:trPr>
          <w:trHeight w:val="560" w:hRule="exact"/>
        </w:trPr>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阿尔派株式</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会社</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100" w:right="98"/>
              <w:jc w:val="left"/>
              <w:rPr>
                <w:rFonts w:ascii="宋体" w:hAnsi="宋体" w:cs="宋体" w:eastAsia="宋体" w:hint="default"/>
                <w:sz w:val="18"/>
                <w:szCs w:val="18"/>
              </w:rPr>
            </w:pPr>
            <w:r>
              <w:rPr>
                <w:rFonts w:ascii="宋体" w:hAnsi="宋体" w:cs="宋体" w:eastAsia="宋体" w:hint="default"/>
                <w:sz w:val="18"/>
                <w:szCs w:val="18"/>
              </w:rPr>
              <w:t>持本公司</w:t>
            </w:r>
            <w:r>
              <w:rPr>
                <w:rFonts w:ascii="宋体" w:hAnsi="宋体" w:cs="宋体" w:eastAsia="宋体" w:hint="default"/>
                <w:spacing w:val="7"/>
                <w:sz w:val="18"/>
                <w:szCs w:val="18"/>
              </w:rPr>
              <w:t> </w:t>
            </w:r>
            <w:r>
              <w:rPr>
                <w:rFonts w:ascii="宋体" w:hAnsi="宋体" w:cs="宋体" w:eastAsia="宋体" w:hint="default"/>
                <w:sz w:val="18"/>
                <w:szCs w:val="18"/>
              </w:rPr>
              <w:t>5%以上</w:t>
            </w:r>
            <w:r>
              <w:rPr>
                <w:rFonts w:ascii="宋体" w:hAnsi="宋体" w:cs="宋体" w:eastAsia="宋体" w:hint="default"/>
                <w:sz w:val="18"/>
                <w:szCs w:val="18"/>
              </w:rPr>
              <w:t> 股权</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100" w:right="96"/>
              <w:jc w:val="left"/>
              <w:rPr>
                <w:rFonts w:ascii="宋体" w:hAnsi="宋体" w:cs="宋体" w:eastAsia="宋体" w:hint="default"/>
                <w:sz w:val="18"/>
                <w:szCs w:val="18"/>
              </w:rPr>
            </w:pPr>
            <w:r>
              <w:rPr>
                <w:rFonts w:ascii="宋体" w:hAnsi="宋体" w:cs="宋体" w:eastAsia="宋体" w:hint="default"/>
                <w:sz w:val="18"/>
                <w:szCs w:val="18"/>
              </w:rPr>
              <w:t>系统集成或软</w:t>
            </w:r>
            <w:r>
              <w:rPr>
                <w:rFonts w:ascii="宋体" w:hAnsi="宋体" w:cs="宋体" w:eastAsia="宋体" w:hint="default"/>
                <w:spacing w:val="-85"/>
                <w:sz w:val="18"/>
                <w:szCs w:val="18"/>
              </w:rPr>
              <w:t> </w:t>
            </w:r>
            <w:r>
              <w:rPr>
                <w:rFonts w:ascii="宋体" w:hAnsi="宋体" w:cs="宋体" w:eastAsia="宋体" w:hint="default"/>
                <w:sz w:val="18"/>
                <w:szCs w:val="18"/>
              </w:rPr>
              <w:t>件销售</w:t>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192" w:right="0"/>
              <w:jc w:val="left"/>
              <w:rPr>
                <w:rFonts w:ascii="宋体" w:hAnsi="宋体" w:cs="宋体" w:eastAsia="宋体" w:hint="default"/>
                <w:sz w:val="18"/>
                <w:szCs w:val="18"/>
              </w:rPr>
            </w:pPr>
            <w:r>
              <w:rPr>
                <w:rFonts w:ascii="宋体"/>
                <w:sz w:val="18"/>
              </w:rPr>
              <w:t>141,750,380</w:t>
            </w:r>
          </w:p>
        </w:tc>
        <w:tc>
          <w:tcPr>
            <w:tcW w:w="8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211" w:right="0"/>
              <w:jc w:val="left"/>
              <w:rPr>
                <w:rFonts w:ascii="宋体" w:hAnsi="宋体" w:cs="宋体" w:eastAsia="宋体" w:hint="default"/>
                <w:sz w:val="18"/>
                <w:szCs w:val="18"/>
              </w:rPr>
            </w:pPr>
            <w:r>
              <w:rPr>
                <w:rFonts w:ascii="宋体"/>
                <w:sz w:val="18"/>
              </w:rPr>
              <w:t>4.14%</w:t>
            </w:r>
          </w:p>
        </w:tc>
        <w:tc>
          <w:tcPr>
            <w:tcW w:w="9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15"/>
              <w:jc w:val="right"/>
              <w:rPr>
                <w:rFonts w:ascii="宋体" w:hAnsi="宋体" w:cs="宋体" w:eastAsia="宋体" w:hint="default"/>
                <w:sz w:val="18"/>
                <w:szCs w:val="18"/>
              </w:rPr>
            </w:pPr>
            <w:r>
              <w:rPr>
                <w:rFonts w:ascii="宋体" w:hAnsi="宋体" w:cs="宋体" w:eastAsia="宋体" w:hint="default"/>
                <w:sz w:val="18"/>
                <w:szCs w:val="18"/>
              </w:rPr>
              <w:t>现金结算</w:t>
            </w:r>
          </w:p>
        </w:tc>
        <w:tc>
          <w:tcPr>
            <w:tcW w:w="11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1104" w:hRule="exact"/>
        </w:trPr>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株式会社东</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z w:val="21"/>
                <w:szCs w:val="21"/>
              </w:rPr>
              <w:t>芝及其子公 </w:t>
            </w:r>
            <w:r>
              <w:rPr>
                <w:rFonts w:ascii="宋体" w:hAnsi="宋体" w:cs="宋体" w:eastAsia="宋体" w:hint="default"/>
                <w:spacing w:val="-11"/>
                <w:sz w:val="21"/>
                <w:szCs w:val="21"/>
              </w:rPr>
              <w:t>司（合称：东</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芝）</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32" w:lineRule="exact"/>
              <w:ind w:left="100" w:right="98"/>
              <w:jc w:val="left"/>
              <w:rPr>
                <w:rFonts w:ascii="宋体" w:hAnsi="宋体" w:cs="宋体" w:eastAsia="宋体" w:hint="default"/>
                <w:sz w:val="18"/>
                <w:szCs w:val="18"/>
              </w:rPr>
            </w:pPr>
            <w:r>
              <w:rPr>
                <w:rFonts w:ascii="宋体" w:hAnsi="宋体" w:cs="宋体" w:eastAsia="宋体" w:hint="default"/>
                <w:sz w:val="18"/>
                <w:szCs w:val="18"/>
              </w:rPr>
              <w:t>持本公司</w:t>
            </w:r>
            <w:r>
              <w:rPr>
                <w:rFonts w:ascii="宋体" w:hAnsi="宋体" w:cs="宋体" w:eastAsia="宋体" w:hint="default"/>
                <w:spacing w:val="7"/>
                <w:sz w:val="18"/>
                <w:szCs w:val="18"/>
              </w:rPr>
              <w:t> </w:t>
            </w:r>
            <w:r>
              <w:rPr>
                <w:rFonts w:ascii="宋体" w:hAnsi="宋体" w:cs="宋体" w:eastAsia="宋体" w:hint="default"/>
                <w:sz w:val="18"/>
                <w:szCs w:val="18"/>
              </w:rPr>
              <w:t>5%以上</w:t>
            </w:r>
            <w:r>
              <w:rPr>
                <w:rFonts w:ascii="宋体" w:hAnsi="宋体" w:cs="宋体" w:eastAsia="宋体" w:hint="default"/>
                <w:sz w:val="18"/>
                <w:szCs w:val="18"/>
              </w:rPr>
              <w:t> 股权</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32" w:lineRule="exact"/>
              <w:ind w:left="100" w:right="96"/>
              <w:jc w:val="left"/>
              <w:rPr>
                <w:rFonts w:ascii="宋体" w:hAnsi="宋体" w:cs="宋体" w:eastAsia="宋体" w:hint="default"/>
                <w:sz w:val="18"/>
                <w:szCs w:val="18"/>
              </w:rPr>
            </w:pPr>
            <w:r>
              <w:rPr>
                <w:rFonts w:ascii="宋体" w:hAnsi="宋体" w:cs="宋体" w:eastAsia="宋体" w:hint="default"/>
                <w:sz w:val="18"/>
                <w:szCs w:val="18"/>
              </w:rPr>
              <w:t>系统集成或软</w:t>
            </w:r>
            <w:r>
              <w:rPr>
                <w:rFonts w:ascii="宋体" w:hAnsi="宋体" w:cs="宋体" w:eastAsia="宋体" w:hint="default"/>
                <w:spacing w:val="-85"/>
                <w:sz w:val="18"/>
                <w:szCs w:val="18"/>
              </w:rPr>
              <w:t> </w:t>
            </w:r>
            <w:r>
              <w:rPr>
                <w:rFonts w:ascii="宋体" w:hAnsi="宋体" w:cs="宋体" w:eastAsia="宋体" w:hint="default"/>
                <w:sz w:val="18"/>
                <w:szCs w:val="18"/>
              </w:rPr>
              <w:t>件销售</w:t>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92" w:right="0"/>
              <w:jc w:val="left"/>
              <w:rPr>
                <w:rFonts w:ascii="宋体" w:hAnsi="宋体" w:cs="宋体" w:eastAsia="宋体" w:hint="default"/>
                <w:sz w:val="18"/>
                <w:szCs w:val="18"/>
              </w:rPr>
            </w:pPr>
            <w:r>
              <w:rPr>
                <w:rFonts w:ascii="宋体"/>
                <w:sz w:val="18"/>
              </w:rPr>
              <w:t>140,782,956</w:t>
            </w:r>
          </w:p>
        </w:tc>
        <w:tc>
          <w:tcPr>
            <w:tcW w:w="8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11" w:right="0"/>
              <w:jc w:val="left"/>
              <w:rPr>
                <w:rFonts w:ascii="宋体" w:hAnsi="宋体" w:cs="宋体" w:eastAsia="宋体" w:hint="default"/>
                <w:sz w:val="18"/>
                <w:szCs w:val="18"/>
              </w:rPr>
            </w:pPr>
            <w:r>
              <w:rPr>
                <w:rFonts w:ascii="宋体"/>
                <w:sz w:val="18"/>
              </w:rPr>
              <w:t>4.11%</w:t>
            </w:r>
          </w:p>
        </w:tc>
        <w:tc>
          <w:tcPr>
            <w:tcW w:w="9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15"/>
              <w:jc w:val="right"/>
              <w:rPr>
                <w:rFonts w:ascii="宋体" w:hAnsi="宋体" w:cs="宋体" w:eastAsia="宋体" w:hint="default"/>
                <w:sz w:val="18"/>
                <w:szCs w:val="18"/>
              </w:rPr>
            </w:pPr>
            <w:r>
              <w:rPr>
                <w:rFonts w:ascii="宋体" w:hAnsi="宋体" w:cs="宋体" w:eastAsia="宋体" w:hint="default"/>
                <w:sz w:val="18"/>
                <w:szCs w:val="18"/>
              </w:rPr>
              <w:t>现金结算</w:t>
            </w:r>
          </w:p>
        </w:tc>
        <w:tc>
          <w:tcPr>
            <w:tcW w:w="11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1105" w:hRule="exact"/>
        </w:trPr>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东软飞利浦</w:t>
            </w:r>
          </w:p>
          <w:p>
            <w:pPr>
              <w:pStyle w:val="TableParagraph"/>
              <w:spacing w:line="272" w:lineRule="exact" w:before="26"/>
              <w:ind w:left="100" w:right="246"/>
              <w:jc w:val="both"/>
              <w:rPr>
                <w:rFonts w:ascii="宋体" w:hAnsi="宋体" w:cs="宋体" w:eastAsia="宋体" w:hint="default"/>
                <w:sz w:val="21"/>
                <w:szCs w:val="21"/>
              </w:rPr>
            </w:pPr>
            <w:r>
              <w:rPr>
                <w:rFonts w:ascii="宋体" w:hAnsi="宋体" w:cs="宋体" w:eastAsia="宋体" w:hint="default"/>
                <w:sz w:val="21"/>
                <w:szCs w:val="21"/>
              </w:rPr>
              <w:t>医疗设备系 统有限责任 公司</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32" w:lineRule="exact"/>
              <w:ind w:left="100" w:right="82"/>
              <w:jc w:val="left"/>
              <w:rPr>
                <w:rFonts w:ascii="宋体" w:hAnsi="宋体" w:cs="宋体" w:eastAsia="宋体" w:hint="default"/>
                <w:sz w:val="18"/>
                <w:szCs w:val="18"/>
              </w:rPr>
            </w:pPr>
            <w:r>
              <w:rPr>
                <w:rFonts w:ascii="宋体" w:hAnsi="宋体" w:cs="宋体" w:eastAsia="宋体" w:hint="default"/>
                <w:spacing w:val="13"/>
                <w:sz w:val="18"/>
                <w:szCs w:val="18"/>
              </w:rPr>
              <w:t>与本公司同一董</w:t>
            </w:r>
            <w:r>
              <w:rPr>
                <w:rFonts w:ascii="宋体" w:hAnsi="宋体" w:cs="宋体" w:eastAsia="宋体" w:hint="default"/>
                <w:spacing w:val="-86"/>
                <w:sz w:val="18"/>
                <w:szCs w:val="18"/>
              </w:rPr>
              <w:t> </w:t>
            </w:r>
            <w:r>
              <w:rPr>
                <w:rFonts w:ascii="宋体" w:hAnsi="宋体" w:cs="宋体" w:eastAsia="宋体" w:hint="default"/>
                <w:sz w:val="18"/>
                <w:szCs w:val="18"/>
              </w:rPr>
              <w:t>事长</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32" w:lineRule="exact"/>
              <w:ind w:left="100" w:right="96"/>
              <w:jc w:val="left"/>
              <w:rPr>
                <w:rFonts w:ascii="宋体" w:hAnsi="宋体" w:cs="宋体" w:eastAsia="宋体" w:hint="default"/>
                <w:sz w:val="18"/>
                <w:szCs w:val="18"/>
              </w:rPr>
            </w:pPr>
            <w:r>
              <w:rPr>
                <w:rFonts w:ascii="宋体" w:hAnsi="宋体" w:cs="宋体" w:eastAsia="宋体" w:hint="default"/>
                <w:sz w:val="18"/>
                <w:szCs w:val="18"/>
              </w:rPr>
              <w:t>购买原材料或</w:t>
            </w:r>
            <w:r>
              <w:rPr>
                <w:rFonts w:ascii="宋体" w:hAnsi="宋体" w:cs="宋体" w:eastAsia="宋体" w:hint="default"/>
                <w:spacing w:val="-85"/>
                <w:sz w:val="18"/>
                <w:szCs w:val="18"/>
              </w:rPr>
              <w:t> </w:t>
            </w:r>
            <w:r>
              <w:rPr>
                <w:rFonts w:ascii="宋体" w:hAnsi="宋体" w:cs="宋体" w:eastAsia="宋体" w:hint="default"/>
                <w:sz w:val="18"/>
                <w:szCs w:val="18"/>
              </w:rPr>
              <w:t>产成品及服务</w:t>
            </w:r>
          </w:p>
        </w:tc>
        <w:tc>
          <w:tcPr>
            <w:tcW w:w="1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92" w:right="0"/>
              <w:jc w:val="left"/>
              <w:rPr>
                <w:rFonts w:ascii="宋体" w:hAnsi="宋体" w:cs="宋体" w:eastAsia="宋体" w:hint="default"/>
                <w:sz w:val="18"/>
                <w:szCs w:val="18"/>
              </w:rPr>
            </w:pPr>
            <w:r>
              <w:rPr>
                <w:rFonts w:ascii="宋体"/>
                <w:sz w:val="18"/>
              </w:rPr>
              <w:t>310,860,057</w:t>
            </w:r>
          </w:p>
        </w:tc>
        <w:tc>
          <w:tcPr>
            <w:tcW w:w="8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66" w:right="0"/>
              <w:jc w:val="left"/>
              <w:rPr>
                <w:rFonts w:ascii="宋体" w:hAnsi="宋体" w:cs="宋体" w:eastAsia="宋体" w:hint="default"/>
                <w:sz w:val="18"/>
                <w:szCs w:val="18"/>
              </w:rPr>
            </w:pPr>
            <w:r>
              <w:rPr>
                <w:rFonts w:ascii="宋体"/>
                <w:sz w:val="18"/>
              </w:rPr>
              <w:t>80.00%</w:t>
            </w:r>
          </w:p>
        </w:tc>
        <w:tc>
          <w:tcPr>
            <w:tcW w:w="9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15"/>
              <w:jc w:val="right"/>
              <w:rPr>
                <w:rFonts w:ascii="宋体" w:hAnsi="宋体" w:cs="宋体" w:eastAsia="宋体" w:hint="default"/>
                <w:sz w:val="18"/>
                <w:szCs w:val="18"/>
              </w:rPr>
            </w:pPr>
            <w:r>
              <w:rPr>
                <w:rFonts w:ascii="宋体" w:hAnsi="宋体" w:cs="宋体" w:eastAsia="宋体" w:hint="default"/>
                <w:sz w:val="18"/>
                <w:szCs w:val="18"/>
              </w:rPr>
              <w:t>现金结算</w:t>
            </w:r>
          </w:p>
        </w:tc>
        <w:tc>
          <w:tcPr>
            <w:tcW w:w="11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10"/>
        <w:rPr>
          <w:rFonts w:ascii="宋体" w:hAnsi="宋体" w:cs="宋体" w:eastAsia="宋体" w:hint="default"/>
          <w:sz w:val="18"/>
          <w:szCs w:val="18"/>
        </w:rPr>
      </w:pPr>
    </w:p>
    <w:p>
      <w:pPr>
        <w:pStyle w:val="BodyText"/>
        <w:spacing w:line="237" w:lineRule="auto" w:before="28"/>
        <w:ind w:left="500" w:right="519" w:firstLine="480"/>
        <w:jc w:val="both"/>
      </w:pPr>
      <w:r>
        <w:rPr/>
        <w:t>公司与阿尔派株式会社、东芝的关联交易数额为</w:t>
      </w:r>
      <w:r>
        <w:rPr>
          <w:spacing w:val="-59"/>
        </w:rPr>
        <w:t> </w:t>
      </w:r>
      <w:r>
        <w:rPr/>
        <w:t>2009</w:t>
      </w:r>
      <w:r>
        <w:rPr>
          <w:spacing w:val="-59"/>
        </w:rPr>
        <w:t> </w:t>
      </w:r>
      <w:r>
        <w:rPr/>
        <w:t>年度持续发生的同类关联交易</w:t>
      </w:r>
      <w:r>
        <w:rPr/>
        <w:t> </w:t>
      </w:r>
      <w:r>
        <w:rPr>
          <w:spacing w:val="-4"/>
        </w:rPr>
        <w:t>的累计金额，主要是公司充分利用在软件开发方面的优势，在汽车电子、行业解决方案等</w:t>
      </w:r>
      <w:r>
        <w:rPr>
          <w:spacing w:val="-84"/>
        </w:rPr>
        <w:t> </w:t>
      </w:r>
      <w:r>
        <w:rPr>
          <w:spacing w:val="-84"/>
        </w:rPr>
      </w:r>
      <w:r>
        <w:rPr>
          <w:spacing w:val="-4"/>
        </w:rPr>
        <w:t>领域为阿尔派、东芝提供软件产品和服务，该项业务为公司提供了稳定的、持续的收入来</w:t>
      </w:r>
      <w:r>
        <w:rPr>
          <w:spacing w:val="-84"/>
        </w:rPr>
        <w:t> </w:t>
      </w:r>
      <w:r>
        <w:rPr>
          <w:spacing w:val="-84"/>
        </w:rPr>
      </w:r>
      <w:r>
        <w:rPr/>
        <w:t>源，保证和推动了公司国际软件业务的发展。</w:t>
      </w:r>
    </w:p>
    <w:p>
      <w:pPr>
        <w:pStyle w:val="BodyText"/>
        <w:spacing w:line="237" w:lineRule="auto" w:before="1"/>
        <w:ind w:left="500" w:right="519" w:firstLine="480"/>
        <w:jc w:val="both"/>
      </w:pPr>
      <w:r>
        <w:rPr/>
        <w:t>公司与东软飞利浦之间的关联交易数额为</w:t>
      </w:r>
      <w:r>
        <w:rPr>
          <w:spacing w:val="-59"/>
        </w:rPr>
        <w:t> </w:t>
      </w:r>
      <w:r>
        <w:rPr/>
        <w:t>2009</w:t>
      </w:r>
      <w:r>
        <w:rPr>
          <w:spacing w:val="-59"/>
        </w:rPr>
        <w:t> </w:t>
      </w:r>
      <w:r>
        <w:rPr/>
        <w:t>年度持续发生的同类关联交易的累计</w:t>
      </w:r>
      <w:r>
        <w:rPr/>
        <w:t> 金额，主要是公司向东软飞利浦采购</w:t>
      </w:r>
      <w:r>
        <w:rPr>
          <w:spacing w:val="-40"/>
        </w:rPr>
        <w:t> </w:t>
      </w:r>
      <w:r>
        <w:rPr/>
        <w:t>CT、MRI、X</w:t>
      </w:r>
      <w:r>
        <w:rPr>
          <w:spacing w:val="-40"/>
        </w:rPr>
        <w:t> </w:t>
      </w:r>
      <w:r>
        <w:rPr/>
        <w:t>线机、B</w:t>
      </w:r>
      <w:r>
        <w:rPr>
          <w:spacing w:val="-40"/>
        </w:rPr>
        <w:t> </w:t>
      </w:r>
      <w:r>
        <w:rPr/>
        <w:t>超等四大医学影像设备。东软</w:t>
      </w:r>
      <w:r>
        <w:rPr/>
        <w:t> </w:t>
      </w:r>
      <w:r>
        <w:rPr>
          <w:spacing w:val="-4"/>
        </w:rPr>
        <w:t>飞利浦为公司上述四大医学影像设备的生产制造基地，公司通过自己的销售渠道，以“东</w:t>
      </w:r>
      <w:r>
        <w:rPr>
          <w:spacing w:val="-84"/>
        </w:rPr>
        <w:t> </w:t>
      </w:r>
      <w:r>
        <w:rPr>
          <w:spacing w:val="-84"/>
        </w:rPr>
      </w:r>
      <w:r>
        <w:rPr>
          <w:spacing w:val="-3"/>
        </w:rPr>
        <w:t>软/Neusoft”的品牌对客户销售上述产品，上述关联交易是公司医疗系统业务持续、规模</w:t>
      </w:r>
      <w:r>
        <w:rPr>
          <w:spacing w:val="-111"/>
        </w:rPr>
        <w:t> </w:t>
      </w:r>
      <w:r>
        <w:rPr>
          <w:spacing w:val="-111"/>
        </w:rPr>
      </w:r>
      <w:r>
        <w:rPr/>
        <w:t>化发展的有力保障。</w:t>
      </w:r>
    </w:p>
    <w:p>
      <w:pPr>
        <w:spacing w:line="240" w:lineRule="auto" w:before="12"/>
        <w:rPr>
          <w:rFonts w:ascii="宋体" w:hAnsi="宋体" w:cs="宋体" w:eastAsia="宋体" w:hint="default"/>
          <w:sz w:val="22"/>
          <w:szCs w:val="22"/>
        </w:rPr>
      </w:pPr>
    </w:p>
    <w:p>
      <w:pPr>
        <w:pStyle w:val="BodyText"/>
        <w:spacing w:line="312" w:lineRule="exact"/>
        <w:ind w:left="860" w:right="5064" w:hanging="360"/>
        <w:jc w:val="left"/>
      </w:pPr>
      <w:r>
        <w:rPr/>
        <w:t>3、资产收购、出售发生的关联交易 本报告期无收购、出售发生的关联交易。</w:t>
      </w:r>
    </w:p>
    <w:p>
      <w:pPr>
        <w:spacing w:line="240" w:lineRule="auto" w:before="0"/>
        <w:rPr>
          <w:rFonts w:ascii="宋体" w:hAnsi="宋体" w:cs="宋体" w:eastAsia="宋体" w:hint="default"/>
          <w:sz w:val="24"/>
          <w:szCs w:val="24"/>
        </w:rPr>
      </w:pPr>
    </w:p>
    <w:p>
      <w:pPr>
        <w:pStyle w:val="BodyText"/>
        <w:spacing w:line="313" w:lineRule="exact" w:before="199"/>
        <w:ind w:left="500" w:right="5064"/>
        <w:jc w:val="left"/>
      </w:pPr>
      <w:r>
        <w:rPr/>
        <w:t>（六）重大合同及其履行情况</w:t>
      </w:r>
    </w:p>
    <w:p>
      <w:pPr>
        <w:pStyle w:val="BodyText"/>
        <w:spacing w:line="311" w:lineRule="exact"/>
        <w:ind w:left="500" w:right="5064"/>
        <w:jc w:val="left"/>
      </w:pPr>
      <w:r>
        <w:rPr/>
        <w:t>（1）托管情况</w:t>
      </w:r>
    </w:p>
    <w:p>
      <w:pPr>
        <w:pStyle w:val="BodyText"/>
        <w:spacing w:line="311" w:lineRule="exact"/>
        <w:ind w:left="980" w:right="5064"/>
        <w:jc w:val="left"/>
      </w:pPr>
      <w:r>
        <w:rPr/>
        <w:t>本年度公司无托管事项。</w:t>
      </w:r>
    </w:p>
    <w:p>
      <w:pPr>
        <w:pStyle w:val="BodyText"/>
        <w:spacing w:line="311" w:lineRule="exact"/>
        <w:ind w:left="500" w:right="5064"/>
        <w:jc w:val="left"/>
      </w:pPr>
      <w:r>
        <w:rPr/>
        <w:t>（2）承包情况</w:t>
      </w:r>
    </w:p>
    <w:p>
      <w:pPr>
        <w:pStyle w:val="BodyText"/>
        <w:spacing w:line="311" w:lineRule="exact"/>
        <w:ind w:left="980" w:right="5064"/>
        <w:jc w:val="left"/>
      </w:pPr>
      <w:r>
        <w:rPr/>
        <w:t>本年度公司无承包事项。</w:t>
      </w:r>
    </w:p>
    <w:p>
      <w:pPr>
        <w:pStyle w:val="BodyText"/>
        <w:spacing w:line="311" w:lineRule="exact"/>
        <w:ind w:left="500" w:right="5064"/>
        <w:jc w:val="left"/>
      </w:pPr>
      <w:r>
        <w:rPr/>
        <w:t>（3）租赁情况</w:t>
      </w:r>
    </w:p>
    <w:p>
      <w:pPr>
        <w:pStyle w:val="BodyText"/>
        <w:spacing w:line="312" w:lineRule="exact"/>
        <w:ind w:left="980" w:right="5064"/>
        <w:jc w:val="left"/>
      </w:pPr>
      <w:r>
        <w:rPr/>
        <w:t>本年度公司无租赁事项。</w:t>
      </w:r>
    </w:p>
    <w:p>
      <w:pPr>
        <w:spacing w:after="0" w:line="312" w:lineRule="exact"/>
        <w:jc w:val="left"/>
        <w:sectPr>
          <w:type w:val="continuous"/>
          <w:pgSz w:w="11910" w:h="16840"/>
          <w:pgMar w:top="1600" w:bottom="280" w:left="860" w:right="78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720" w:footer="721" w:top="1100" w:bottom="920" w:left="800" w:right="720"/>
        </w:sectPr>
      </w:pPr>
    </w:p>
    <w:p>
      <w:pPr>
        <w:pStyle w:val="BodyText"/>
        <w:spacing w:line="240" w:lineRule="auto" w:before="26"/>
        <w:ind w:left="560" w:right="-20"/>
        <w:jc w:val="left"/>
      </w:pPr>
      <w:r>
        <w:rPr/>
        <w:t>2、担保情况</w:t>
      </w:r>
    </w:p>
    <w:p>
      <w:pPr>
        <w:spacing w:line="240" w:lineRule="auto" w:before="2"/>
        <w:rPr>
          <w:rFonts w:ascii="宋体" w:hAnsi="宋体" w:cs="宋体" w:eastAsia="宋体" w:hint="default"/>
          <w:sz w:val="26"/>
          <w:szCs w:val="26"/>
        </w:rPr>
      </w:pPr>
      <w:r>
        <w:rPr/>
        <w:br w:type="column"/>
      </w:r>
      <w:r>
        <w:rPr>
          <w:rFonts w:ascii="宋体"/>
          <w:sz w:val="26"/>
        </w:rPr>
      </w:r>
    </w:p>
    <w:p>
      <w:pPr>
        <w:tabs>
          <w:tab w:pos="1715" w:val="left" w:leader="none"/>
        </w:tabs>
        <w:spacing w:before="0"/>
        <w:ind w:left="560" w:right="0" w:firstLine="0"/>
        <w:jc w:val="left"/>
        <w:rPr>
          <w:rFonts w:ascii="宋体" w:hAnsi="宋体" w:cs="宋体" w:eastAsia="宋体" w:hint="default"/>
          <w:sz w:val="21"/>
          <w:szCs w:val="21"/>
        </w:rPr>
      </w:pPr>
      <w:r>
        <w:rPr>
          <w:rFonts w:ascii="宋体" w:hAnsi="宋体" w:cs="宋体" w:eastAsia="宋体" w:hint="default"/>
          <w:spacing w:val="-1"/>
          <w:sz w:val="21"/>
          <w:szCs w:val="21"/>
        </w:rPr>
        <w:t>单位:万元</w:t>
        <w:tab/>
        <w:t>人民币</w:t>
      </w:r>
      <w:r>
        <w:rPr>
          <w:rFonts w:ascii="宋体" w:hAnsi="宋体" w:cs="宋体" w:eastAsia="宋体" w:hint="default"/>
          <w:sz w:val="21"/>
          <w:szCs w:val="21"/>
        </w:rPr>
      </w:r>
    </w:p>
    <w:p>
      <w:pPr>
        <w:spacing w:after="0"/>
        <w:jc w:val="left"/>
        <w:rPr>
          <w:rFonts w:ascii="宋体" w:hAnsi="宋体" w:cs="宋体" w:eastAsia="宋体" w:hint="default"/>
          <w:sz w:val="21"/>
          <w:szCs w:val="21"/>
        </w:rPr>
        <w:sectPr>
          <w:type w:val="continuous"/>
          <w:pgSz w:w="11910" w:h="16840"/>
          <w:pgMar w:top="1600" w:bottom="280" w:left="800" w:right="720"/>
          <w:cols w:num="2" w:equalWidth="0">
            <w:col w:w="1881" w:space="5577"/>
            <w:col w:w="2932"/>
          </w:cols>
        </w:sectPr>
      </w:pPr>
    </w:p>
    <w:p>
      <w:pPr>
        <w:spacing w:line="240" w:lineRule="auto" w:before="7"/>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1062"/>
        <w:gridCol w:w="829"/>
        <w:gridCol w:w="592"/>
        <w:gridCol w:w="666"/>
        <w:gridCol w:w="967"/>
        <w:gridCol w:w="968"/>
        <w:gridCol w:w="890"/>
        <w:gridCol w:w="296"/>
        <w:gridCol w:w="235"/>
        <w:gridCol w:w="592"/>
        <w:gridCol w:w="593"/>
        <w:gridCol w:w="592"/>
        <w:gridCol w:w="592"/>
        <w:gridCol w:w="593"/>
        <w:gridCol w:w="678"/>
      </w:tblGrid>
      <w:tr>
        <w:trPr>
          <w:trHeight w:val="287" w:hRule="exact"/>
        </w:trPr>
        <w:tc>
          <w:tcPr>
            <w:tcW w:w="10145" w:type="dxa"/>
            <w:gridSpan w:val="15"/>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745" w:right="0"/>
              <w:jc w:val="left"/>
              <w:rPr>
                <w:rFonts w:ascii="宋体" w:hAnsi="宋体" w:cs="宋体" w:eastAsia="宋体" w:hint="default"/>
                <w:sz w:val="21"/>
                <w:szCs w:val="21"/>
              </w:rPr>
            </w:pPr>
            <w:r>
              <w:rPr>
                <w:rFonts w:ascii="宋体" w:hAnsi="宋体" w:cs="宋体" w:eastAsia="宋体" w:hint="default"/>
                <w:b/>
                <w:bCs/>
                <w:sz w:val="21"/>
                <w:szCs w:val="21"/>
              </w:rPr>
              <w:t>公司对外担保情况（不包括对控股子公司的担保）</w:t>
            </w:r>
            <w:r>
              <w:rPr>
                <w:rFonts w:ascii="宋体" w:hAnsi="宋体" w:cs="宋体" w:eastAsia="宋体" w:hint="default"/>
                <w:sz w:val="21"/>
                <w:szCs w:val="21"/>
              </w:rPr>
            </w:r>
          </w:p>
        </w:tc>
      </w:tr>
      <w:tr>
        <w:trPr>
          <w:trHeight w:val="2738" w:hRule="exact"/>
        </w:trPr>
        <w:tc>
          <w:tcPr>
            <w:tcW w:w="10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left="208" w:right="0"/>
              <w:jc w:val="left"/>
              <w:rPr>
                <w:rFonts w:ascii="宋体" w:hAnsi="宋体" w:cs="宋体" w:eastAsia="宋体" w:hint="default"/>
                <w:sz w:val="21"/>
                <w:szCs w:val="21"/>
              </w:rPr>
            </w:pPr>
            <w:r>
              <w:rPr>
                <w:rFonts w:ascii="宋体" w:hAnsi="宋体" w:cs="宋体" w:eastAsia="宋体" w:hint="default"/>
                <w:sz w:val="21"/>
                <w:szCs w:val="21"/>
              </w:rPr>
              <w:t>担保方</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196" w:right="197"/>
              <w:jc w:val="both"/>
              <w:rPr>
                <w:rFonts w:ascii="宋体" w:hAnsi="宋体" w:cs="宋体" w:eastAsia="宋体" w:hint="default"/>
                <w:sz w:val="21"/>
                <w:szCs w:val="21"/>
              </w:rPr>
            </w:pPr>
            <w:r>
              <w:rPr>
                <w:rFonts w:ascii="宋体" w:hAnsi="宋体" w:cs="宋体" w:eastAsia="宋体" w:hint="default"/>
                <w:sz w:val="21"/>
                <w:szCs w:val="21"/>
              </w:rPr>
              <w:t>担保 方与 上市 公司 的关 系</w:t>
            </w:r>
          </w:p>
        </w:tc>
        <w:tc>
          <w:tcPr>
            <w:tcW w:w="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72" w:lineRule="exact"/>
              <w:ind w:left="183" w:right="181"/>
              <w:jc w:val="both"/>
              <w:rPr>
                <w:rFonts w:ascii="宋体" w:hAnsi="宋体" w:cs="宋体" w:eastAsia="宋体" w:hint="default"/>
                <w:sz w:val="21"/>
                <w:szCs w:val="21"/>
              </w:rPr>
            </w:pPr>
            <w:r>
              <w:rPr>
                <w:rFonts w:ascii="宋体" w:hAnsi="宋体" w:cs="宋体" w:eastAsia="宋体" w:hint="default"/>
                <w:sz w:val="21"/>
                <w:szCs w:val="21"/>
              </w:rPr>
              <w:t>被 担 保 方</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2"/>
                <w:szCs w:val="22"/>
              </w:rPr>
            </w:pPr>
          </w:p>
          <w:p>
            <w:pPr>
              <w:pStyle w:val="TableParagraph"/>
              <w:spacing w:line="272" w:lineRule="exact"/>
              <w:ind w:left="115" w:right="114"/>
              <w:jc w:val="left"/>
              <w:rPr>
                <w:rFonts w:ascii="宋体" w:hAnsi="宋体" w:cs="宋体" w:eastAsia="宋体" w:hint="default"/>
                <w:sz w:val="21"/>
                <w:szCs w:val="21"/>
              </w:rPr>
            </w:pPr>
            <w:r>
              <w:rPr>
                <w:rFonts w:ascii="宋体" w:hAnsi="宋体" w:cs="宋体" w:eastAsia="宋体" w:hint="default"/>
                <w:sz w:val="21"/>
                <w:szCs w:val="21"/>
              </w:rPr>
              <w:t>担保 金额</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72" w:lineRule="exact"/>
              <w:ind w:left="161" w:right="158"/>
              <w:jc w:val="left"/>
              <w:rPr>
                <w:rFonts w:ascii="宋体" w:hAnsi="宋体" w:cs="宋体" w:eastAsia="宋体" w:hint="default"/>
                <w:sz w:val="21"/>
                <w:szCs w:val="21"/>
              </w:rPr>
            </w:pPr>
            <w:r>
              <w:rPr>
                <w:rFonts w:ascii="宋体" w:hAnsi="宋体" w:cs="宋体" w:eastAsia="宋体" w:hint="default"/>
                <w:sz w:val="21"/>
                <w:szCs w:val="21"/>
              </w:rPr>
              <w:t>担保发 生日期</w:t>
            </w:r>
          </w:p>
          <w:p>
            <w:pPr>
              <w:pStyle w:val="TableParagraph"/>
              <w:spacing w:line="272" w:lineRule="exact"/>
              <w:ind w:left="100" w:right="11" w:firstLine="61"/>
              <w:jc w:val="left"/>
              <w:rPr>
                <w:rFonts w:ascii="宋体" w:hAnsi="宋体" w:cs="宋体" w:eastAsia="宋体" w:hint="default"/>
                <w:sz w:val="21"/>
                <w:szCs w:val="21"/>
              </w:rPr>
            </w:pPr>
            <w:r>
              <w:rPr>
                <w:rFonts w:ascii="宋体" w:hAnsi="宋体" w:cs="宋体" w:eastAsia="宋体" w:hint="default"/>
                <w:sz w:val="21"/>
                <w:szCs w:val="21"/>
              </w:rPr>
              <w:t>（协议 签署日）</w:t>
            </w:r>
          </w:p>
        </w:tc>
        <w:tc>
          <w:tcPr>
            <w:tcW w:w="9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2"/>
                <w:szCs w:val="22"/>
              </w:rPr>
            </w:pPr>
          </w:p>
          <w:p>
            <w:pPr>
              <w:pStyle w:val="TableParagraph"/>
              <w:spacing w:line="272" w:lineRule="exact"/>
              <w:ind w:left="266" w:right="160" w:hanging="105"/>
              <w:jc w:val="left"/>
              <w:rPr>
                <w:rFonts w:ascii="宋体" w:hAnsi="宋体" w:cs="宋体" w:eastAsia="宋体" w:hint="default"/>
                <w:sz w:val="21"/>
                <w:szCs w:val="21"/>
              </w:rPr>
            </w:pPr>
            <w:r>
              <w:rPr>
                <w:rFonts w:ascii="宋体" w:hAnsi="宋体" w:cs="宋体" w:eastAsia="宋体" w:hint="default"/>
                <w:sz w:val="21"/>
                <w:szCs w:val="21"/>
              </w:rPr>
              <w:t>担保起 始日</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2"/>
                <w:szCs w:val="22"/>
              </w:rPr>
            </w:pPr>
          </w:p>
          <w:p>
            <w:pPr>
              <w:pStyle w:val="TableParagraph"/>
              <w:spacing w:line="272" w:lineRule="exact"/>
              <w:ind w:left="227" w:right="120" w:hanging="105"/>
              <w:jc w:val="left"/>
              <w:rPr>
                <w:rFonts w:ascii="宋体" w:hAnsi="宋体" w:cs="宋体" w:eastAsia="宋体" w:hint="default"/>
                <w:sz w:val="21"/>
                <w:szCs w:val="21"/>
              </w:rPr>
            </w:pPr>
            <w:r>
              <w:rPr>
                <w:rFonts w:ascii="宋体" w:hAnsi="宋体" w:cs="宋体" w:eastAsia="宋体" w:hint="default"/>
                <w:sz w:val="21"/>
                <w:szCs w:val="21"/>
              </w:rPr>
              <w:t>担保到 期日</w:t>
            </w:r>
          </w:p>
        </w:tc>
        <w:tc>
          <w:tcPr>
            <w:tcW w:w="53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72" w:lineRule="exact"/>
              <w:ind w:left="153" w:right="151"/>
              <w:jc w:val="both"/>
              <w:rPr>
                <w:rFonts w:ascii="宋体" w:hAnsi="宋体" w:cs="宋体" w:eastAsia="宋体" w:hint="default"/>
                <w:sz w:val="21"/>
                <w:szCs w:val="21"/>
              </w:rPr>
            </w:pPr>
            <w:r>
              <w:rPr>
                <w:rFonts w:ascii="宋体" w:hAnsi="宋体" w:cs="宋体" w:eastAsia="宋体" w:hint="default"/>
                <w:sz w:val="21"/>
                <w:szCs w:val="21"/>
              </w:rPr>
              <w:t>担 保 类 型</w:t>
            </w:r>
          </w:p>
        </w:tc>
        <w:tc>
          <w:tcPr>
            <w:tcW w:w="59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83" w:right="0"/>
              <w:jc w:val="both"/>
              <w:rPr>
                <w:rFonts w:ascii="宋体" w:hAnsi="宋体" w:cs="宋体" w:eastAsia="宋体" w:hint="default"/>
                <w:sz w:val="21"/>
                <w:szCs w:val="21"/>
              </w:rPr>
            </w:pPr>
            <w:r>
              <w:rPr>
                <w:rFonts w:ascii="宋体" w:hAnsi="宋体" w:cs="宋体" w:eastAsia="宋体" w:hint="default"/>
                <w:sz w:val="21"/>
                <w:szCs w:val="21"/>
              </w:rPr>
              <w:t>担</w:t>
            </w:r>
          </w:p>
          <w:p>
            <w:pPr>
              <w:pStyle w:val="TableParagraph"/>
              <w:spacing w:line="272" w:lineRule="exact" w:before="26"/>
              <w:ind w:left="183" w:right="181"/>
              <w:jc w:val="both"/>
              <w:rPr>
                <w:rFonts w:ascii="宋体" w:hAnsi="宋体" w:cs="宋体" w:eastAsia="宋体" w:hint="default"/>
                <w:sz w:val="21"/>
                <w:szCs w:val="21"/>
              </w:rPr>
            </w:pPr>
            <w:r>
              <w:rPr>
                <w:rFonts w:ascii="宋体" w:hAnsi="宋体" w:cs="宋体" w:eastAsia="宋体" w:hint="default"/>
                <w:sz w:val="21"/>
                <w:szCs w:val="21"/>
              </w:rPr>
              <w:t>保 是 否 已 经 履 行 完 毕</w:t>
            </w:r>
          </w:p>
        </w:tc>
        <w:tc>
          <w:tcPr>
            <w:tcW w:w="5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0"/>
                <w:szCs w:val="20"/>
              </w:rPr>
            </w:pPr>
          </w:p>
          <w:p>
            <w:pPr>
              <w:pStyle w:val="TableParagraph"/>
              <w:spacing w:line="272" w:lineRule="exact"/>
              <w:ind w:left="183" w:right="183"/>
              <w:jc w:val="both"/>
              <w:rPr>
                <w:rFonts w:ascii="宋体" w:hAnsi="宋体" w:cs="宋体" w:eastAsia="宋体" w:hint="default"/>
                <w:sz w:val="21"/>
                <w:szCs w:val="21"/>
              </w:rPr>
            </w:pPr>
            <w:r>
              <w:rPr>
                <w:rFonts w:ascii="宋体" w:hAnsi="宋体" w:cs="宋体" w:eastAsia="宋体" w:hint="default"/>
                <w:sz w:val="21"/>
                <w:szCs w:val="21"/>
              </w:rPr>
              <w:t>担 保 是 否 逾 期</w:t>
            </w:r>
          </w:p>
        </w:tc>
        <w:tc>
          <w:tcPr>
            <w:tcW w:w="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0"/>
                <w:szCs w:val="20"/>
              </w:rPr>
            </w:pPr>
          </w:p>
          <w:p>
            <w:pPr>
              <w:pStyle w:val="TableParagraph"/>
              <w:spacing w:line="272" w:lineRule="exact"/>
              <w:ind w:left="183" w:right="181"/>
              <w:jc w:val="both"/>
              <w:rPr>
                <w:rFonts w:ascii="宋体" w:hAnsi="宋体" w:cs="宋体" w:eastAsia="宋体" w:hint="default"/>
                <w:sz w:val="21"/>
                <w:szCs w:val="21"/>
              </w:rPr>
            </w:pPr>
            <w:r>
              <w:rPr>
                <w:rFonts w:ascii="宋体" w:hAnsi="宋体" w:cs="宋体" w:eastAsia="宋体" w:hint="default"/>
                <w:sz w:val="21"/>
                <w:szCs w:val="21"/>
              </w:rPr>
              <w:t>担 保 逾 期 金 额</w:t>
            </w:r>
          </w:p>
        </w:tc>
        <w:tc>
          <w:tcPr>
            <w:tcW w:w="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39"/>
              <w:ind w:left="183" w:right="181"/>
              <w:jc w:val="both"/>
              <w:rPr>
                <w:rFonts w:ascii="宋体" w:hAnsi="宋体" w:cs="宋体" w:eastAsia="宋体" w:hint="default"/>
                <w:sz w:val="21"/>
                <w:szCs w:val="21"/>
              </w:rPr>
            </w:pPr>
            <w:r>
              <w:rPr>
                <w:rFonts w:ascii="宋体" w:hAnsi="宋体" w:cs="宋体" w:eastAsia="宋体" w:hint="default"/>
                <w:sz w:val="21"/>
                <w:szCs w:val="21"/>
              </w:rPr>
              <w:t>是 否 存 在 反 担 保</w:t>
            </w:r>
          </w:p>
        </w:tc>
        <w:tc>
          <w:tcPr>
            <w:tcW w:w="5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72" w:lineRule="exact"/>
              <w:ind w:left="183" w:right="183"/>
              <w:jc w:val="both"/>
              <w:rPr>
                <w:rFonts w:ascii="宋体" w:hAnsi="宋体" w:cs="宋体" w:eastAsia="宋体" w:hint="default"/>
                <w:sz w:val="21"/>
                <w:szCs w:val="21"/>
              </w:rPr>
            </w:pPr>
            <w:r>
              <w:rPr>
                <w:rFonts w:ascii="宋体" w:hAnsi="宋体" w:cs="宋体" w:eastAsia="宋体" w:hint="default"/>
                <w:sz w:val="21"/>
                <w:szCs w:val="21"/>
              </w:rPr>
              <w:t>是 否 为 关 联 方 担 保</w:t>
            </w: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2"/>
                <w:szCs w:val="22"/>
              </w:rPr>
            </w:pPr>
          </w:p>
          <w:p>
            <w:pPr>
              <w:pStyle w:val="TableParagraph"/>
              <w:spacing w:line="272" w:lineRule="exact"/>
              <w:ind w:left="121" w:right="120"/>
              <w:jc w:val="left"/>
              <w:rPr>
                <w:rFonts w:ascii="宋体" w:hAnsi="宋体" w:cs="宋体" w:eastAsia="宋体" w:hint="default"/>
                <w:sz w:val="21"/>
                <w:szCs w:val="21"/>
              </w:rPr>
            </w:pPr>
            <w:r>
              <w:rPr>
                <w:rFonts w:ascii="宋体" w:hAnsi="宋体" w:cs="宋体" w:eastAsia="宋体" w:hint="default"/>
                <w:sz w:val="21"/>
                <w:szCs w:val="21"/>
              </w:rPr>
              <w:t>关联 关系</w:t>
            </w:r>
          </w:p>
        </w:tc>
      </w:tr>
      <w:tr>
        <w:trPr>
          <w:trHeight w:val="949" w:hRule="exact"/>
        </w:trPr>
        <w:tc>
          <w:tcPr>
            <w:tcW w:w="1062"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89"/>
              <w:ind w:left="100" w:right="56"/>
              <w:jc w:val="both"/>
              <w:rPr>
                <w:rFonts w:ascii="宋体" w:hAnsi="宋体" w:cs="宋体" w:eastAsia="宋体" w:hint="default"/>
                <w:sz w:val="18"/>
                <w:szCs w:val="18"/>
              </w:rPr>
            </w:pPr>
            <w:r>
              <w:rPr>
                <w:rFonts w:ascii="宋体" w:hAnsi="宋体" w:cs="宋体" w:eastAsia="宋体" w:hint="default"/>
                <w:spacing w:val="31"/>
                <w:sz w:val="18"/>
                <w:szCs w:val="18"/>
              </w:rPr>
              <w:t>东软集团</w:t>
            </w:r>
            <w:r>
              <w:rPr>
                <w:rFonts w:ascii="宋体" w:hAnsi="宋体" w:cs="宋体" w:eastAsia="宋体" w:hint="default"/>
                <w:spacing w:val="-48"/>
                <w:sz w:val="18"/>
                <w:szCs w:val="18"/>
              </w:rPr>
              <w:t> </w:t>
            </w:r>
            <w:r>
              <w:rPr>
                <w:rFonts w:ascii="宋体" w:hAnsi="宋体" w:cs="宋体" w:eastAsia="宋体" w:hint="default"/>
                <w:spacing w:val="31"/>
                <w:sz w:val="18"/>
                <w:szCs w:val="18"/>
              </w:rPr>
              <w:t>股份有限</w:t>
            </w:r>
            <w:r>
              <w:rPr>
                <w:rFonts w:ascii="宋体" w:hAnsi="宋体" w:cs="宋体" w:eastAsia="宋体" w:hint="default"/>
                <w:spacing w:val="-48"/>
                <w:sz w:val="18"/>
                <w:szCs w:val="18"/>
              </w:rPr>
              <w:t> </w:t>
            </w:r>
            <w:r>
              <w:rPr>
                <w:rFonts w:ascii="宋体" w:hAnsi="宋体" w:cs="宋体" w:eastAsia="宋体" w:hint="default"/>
                <w:sz w:val="18"/>
                <w:szCs w:val="18"/>
              </w:rPr>
              <w:t>公司</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26" w:right="227"/>
              <w:jc w:val="left"/>
              <w:rPr>
                <w:rFonts w:ascii="宋体" w:hAnsi="宋体" w:cs="宋体" w:eastAsia="宋体" w:hint="default"/>
                <w:sz w:val="18"/>
                <w:szCs w:val="18"/>
              </w:rPr>
            </w:pPr>
            <w:r>
              <w:rPr>
                <w:rFonts w:ascii="宋体" w:hAnsi="宋体" w:cs="宋体" w:eastAsia="宋体" w:hint="default"/>
                <w:sz w:val="18"/>
                <w:szCs w:val="18"/>
              </w:rPr>
              <w:t>公司 本部</w:t>
            </w:r>
          </w:p>
        </w:tc>
        <w:tc>
          <w:tcPr>
            <w:tcW w:w="59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8" w:right="0"/>
              <w:jc w:val="both"/>
              <w:rPr>
                <w:rFonts w:ascii="宋体" w:hAnsi="宋体" w:cs="宋体" w:eastAsia="宋体" w:hint="default"/>
                <w:sz w:val="18"/>
                <w:szCs w:val="18"/>
              </w:rPr>
            </w:pPr>
            <w:r>
              <w:rPr>
                <w:rFonts w:ascii="宋体" w:hAnsi="宋体" w:cs="宋体" w:eastAsia="宋体" w:hint="default"/>
                <w:sz w:val="18"/>
                <w:szCs w:val="18"/>
              </w:rPr>
              <w:t>大连</w:t>
            </w:r>
          </w:p>
          <w:p>
            <w:pPr>
              <w:pStyle w:val="TableParagraph"/>
              <w:spacing w:line="237" w:lineRule="auto" w:before="1"/>
              <w:ind w:left="108" w:right="107"/>
              <w:jc w:val="both"/>
              <w:rPr>
                <w:rFonts w:ascii="宋体" w:hAnsi="宋体" w:cs="宋体" w:eastAsia="宋体" w:hint="default"/>
                <w:sz w:val="18"/>
                <w:szCs w:val="18"/>
              </w:rPr>
            </w:pPr>
            <w:r>
              <w:rPr>
                <w:rFonts w:ascii="宋体" w:hAnsi="宋体" w:cs="宋体" w:eastAsia="宋体" w:hint="default"/>
                <w:sz w:val="18"/>
                <w:szCs w:val="18"/>
              </w:rPr>
              <w:t>东软 信息 学院</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sz w:val="18"/>
              </w:rPr>
              <w:t>6,000</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5"/>
                <w:szCs w:val="15"/>
              </w:rPr>
            </w:pPr>
            <w:r>
              <w:rPr>
                <w:rFonts w:ascii="宋体"/>
                <w:sz w:val="15"/>
              </w:rPr>
              <w:t>2009.12.10</w:t>
            </w:r>
          </w:p>
        </w:tc>
        <w:tc>
          <w:tcPr>
            <w:tcW w:w="9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5"/>
                <w:szCs w:val="15"/>
              </w:rPr>
            </w:pPr>
            <w:r>
              <w:rPr>
                <w:rFonts w:ascii="宋体"/>
                <w:sz w:val="15"/>
              </w:rPr>
              <w:t>2009.12.10</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5"/>
                <w:szCs w:val="15"/>
              </w:rPr>
            </w:pPr>
            <w:r>
              <w:rPr>
                <w:rFonts w:ascii="宋体"/>
                <w:sz w:val="15"/>
              </w:rPr>
              <w:t>2010.4.10</w:t>
            </w:r>
          </w:p>
        </w:tc>
        <w:tc>
          <w:tcPr>
            <w:tcW w:w="53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left="100" w:right="114"/>
              <w:jc w:val="both"/>
              <w:rPr>
                <w:rFonts w:ascii="宋体" w:hAnsi="宋体" w:cs="宋体" w:eastAsia="宋体" w:hint="default"/>
                <w:sz w:val="15"/>
                <w:szCs w:val="15"/>
              </w:rPr>
            </w:pPr>
            <w:r>
              <w:rPr>
                <w:rFonts w:ascii="宋体" w:hAnsi="宋体" w:cs="宋体" w:eastAsia="宋体" w:hint="default"/>
                <w:sz w:val="15"/>
                <w:szCs w:val="15"/>
              </w:rPr>
              <w:t>连带 责任 担保</w:t>
            </w:r>
          </w:p>
        </w:tc>
        <w:tc>
          <w:tcPr>
            <w:tcW w:w="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5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5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left="106" w:right="104"/>
              <w:jc w:val="both"/>
              <w:rPr>
                <w:rFonts w:ascii="宋体" w:hAnsi="宋体" w:cs="宋体" w:eastAsia="宋体" w:hint="default"/>
                <w:sz w:val="15"/>
                <w:szCs w:val="15"/>
              </w:rPr>
            </w:pPr>
            <w:r>
              <w:rPr>
                <w:rFonts w:ascii="宋体" w:hAnsi="宋体" w:cs="宋体" w:eastAsia="宋体" w:hint="default"/>
                <w:sz w:val="15"/>
                <w:szCs w:val="15"/>
              </w:rPr>
              <w:t>与公司 同一董 事长</w:t>
            </w:r>
          </w:p>
        </w:tc>
      </w:tr>
      <w:tr>
        <w:trPr>
          <w:trHeight w:val="948" w:hRule="exact"/>
        </w:trPr>
        <w:tc>
          <w:tcPr>
            <w:tcW w:w="1062"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89"/>
              <w:ind w:left="100" w:right="56"/>
              <w:jc w:val="both"/>
              <w:rPr>
                <w:rFonts w:ascii="宋体" w:hAnsi="宋体" w:cs="宋体" w:eastAsia="宋体" w:hint="default"/>
                <w:sz w:val="18"/>
                <w:szCs w:val="18"/>
              </w:rPr>
            </w:pPr>
            <w:r>
              <w:rPr>
                <w:rFonts w:ascii="宋体" w:hAnsi="宋体" w:cs="宋体" w:eastAsia="宋体" w:hint="default"/>
                <w:spacing w:val="31"/>
                <w:sz w:val="18"/>
                <w:szCs w:val="18"/>
              </w:rPr>
              <w:t>东软集团</w:t>
            </w:r>
            <w:r>
              <w:rPr>
                <w:rFonts w:ascii="宋体" w:hAnsi="宋体" w:cs="宋体" w:eastAsia="宋体" w:hint="default"/>
                <w:spacing w:val="-48"/>
                <w:sz w:val="18"/>
                <w:szCs w:val="18"/>
              </w:rPr>
              <w:t> </w:t>
            </w:r>
            <w:r>
              <w:rPr>
                <w:rFonts w:ascii="宋体" w:hAnsi="宋体" w:cs="宋体" w:eastAsia="宋体" w:hint="default"/>
                <w:spacing w:val="31"/>
                <w:sz w:val="18"/>
                <w:szCs w:val="18"/>
              </w:rPr>
              <w:t>股份有限</w:t>
            </w:r>
            <w:r>
              <w:rPr>
                <w:rFonts w:ascii="宋体" w:hAnsi="宋体" w:cs="宋体" w:eastAsia="宋体" w:hint="default"/>
                <w:spacing w:val="-48"/>
                <w:sz w:val="18"/>
                <w:szCs w:val="18"/>
              </w:rPr>
              <w:t> </w:t>
            </w:r>
            <w:r>
              <w:rPr>
                <w:rFonts w:ascii="宋体" w:hAnsi="宋体" w:cs="宋体" w:eastAsia="宋体" w:hint="default"/>
                <w:sz w:val="18"/>
                <w:szCs w:val="18"/>
              </w:rPr>
              <w:t>公司</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226" w:right="227"/>
              <w:jc w:val="left"/>
              <w:rPr>
                <w:rFonts w:ascii="宋体" w:hAnsi="宋体" w:cs="宋体" w:eastAsia="宋体" w:hint="default"/>
                <w:sz w:val="18"/>
                <w:szCs w:val="18"/>
              </w:rPr>
            </w:pPr>
            <w:r>
              <w:rPr>
                <w:rFonts w:ascii="宋体" w:hAnsi="宋体" w:cs="宋体" w:eastAsia="宋体" w:hint="default"/>
                <w:sz w:val="18"/>
                <w:szCs w:val="18"/>
              </w:rPr>
              <w:t>公司 本部</w:t>
            </w:r>
          </w:p>
        </w:tc>
        <w:tc>
          <w:tcPr>
            <w:tcW w:w="5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8" w:right="0"/>
              <w:jc w:val="both"/>
              <w:rPr>
                <w:rFonts w:ascii="宋体" w:hAnsi="宋体" w:cs="宋体" w:eastAsia="宋体" w:hint="default"/>
                <w:sz w:val="18"/>
                <w:szCs w:val="18"/>
              </w:rPr>
            </w:pPr>
            <w:r>
              <w:rPr>
                <w:rFonts w:ascii="宋体" w:hAnsi="宋体" w:cs="宋体" w:eastAsia="宋体" w:hint="default"/>
                <w:sz w:val="18"/>
                <w:szCs w:val="18"/>
              </w:rPr>
              <w:t>大连</w:t>
            </w:r>
          </w:p>
          <w:p>
            <w:pPr>
              <w:pStyle w:val="TableParagraph"/>
              <w:spacing w:line="237" w:lineRule="auto"/>
              <w:ind w:left="108" w:right="107"/>
              <w:jc w:val="both"/>
              <w:rPr>
                <w:rFonts w:ascii="宋体" w:hAnsi="宋体" w:cs="宋体" w:eastAsia="宋体" w:hint="default"/>
                <w:sz w:val="18"/>
                <w:szCs w:val="18"/>
              </w:rPr>
            </w:pPr>
            <w:r>
              <w:rPr>
                <w:rFonts w:ascii="宋体" w:hAnsi="宋体" w:cs="宋体" w:eastAsia="宋体" w:hint="default"/>
                <w:sz w:val="18"/>
                <w:szCs w:val="18"/>
              </w:rPr>
              <w:t>东软 信息 学院</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sz w:val="18"/>
              </w:rPr>
              <w:t>3,000</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5"/>
                <w:szCs w:val="15"/>
              </w:rPr>
            </w:pPr>
            <w:r>
              <w:rPr>
                <w:rFonts w:ascii="宋体"/>
                <w:sz w:val="15"/>
              </w:rPr>
              <w:t>2009.12.17</w:t>
            </w:r>
          </w:p>
        </w:tc>
        <w:tc>
          <w:tcPr>
            <w:tcW w:w="9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5"/>
                <w:szCs w:val="15"/>
              </w:rPr>
            </w:pPr>
            <w:r>
              <w:rPr>
                <w:rFonts w:ascii="宋体"/>
                <w:sz w:val="15"/>
              </w:rPr>
              <w:t>2009.12.18</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5"/>
                <w:szCs w:val="15"/>
              </w:rPr>
            </w:pPr>
            <w:r>
              <w:rPr>
                <w:rFonts w:ascii="宋体"/>
                <w:sz w:val="15"/>
              </w:rPr>
              <w:t>2010.9.17</w:t>
            </w:r>
          </w:p>
        </w:tc>
        <w:tc>
          <w:tcPr>
            <w:tcW w:w="53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left="100" w:right="114"/>
              <w:jc w:val="both"/>
              <w:rPr>
                <w:rFonts w:ascii="宋体" w:hAnsi="宋体" w:cs="宋体" w:eastAsia="宋体" w:hint="default"/>
                <w:sz w:val="15"/>
                <w:szCs w:val="15"/>
              </w:rPr>
            </w:pPr>
            <w:r>
              <w:rPr>
                <w:rFonts w:ascii="宋体" w:hAnsi="宋体" w:cs="宋体" w:eastAsia="宋体" w:hint="default"/>
                <w:sz w:val="15"/>
                <w:szCs w:val="15"/>
              </w:rPr>
              <w:t>连带 责任 担保</w:t>
            </w:r>
          </w:p>
        </w:tc>
        <w:tc>
          <w:tcPr>
            <w:tcW w:w="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5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5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left="106" w:right="104"/>
              <w:jc w:val="both"/>
              <w:rPr>
                <w:rFonts w:ascii="宋体" w:hAnsi="宋体" w:cs="宋体" w:eastAsia="宋体" w:hint="default"/>
                <w:sz w:val="15"/>
                <w:szCs w:val="15"/>
              </w:rPr>
            </w:pPr>
            <w:r>
              <w:rPr>
                <w:rFonts w:ascii="宋体" w:hAnsi="宋体" w:cs="宋体" w:eastAsia="宋体" w:hint="default"/>
                <w:sz w:val="15"/>
                <w:szCs w:val="15"/>
              </w:rPr>
              <w:t>与公司 同一董 事长</w:t>
            </w:r>
          </w:p>
        </w:tc>
      </w:tr>
      <w:tr>
        <w:trPr>
          <w:trHeight w:val="716" w:hRule="exact"/>
        </w:trPr>
        <w:tc>
          <w:tcPr>
            <w:tcW w:w="106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31"/>
                <w:sz w:val="18"/>
                <w:szCs w:val="18"/>
              </w:rPr>
              <w:t>东软集团</w:t>
            </w:r>
            <w:r>
              <w:rPr>
                <w:rFonts w:ascii="宋体" w:hAnsi="宋体" w:cs="宋体" w:eastAsia="宋体" w:hint="default"/>
                <w:spacing w:val="-48"/>
                <w:sz w:val="18"/>
                <w:szCs w:val="18"/>
              </w:rPr>
              <w:t> </w:t>
            </w:r>
            <w:r>
              <w:rPr>
                <w:rFonts w:ascii="宋体" w:hAnsi="宋体" w:cs="宋体" w:eastAsia="宋体" w:hint="default"/>
                <w:sz w:val="18"/>
                <w:szCs w:val="18"/>
              </w:rPr>
            </w:r>
          </w:p>
          <w:p>
            <w:pPr>
              <w:pStyle w:val="TableParagraph"/>
              <w:spacing w:line="240" w:lineRule="auto"/>
              <w:ind w:left="100" w:right="56"/>
              <w:jc w:val="left"/>
              <w:rPr>
                <w:rFonts w:ascii="宋体" w:hAnsi="宋体" w:cs="宋体" w:eastAsia="宋体" w:hint="default"/>
                <w:sz w:val="18"/>
                <w:szCs w:val="18"/>
              </w:rPr>
            </w:pPr>
            <w:r>
              <w:rPr>
                <w:rFonts w:ascii="宋体" w:hAnsi="宋体" w:cs="宋体" w:eastAsia="宋体" w:hint="default"/>
                <w:spacing w:val="31"/>
                <w:sz w:val="18"/>
                <w:szCs w:val="18"/>
              </w:rPr>
              <w:t>股份有限</w:t>
            </w:r>
            <w:r>
              <w:rPr>
                <w:rFonts w:ascii="宋体" w:hAnsi="宋体" w:cs="宋体" w:eastAsia="宋体" w:hint="default"/>
                <w:spacing w:val="-48"/>
                <w:sz w:val="18"/>
                <w:szCs w:val="18"/>
              </w:rPr>
              <w:t> </w:t>
            </w:r>
            <w:r>
              <w:rPr>
                <w:rFonts w:ascii="宋体" w:hAnsi="宋体" w:cs="宋体" w:eastAsia="宋体" w:hint="default"/>
                <w:sz w:val="18"/>
                <w:szCs w:val="18"/>
              </w:rPr>
              <w:t>公司</w:t>
            </w:r>
          </w:p>
        </w:tc>
        <w:tc>
          <w:tcPr>
            <w:tcW w:w="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226" w:right="227"/>
              <w:jc w:val="left"/>
              <w:rPr>
                <w:rFonts w:ascii="宋体" w:hAnsi="宋体" w:cs="宋体" w:eastAsia="宋体" w:hint="default"/>
                <w:sz w:val="18"/>
                <w:szCs w:val="18"/>
              </w:rPr>
            </w:pPr>
            <w:r>
              <w:rPr>
                <w:rFonts w:ascii="宋体" w:hAnsi="宋体" w:cs="宋体" w:eastAsia="宋体" w:hint="default"/>
                <w:sz w:val="18"/>
                <w:szCs w:val="18"/>
              </w:rPr>
              <w:t>公司 本部</w:t>
            </w:r>
          </w:p>
        </w:tc>
        <w:tc>
          <w:tcPr>
            <w:tcW w:w="59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sz w:val="18"/>
              </w:rPr>
              <w:t>43</w:t>
            </w:r>
          </w:p>
          <w:p>
            <w:pPr>
              <w:pStyle w:val="TableParagraph"/>
              <w:spacing w:line="240" w:lineRule="auto"/>
              <w:ind w:left="100" w:right="85"/>
              <w:jc w:val="left"/>
              <w:rPr>
                <w:rFonts w:ascii="宋体" w:hAnsi="宋体" w:cs="宋体" w:eastAsia="宋体" w:hint="default"/>
                <w:sz w:val="18"/>
                <w:szCs w:val="18"/>
              </w:rPr>
            </w:pPr>
            <w:r>
              <w:rPr>
                <w:rFonts w:ascii="宋体" w:hAnsi="宋体" w:cs="宋体" w:eastAsia="宋体" w:hint="default"/>
                <w:spacing w:val="14"/>
                <w:sz w:val="18"/>
                <w:szCs w:val="18"/>
              </w:rPr>
              <w:t>家医 </w:t>
            </w:r>
            <w:r>
              <w:rPr>
                <w:rFonts w:ascii="宋体" w:hAnsi="宋体" w:cs="宋体" w:eastAsia="宋体" w:hint="default"/>
                <w:sz w:val="18"/>
                <w:szCs w:val="18"/>
              </w:rPr>
              <w:t>院</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3,024</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5"/>
                <w:szCs w:val="15"/>
              </w:rPr>
            </w:pPr>
            <w:r>
              <w:rPr>
                <w:rFonts w:ascii="宋体"/>
                <w:sz w:val="15"/>
              </w:rPr>
              <w:t>-</w:t>
            </w:r>
          </w:p>
        </w:tc>
        <w:tc>
          <w:tcPr>
            <w:tcW w:w="9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139" w:right="0"/>
              <w:jc w:val="left"/>
              <w:rPr>
                <w:rFonts w:ascii="宋体" w:hAnsi="宋体" w:cs="宋体" w:eastAsia="宋体" w:hint="default"/>
                <w:sz w:val="15"/>
                <w:szCs w:val="15"/>
              </w:rPr>
            </w:pPr>
            <w:r>
              <w:rPr>
                <w:rFonts w:ascii="宋体"/>
                <w:sz w:val="15"/>
              </w:rPr>
              <w:t>2010.1.26</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5"/>
                <w:szCs w:val="15"/>
              </w:rPr>
            </w:pPr>
            <w:r>
              <w:rPr>
                <w:rFonts w:ascii="宋体"/>
                <w:sz w:val="15"/>
              </w:rPr>
              <w:t>2011.9.28</w:t>
            </w:r>
          </w:p>
        </w:tc>
        <w:tc>
          <w:tcPr>
            <w:tcW w:w="53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00" w:right="114"/>
              <w:jc w:val="both"/>
              <w:rPr>
                <w:rFonts w:ascii="宋体" w:hAnsi="宋体" w:cs="宋体" w:eastAsia="宋体" w:hint="default"/>
                <w:sz w:val="15"/>
                <w:szCs w:val="15"/>
              </w:rPr>
            </w:pPr>
            <w:r>
              <w:rPr>
                <w:rFonts w:ascii="宋体" w:hAnsi="宋体" w:cs="宋体" w:eastAsia="宋体" w:hint="default"/>
                <w:sz w:val="15"/>
                <w:szCs w:val="15"/>
              </w:rPr>
              <w:t>连带 责任 担保</w:t>
            </w:r>
          </w:p>
        </w:tc>
        <w:tc>
          <w:tcPr>
            <w:tcW w:w="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5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5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5"/>
                <w:szCs w:val="15"/>
              </w:rPr>
            </w:pPr>
            <w:r>
              <w:rPr>
                <w:rFonts w:ascii="宋体"/>
                <w:sz w:val="15"/>
              </w:rPr>
              <w:t>-</w:t>
            </w:r>
          </w:p>
        </w:tc>
      </w:tr>
      <w:tr>
        <w:trPr>
          <w:trHeight w:val="287" w:hRule="exact"/>
        </w:trPr>
        <w:tc>
          <w:tcPr>
            <w:tcW w:w="6271"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报告期内担保发生额合计（不包括对子公司的担保）</w:t>
            </w:r>
          </w:p>
        </w:tc>
        <w:tc>
          <w:tcPr>
            <w:tcW w:w="387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-7,428</w:t>
            </w:r>
          </w:p>
        </w:tc>
      </w:tr>
      <w:tr>
        <w:trPr>
          <w:trHeight w:val="287" w:hRule="exact"/>
        </w:trPr>
        <w:tc>
          <w:tcPr>
            <w:tcW w:w="6271"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报告期末担保余额合计（A）（不包括对子公司的担保）</w:t>
            </w:r>
          </w:p>
        </w:tc>
        <w:tc>
          <w:tcPr>
            <w:tcW w:w="387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12,024</w:t>
            </w:r>
          </w:p>
        </w:tc>
      </w:tr>
      <w:tr>
        <w:trPr>
          <w:trHeight w:val="288" w:hRule="exact"/>
        </w:trPr>
        <w:tc>
          <w:tcPr>
            <w:tcW w:w="10145" w:type="dxa"/>
            <w:gridSpan w:val="15"/>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公司对控股子公司的担保情况</w:t>
            </w:r>
            <w:r>
              <w:rPr>
                <w:rFonts w:ascii="宋体" w:hAnsi="宋体" w:cs="宋体" w:eastAsia="宋体" w:hint="default"/>
                <w:sz w:val="21"/>
                <w:szCs w:val="21"/>
              </w:rPr>
            </w:r>
          </w:p>
        </w:tc>
      </w:tr>
      <w:tr>
        <w:trPr>
          <w:trHeight w:val="287" w:hRule="exact"/>
        </w:trPr>
        <w:tc>
          <w:tcPr>
            <w:tcW w:w="6271"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报告期内对子公司担保发生额合计</w:t>
            </w:r>
          </w:p>
        </w:tc>
        <w:tc>
          <w:tcPr>
            <w:tcW w:w="387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-10,000</w:t>
            </w:r>
          </w:p>
        </w:tc>
      </w:tr>
      <w:tr>
        <w:trPr>
          <w:trHeight w:val="288" w:hRule="exact"/>
        </w:trPr>
        <w:tc>
          <w:tcPr>
            <w:tcW w:w="6271"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报告期末对子公司担保余额合计（B）</w:t>
            </w:r>
          </w:p>
        </w:tc>
        <w:tc>
          <w:tcPr>
            <w:tcW w:w="387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r>
      <w:tr>
        <w:trPr>
          <w:trHeight w:val="287" w:hRule="exact"/>
        </w:trPr>
        <w:tc>
          <w:tcPr>
            <w:tcW w:w="10145" w:type="dxa"/>
            <w:gridSpan w:val="15"/>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851" w:right="0"/>
              <w:jc w:val="left"/>
              <w:rPr>
                <w:rFonts w:ascii="宋体" w:hAnsi="宋体" w:cs="宋体" w:eastAsia="宋体" w:hint="default"/>
                <w:sz w:val="21"/>
                <w:szCs w:val="21"/>
              </w:rPr>
            </w:pPr>
            <w:r>
              <w:rPr>
                <w:rFonts w:ascii="宋体" w:hAnsi="宋体" w:cs="宋体" w:eastAsia="宋体" w:hint="default"/>
                <w:b/>
                <w:bCs/>
                <w:sz w:val="21"/>
                <w:szCs w:val="21"/>
              </w:rPr>
              <w:t>公司担保总额情况（包括对控股子公司的担保）</w:t>
            </w:r>
            <w:r>
              <w:rPr>
                <w:rFonts w:ascii="宋体" w:hAnsi="宋体" w:cs="宋体" w:eastAsia="宋体" w:hint="default"/>
                <w:sz w:val="21"/>
                <w:szCs w:val="21"/>
              </w:rPr>
            </w:r>
          </w:p>
        </w:tc>
      </w:tr>
      <w:tr>
        <w:trPr>
          <w:trHeight w:val="288" w:hRule="exact"/>
        </w:trPr>
        <w:tc>
          <w:tcPr>
            <w:tcW w:w="6271"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担保总额（A+B）</w:t>
            </w:r>
          </w:p>
        </w:tc>
        <w:tc>
          <w:tcPr>
            <w:tcW w:w="387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12,024</w:t>
            </w:r>
          </w:p>
        </w:tc>
      </w:tr>
      <w:tr>
        <w:trPr>
          <w:trHeight w:val="287" w:hRule="exact"/>
        </w:trPr>
        <w:tc>
          <w:tcPr>
            <w:tcW w:w="6271"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担保总额占公司净资产的比例（%）</w:t>
            </w:r>
          </w:p>
        </w:tc>
        <w:tc>
          <w:tcPr>
            <w:tcW w:w="387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3.0%</w:t>
            </w:r>
          </w:p>
        </w:tc>
      </w:tr>
      <w:tr>
        <w:trPr>
          <w:trHeight w:val="288" w:hRule="exact"/>
        </w:trPr>
        <w:tc>
          <w:tcPr>
            <w:tcW w:w="10145" w:type="dxa"/>
            <w:gridSpan w:val="15"/>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w:t>
            </w:r>
          </w:p>
        </w:tc>
      </w:tr>
      <w:tr>
        <w:trPr>
          <w:trHeight w:val="287" w:hRule="exact"/>
        </w:trPr>
        <w:tc>
          <w:tcPr>
            <w:tcW w:w="6271"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为股东、实际控制人及其关联方提供担保的金额（C）</w:t>
            </w:r>
          </w:p>
        </w:tc>
        <w:tc>
          <w:tcPr>
            <w:tcW w:w="387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r>
      <w:tr>
        <w:trPr>
          <w:trHeight w:val="559" w:hRule="exact"/>
        </w:trPr>
        <w:tc>
          <w:tcPr>
            <w:tcW w:w="6271" w:type="dxa"/>
            <w:gridSpan w:val="8"/>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直接或间接为资产负债率超过</w:t>
            </w:r>
            <w:r>
              <w:rPr>
                <w:rFonts w:ascii="宋体" w:hAnsi="宋体" w:cs="宋体" w:eastAsia="宋体" w:hint="default"/>
                <w:spacing w:val="-55"/>
                <w:sz w:val="21"/>
                <w:szCs w:val="21"/>
              </w:rPr>
              <w:t> </w:t>
            </w:r>
            <w:r>
              <w:rPr>
                <w:rFonts w:ascii="宋体" w:hAnsi="宋体" w:cs="宋体" w:eastAsia="宋体" w:hint="default"/>
                <w:sz w:val="21"/>
                <w:szCs w:val="21"/>
              </w:rPr>
              <w:t>70％的被担保对象提供的债务担保</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金额（D）</w:t>
            </w:r>
          </w:p>
        </w:tc>
        <w:tc>
          <w:tcPr>
            <w:tcW w:w="387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r>
      <w:tr>
        <w:trPr>
          <w:trHeight w:val="288" w:hRule="exact"/>
        </w:trPr>
        <w:tc>
          <w:tcPr>
            <w:tcW w:w="6271"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担保总额超过净资产</w:t>
            </w:r>
            <w:r>
              <w:rPr>
                <w:rFonts w:ascii="宋体" w:hAnsi="宋体" w:cs="宋体" w:eastAsia="宋体" w:hint="default"/>
                <w:spacing w:val="-53"/>
                <w:sz w:val="21"/>
                <w:szCs w:val="21"/>
              </w:rPr>
              <w:t> </w:t>
            </w:r>
            <w:r>
              <w:rPr>
                <w:rFonts w:ascii="宋体" w:hAnsi="宋体" w:cs="宋体" w:eastAsia="宋体" w:hint="default"/>
                <w:sz w:val="21"/>
                <w:szCs w:val="21"/>
              </w:rPr>
              <w:t>50％部分的金额（E）</w:t>
            </w:r>
          </w:p>
        </w:tc>
        <w:tc>
          <w:tcPr>
            <w:tcW w:w="387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r>
      <w:tr>
        <w:trPr>
          <w:trHeight w:val="288" w:hRule="exact"/>
        </w:trPr>
        <w:tc>
          <w:tcPr>
            <w:tcW w:w="6271"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上述三项担保金额合计（C+D+E）</w:t>
            </w:r>
          </w:p>
        </w:tc>
        <w:tc>
          <w:tcPr>
            <w:tcW w:w="387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r>
    </w:tbl>
    <w:p>
      <w:pPr>
        <w:spacing w:line="240" w:lineRule="auto" w:before="10"/>
        <w:rPr>
          <w:rFonts w:ascii="宋体" w:hAnsi="宋体" w:cs="宋体" w:eastAsia="宋体" w:hint="default"/>
          <w:sz w:val="18"/>
          <w:szCs w:val="18"/>
        </w:rPr>
      </w:pPr>
    </w:p>
    <w:p>
      <w:pPr>
        <w:pStyle w:val="BodyText"/>
        <w:spacing w:line="237" w:lineRule="auto" w:before="28"/>
        <w:ind w:left="560" w:right="579" w:firstLine="240"/>
        <w:jc w:val="both"/>
      </w:pPr>
      <w:r>
        <w:rPr>
          <w:spacing w:val="11"/>
        </w:rPr>
        <w:t>（1）2008年9</w:t>
      </w:r>
      <w:r>
        <w:rPr>
          <w:spacing w:val="-93"/>
        </w:rPr>
        <w:t> </w:t>
      </w:r>
      <w:r>
        <w:rPr/>
        <w:t>月，教育部批准东北大学东软信息学院转设为大连东软信息学院，转设</w:t>
      </w:r>
      <w:r>
        <w:rPr/>
        <w:t> 后的大连东软信息学院为独立设置的民办普通本科学校。2009</w:t>
      </w:r>
      <w:r>
        <w:rPr>
          <w:spacing w:val="-60"/>
        </w:rPr>
        <w:t> </w:t>
      </w:r>
      <w:r>
        <w:rPr/>
        <w:t>年</w:t>
      </w:r>
      <w:r>
        <w:rPr>
          <w:spacing w:val="-60"/>
        </w:rPr>
        <w:t> </w:t>
      </w:r>
      <w:r>
        <w:rPr/>
        <w:t>6</w:t>
      </w:r>
      <w:r>
        <w:rPr>
          <w:spacing w:val="-60"/>
        </w:rPr>
        <w:t> </w:t>
      </w:r>
      <w:r>
        <w:rPr/>
        <w:t>月，大连东软信息学</w:t>
      </w:r>
      <w:r>
        <w:rPr/>
        <w:t> 院已经办理完成上述相关手续。</w:t>
      </w:r>
    </w:p>
    <w:p>
      <w:pPr>
        <w:pStyle w:val="BodyText"/>
        <w:spacing w:line="237" w:lineRule="auto"/>
        <w:ind w:left="560" w:right="579" w:firstLine="240"/>
        <w:jc w:val="both"/>
      </w:pPr>
      <w:r>
        <w:rPr>
          <w:spacing w:val="-7"/>
        </w:rPr>
        <w:t>（2）以上第一、二项担保事项，为公司于</w:t>
      </w:r>
      <w:r>
        <w:rPr>
          <w:spacing w:val="-57"/>
        </w:rPr>
        <w:t> </w:t>
      </w:r>
      <w:r>
        <w:rPr>
          <w:spacing w:val="25"/>
        </w:rPr>
        <w:t>2008年5月</w:t>
      </w:r>
      <w:r>
        <w:rPr>
          <w:spacing w:val="-57"/>
        </w:rPr>
        <w:t> </w:t>
      </w:r>
      <w:r>
        <w:rPr/>
        <w:t>30</w:t>
      </w:r>
      <w:r>
        <w:rPr>
          <w:spacing w:val="-57"/>
        </w:rPr>
        <w:t> </w:t>
      </w:r>
      <w:r>
        <w:rPr/>
        <w:t>日召开的</w:t>
      </w:r>
      <w:r>
        <w:rPr>
          <w:spacing w:val="-57"/>
        </w:rPr>
        <w:t> </w:t>
      </w:r>
      <w:r>
        <w:rPr/>
        <w:t>2007</w:t>
      </w:r>
      <w:r>
        <w:rPr>
          <w:spacing w:val="-57"/>
        </w:rPr>
        <w:t> </w:t>
      </w:r>
      <w:r>
        <w:rPr/>
        <w:t>年度股东大会</w:t>
      </w:r>
      <w:r>
        <w:rPr/>
        <w:t> </w:t>
      </w:r>
      <w:r>
        <w:rPr>
          <w:spacing w:val="-3"/>
        </w:rPr>
        <w:t>审议通过的《关于为东北大学东软信息学院(现名称为“大连东软信息学院”)提供银行贷</w:t>
      </w:r>
      <w:r>
        <w:rPr/>
        <w:t> </w:t>
      </w:r>
      <w:r>
        <w:rPr>
          <w:spacing w:val="-4"/>
        </w:rPr>
        <w:t>款担保额度的议案》，股东大会同意公司为大连东软信息学院提供银行贷款担保的总额度</w:t>
      </w:r>
      <w:r>
        <w:rPr>
          <w:spacing w:val="-82"/>
        </w:rPr>
        <w:t> </w:t>
      </w:r>
      <w:r>
        <w:rPr>
          <w:spacing w:val="-82"/>
        </w:rPr>
      </w:r>
      <w:r>
        <w:rPr/>
        <w:t>为</w:t>
      </w:r>
      <w:r>
        <w:rPr>
          <w:spacing w:val="-60"/>
        </w:rPr>
        <w:t> </w:t>
      </w:r>
      <w:r>
        <w:rPr/>
        <w:t>16,000</w:t>
      </w:r>
      <w:r>
        <w:rPr>
          <w:spacing w:val="-60"/>
        </w:rPr>
        <w:t> </w:t>
      </w:r>
      <w:r>
        <w:rPr/>
        <w:t>万元人民币，该额度期限为二年，即从</w:t>
      </w:r>
      <w:r>
        <w:rPr>
          <w:spacing w:val="-60"/>
        </w:rPr>
        <w:t> </w:t>
      </w:r>
      <w:r>
        <w:rPr/>
        <w:t>2007</w:t>
      </w:r>
      <w:r>
        <w:rPr>
          <w:spacing w:val="-60"/>
        </w:rPr>
        <w:t> </w:t>
      </w:r>
      <w:r>
        <w:rPr/>
        <w:t>年度股东大会通过之日起至</w:t>
      </w:r>
      <w:r>
        <w:rPr>
          <w:spacing w:val="-60"/>
        </w:rPr>
        <w:t> </w:t>
      </w:r>
      <w:r>
        <w:rPr/>
        <w:t>2009</w:t>
      </w:r>
      <w:r>
        <w:rPr/>
        <w:t> 年度股东大会召开之日止。</w:t>
      </w:r>
    </w:p>
    <w:p>
      <w:pPr>
        <w:pStyle w:val="BodyText"/>
        <w:spacing w:line="312" w:lineRule="exact" w:before="27"/>
        <w:ind w:left="560" w:right="579" w:firstLine="240"/>
        <w:jc w:val="both"/>
      </w:pPr>
      <w:r>
        <w:rPr/>
        <w:t>（3）以上第三项担保事项，根据本公司于</w:t>
      </w:r>
      <w:r>
        <w:rPr>
          <w:spacing w:val="-59"/>
        </w:rPr>
        <w:t> </w:t>
      </w:r>
      <w:r>
        <w:rPr>
          <w:spacing w:val="25"/>
        </w:rPr>
        <w:t>2008年1月</w:t>
      </w:r>
      <w:r>
        <w:rPr>
          <w:spacing w:val="-59"/>
        </w:rPr>
        <w:t> </w:t>
      </w:r>
      <w:r>
        <w:rPr/>
        <w:t>17</w:t>
      </w:r>
      <w:r>
        <w:rPr>
          <w:spacing w:val="-59"/>
        </w:rPr>
        <w:t> </w:t>
      </w:r>
      <w:r>
        <w:rPr/>
        <w:t>日刊载在上海证券交易所网</w:t>
      </w:r>
      <w:r>
        <w:rPr/>
        <w:t> 站</w:t>
      </w:r>
      <w:r>
        <w:rPr>
          <w:spacing w:val="-52"/>
        </w:rPr>
        <w:t> </w:t>
      </w:r>
      <w:hyperlink r:id="rId10">
        <w:r>
          <w:rPr/>
          <w:t>http://www.sse.com.cn</w:t>
        </w:r>
      </w:hyperlink>
      <w:r>
        <w:rPr>
          <w:spacing w:val="-52"/>
        </w:rPr>
        <w:t> </w:t>
      </w:r>
      <w:r>
        <w:rPr>
          <w:spacing w:val="-5"/>
        </w:rPr>
        <w:t>的《沈阳东软软件股份有限公司换股吸收合并东软集团有限公</w:t>
      </w:r>
    </w:p>
    <w:p>
      <w:pPr>
        <w:spacing w:after="0" w:line="312" w:lineRule="exact"/>
        <w:jc w:val="both"/>
        <w:sectPr>
          <w:type w:val="continuous"/>
          <w:pgSz w:w="11910" w:h="16840"/>
          <w:pgMar w:top="1600" w:bottom="280" w:left="800" w:right="720"/>
        </w:sectPr>
      </w:pPr>
    </w:p>
    <w:p>
      <w:pPr>
        <w:spacing w:line="240" w:lineRule="auto" w:before="1"/>
        <w:rPr>
          <w:rFonts w:ascii="宋体" w:hAnsi="宋体" w:cs="宋体" w:eastAsia="宋体" w:hint="default"/>
          <w:sz w:val="20"/>
          <w:szCs w:val="20"/>
        </w:rPr>
      </w:pPr>
    </w:p>
    <w:p>
      <w:pPr>
        <w:pStyle w:val="BodyText"/>
        <w:spacing w:line="312" w:lineRule="exact" w:before="26"/>
        <w:ind w:right="0"/>
        <w:jc w:val="left"/>
      </w:pPr>
      <w:r>
        <w:rPr>
          <w:spacing w:val="-4"/>
        </w:rPr>
        <w:t>司报告书》所述，如果在</w:t>
      </w:r>
      <w:r>
        <w:rPr>
          <w:spacing w:val="-62"/>
        </w:rPr>
        <w:t> </w:t>
      </w:r>
      <w:r>
        <w:rPr>
          <w:spacing w:val="25"/>
        </w:rPr>
        <w:t>2008年4月</w:t>
      </w:r>
      <w:r>
        <w:rPr>
          <w:spacing w:val="-62"/>
        </w:rPr>
        <w:t> </w:t>
      </w:r>
      <w:r>
        <w:rPr/>
        <w:t>28</w:t>
      </w:r>
      <w:r>
        <w:rPr>
          <w:spacing w:val="-62"/>
        </w:rPr>
        <w:t> </w:t>
      </w:r>
      <w:r>
        <w:rPr/>
        <w:t>日后，因原东软集团有限公司在</w:t>
      </w:r>
      <w:r>
        <w:rPr>
          <w:spacing w:val="-62"/>
        </w:rPr>
        <w:t> </w:t>
      </w:r>
      <w:r>
        <w:rPr>
          <w:spacing w:val="25"/>
        </w:rPr>
        <w:t>2008年4月</w:t>
      </w:r>
      <w:r>
        <w:rPr>
          <w:spacing w:val="-62"/>
        </w:rPr>
        <w:t> </w:t>
      </w:r>
      <w:r>
        <w:rPr/>
        <w:t>28</w:t>
      </w:r>
    </w:p>
    <w:p>
      <w:pPr>
        <w:pStyle w:val="BodyText"/>
        <w:spacing w:line="312" w:lineRule="exact" w:before="29"/>
        <w:ind w:right="124"/>
        <w:jc w:val="left"/>
      </w:pPr>
      <w:r>
        <w:rPr/>
        <w:t>日前一日所承担的对外担保（现为</w:t>
      </w:r>
      <w:r>
        <w:rPr>
          <w:spacing w:val="-60"/>
        </w:rPr>
        <w:t> </w:t>
      </w:r>
      <w:r>
        <w:rPr/>
        <w:t>43</w:t>
      </w:r>
      <w:r>
        <w:rPr>
          <w:spacing w:val="-60"/>
        </w:rPr>
        <w:t> </w:t>
      </w:r>
      <w:r>
        <w:rPr/>
        <w:t>家医院）而给本公司造成经济损失，东北大学科技</w:t>
      </w:r>
      <w:r>
        <w:rPr/>
        <w:t> 产业集团有限公司将向本公司支付相当于该经济损失的货币补偿金。</w:t>
      </w:r>
    </w:p>
    <w:p>
      <w:pPr>
        <w:spacing w:line="240" w:lineRule="auto" w:before="11"/>
        <w:rPr>
          <w:rFonts w:ascii="宋体" w:hAnsi="宋体" w:cs="宋体" w:eastAsia="宋体" w:hint="default"/>
          <w:sz w:val="20"/>
          <w:szCs w:val="20"/>
        </w:rPr>
      </w:pPr>
    </w:p>
    <w:p>
      <w:pPr>
        <w:pStyle w:val="BodyText"/>
        <w:spacing w:line="310" w:lineRule="exact"/>
        <w:ind w:left="620" w:right="5764" w:hanging="480"/>
        <w:jc w:val="left"/>
      </w:pPr>
      <w:r>
        <w:rPr/>
        <w:t>3、委托理财情况 本年度公司无委托理财事项。</w:t>
      </w:r>
    </w:p>
    <w:p>
      <w:pPr>
        <w:pStyle w:val="BodyText"/>
        <w:spacing w:line="310" w:lineRule="exact" w:before="2"/>
        <w:ind w:left="620" w:right="5764" w:hanging="480"/>
        <w:jc w:val="left"/>
      </w:pPr>
      <w:r>
        <w:rPr/>
        <w:t>4、其他重大合同 本年度公司无其他重大合同。</w:t>
      </w:r>
    </w:p>
    <w:p>
      <w:pPr>
        <w:spacing w:line="240" w:lineRule="auto" w:before="13"/>
        <w:rPr>
          <w:rFonts w:ascii="宋体" w:hAnsi="宋体" w:cs="宋体" w:eastAsia="宋体" w:hint="default"/>
          <w:sz w:val="20"/>
          <w:szCs w:val="20"/>
        </w:rPr>
      </w:pPr>
    </w:p>
    <w:p>
      <w:pPr>
        <w:pStyle w:val="BodyText"/>
        <w:spacing w:line="310" w:lineRule="exact"/>
        <w:ind w:right="2644"/>
        <w:jc w:val="left"/>
      </w:pPr>
      <w:r>
        <w:rPr/>
        <w:t>（七）承诺事项履行情况 公司有限售条件的流通股股东在换股吸收合并之时作出的承诺：</w:t>
      </w:r>
    </w:p>
    <w:tbl>
      <w:tblPr>
        <w:tblW w:w="0" w:type="auto"/>
        <w:jc w:val="left"/>
        <w:tblInd w:w="149" w:type="dxa"/>
        <w:tblLayout w:type="fixed"/>
        <w:tblCellMar>
          <w:top w:w="0" w:type="dxa"/>
          <w:left w:w="0" w:type="dxa"/>
          <w:bottom w:w="0" w:type="dxa"/>
          <w:right w:w="0" w:type="dxa"/>
        </w:tblCellMar>
        <w:tblLook w:val="01E0"/>
      </w:tblPr>
      <w:tblGrid>
        <w:gridCol w:w="800"/>
        <w:gridCol w:w="1900"/>
        <w:gridCol w:w="3986"/>
        <w:gridCol w:w="2530"/>
      </w:tblGrid>
      <w:tr>
        <w:trPr>
          <w:trHeight w:val="29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83" w:right="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522" w:right="0"/>
              <w:jc w:val="left"/>
              <w:rPr>
                <w:rFonts w:ascii="宋体" w:hAnsi="宋体" w:cs="宋体" w:eastAsia="宋体" w:hint="default"/>
                <w:sz w:val="21"/>
                <w:szCs w:val="21"/>
              </w:rPr>
            </w:pPr>
            <w:r>
              <w:rPr>
                <w:rFonts w:ascii="宋体" w:hAnsi="宋体" w:cs="宋体" w:eastAsia="宋体" w:hint="default"/>
                <w:b/>
                <w:bCs/>
                <w:sz w:val="21"/>
                <w:szCs w:val="21"/>
              </w:rPr>
              <w:t>承诺主体</w:t>
            </w:r>
            <w:r>
              <w:rPr>
                <w:rFonts w:ascii="宋体" w:hAnsi="宋体" w:cs="宋体" w:eastAsia="宋体" w:hint="default"/>
                <w:sz w:val="21"/>
                <w:szCs w:val="21"/>
              </w:rPr>
            </w:r>
          </w:p>
        </w:tc>
        <w:tc>
          <w:tcPr>
            <w:tcW w:w="3986"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b/>
                <w:bCs/>
                <w:sz w:val="21"/>
                <w:szCs w:val="21"/>
              </w:rPr>
              <w:t>承诺内容</w:t>
            </w:r>
            <w:r>
              <w:rPr>
                <w:rFonts w:ascii="宋体" w:hAnsi="宋体" w:cs="宋体" w:eastAsia="宋体" w:hint="default"/>
                <w:sz w:val="21"/>
                <w:szCs w:val="21"/>
              </w:rPr>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836" w:right="0"/>
              <w:jc w:val="left"/>
              <w:rPr>
                <w:rFonts w:ascii="宋体" w:hAnsi="宋体" w:cs="宋体" w:eastAsia="宋体" w:hint="default"/>
                <w:sz w:val="21"/>
                <w:szCs w:val="21"/>
              </w:rPr>
            </w:pPr>
            <w:r>
              <w:rPr>
                <w:rFonts w:ascii="宋体" w:hAnsi="宋体" w:cs="宋体" w:eastAsia="宋体" w:hint="default"/>
                <w:b/>
                <w:bCs/>
                <w:sz w:val="21"/>
                <w:szCs w:val="21"/>
              </w:rPr>
              <w:t>履行情况</w:t>
            </w:r>
            <w:r>
              <w:rPr>
                <w:rFonts w:ascii="宋体" w:hAnsi="宋体" w:cs="宋体" w:eastAsia="宋体" w:hint="default"/>
                <w:sz w:val="21"/>
                <w:szCs w:val="21"/>
              </w:rPr>
            </w:r>
          </w:p>
        </w:tc>
      </w:tr>
      <w:tr>
        <w:trPr>
          <w:trHeight w:val="1372"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17"/>
              <w:jc w:val="center"/>
              <w:rPr>
                <w:rFonts w:ascii="宋体" w:hAnsi="宋体" w:cs="宋体" w:eastAsia="宋体" w:hint="default"/>
                <w:sz w:val="21"/>
                <w:szCs w:val="21"/>
              </w:rPr>
            </w:pPr>
            <w:r>
              <w:rPr>
                <w:rFonts w:ascii="宋体"/>
                <w:sz w:val="21"/>
              </w:rPr>
              <w:t>1</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103" w:right="102"/>
              <w:jc w:val="both"/>
              <w:rPr>
                <w:rFonts w:ascii="宋体" w:hAnsi="宋体" w:cs="宋体" w:eastAsia="宋体" w:hint="default"/>
                <w:sz w:val="21"/>
                <w:szCs w:val="21"/>
              </w:rPr>
            </w:pPr>
            <w:r>
              <w:rPr>
                <w:rFonts w:ascii="宋体" w:hAnsi="宋体" w:cs="宋体" w:eastAsia="宋体" w:hint="default"/>
                <w:sz w:val="21"/>
                <w:szCs w:val="21"/>
              </w:rPr>
              <w:t>东北大学科技产业 集团有限公司等十 家有限售条件流通 股股东</w:t>
            </w:r>
          </w:p>
        </w:tc>
        <w:tc>
          <w:tcPr>
            <w:tcW w:w="398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45"/>
                <w:sz w:val="21"/>
                <w:szCs w:val="21"/>
              </w:rPr>
              <w:t> </w:t>
            </w:r>
            <w:r>
              <w:rPr>
                <w:rFonts w:ascii="宋体" w:hAnsi="宋体" w:cs="宋体" w:eastAsia="宋体" w:hint="default"/>
                <w:sz w:val="21"/>
                <w:szCs w:val="21"/>
              </w:rPr>
              <w:t>年、2008</w:t>
            </w:r>
            <w:r>
              <w:rPr>
                <w:rFonts w:ascii="宋体" w:hAnsi="宋体" w:cs="宋体" w:eastAsia="宋体" w:hint="default"/>
                <w:spacing w:val="-45"/>
                <w:sz w:val="21"/>
                <w:szCs w:val="21"/>
              </w:rPr>
              <w:t> </w:t>
            </w:r>
            <w:r>
              <w:rPr>
                <w:rFonts w:ascii="宋体" w:hAnsi="宋体" w:cs="宋体" w:eastAsia="宋体" w:hint="default"/>
                <w:sz w:val="21"/>
                <w:szCs w:val="21"/>
              </w:rPr>
              <w:t>年、2009</w:t>
            </w:r>
            <w:r>
              <w:rPr>
                <w:rFonts w:ascii="宋体" w:hAnsi="宋体" w:cs="宋体" w:eastAsia="宋体" w:hint="default"/>
                <w:spacing w:val="-46"/>
                <w:sz w:val="21"/>
                <w:szCs w:val="21"/>
              </w:rPr>
              <w:t> </w:t>
            </w:r>
            <w:r>
              <w:rPr>
                <w:rFonts w:ascii="宋体" w:hAnsi="宋体" w:cs="宋体" w:eastAsia="宋体" w:hint="default"/>
                <w:sz w:val="21"/>
                <w:szCs w:val="21"/>
              </w:rPr>
              <w:t>年业绩承诺：如</w:t>
            </w:r>
          </w:p>
          <w:p>
            <w:pPr>
              <w:pStyle w:val="TableParagraph"/>
              <w:spacing w:line="272" w:lineRule="exact" w:before="26"/>
              <w:ind w:left="103" w:right="-3"/>
              <w:jc w:val="left"/>
              <w:rPr>
                <w:rFonts w:ascii="宋体" w:hAnsi="宋体" w:cs="宋体" w:eastAsia="宋体" w:hint="default"/>
                <w:sz w:val="21"/>
                <w:szCs w:val="21"/>
              </w:rPr>
            </w:pPr>
            <w:r>
              <w:rPr>
                <w:rFonts w:ascii="宋体" w:hAnsi="宋体" w:cs="宋体" w:eastAsia="宋体" w:hint="default"/>
                <w:sz w:val="21"/>
                <w:szCs w:val="21"/>
              </w:rPr>
              <w:t>发行人经审计的</w:t>
            </w:r>
            <w:r>
              <w:rPr>
                <w:rFonts w:ascii="宋体" w:hAnsi="宋体" w:cs="宋体" w:eastAsia="宋体" w:hint="default"/>
                <w:spacing w:val="-39"/>
                <w:sz w:val="21"/>
                <w:szCs w:val="21"/>
              </w:rPr>
              <w:t> </w:t>
            </w:r>
            <w:r>
              <w:rPr>
                <w:rFonts w:ascii="宋体" w:hAnsi="宋体" w:cs="宋体" w:eastAsia="宋体" w:hint="default"/>
                <w:sz w:val="21"/>
                <w:szCs w:val="21"/>
              </w:rPr>
              <w:t>2007</w:t>
            </w:r>
            <w:r>
              <w:rPr>
                <w:rFonts w:ascii="宋体" w:hAnsi="宋体" w:cs="宋体" w:eastAsia="宋体" w:hint="default"/>
                <w:spacing w:val="-39"/>
                <w:sz w:val="21"/>
                <w:szCs w:val="21"/>
              </w:rPr>
              <w:t> </w:t>
            </w:r>
            <w:r>
              <w:rPr>
                <w:rFonts w:ascii="宋体" w:hAnsi="宋体" w:cs="宋体" w:eastAsia="宋体" w:hint="default"/>
                <w:sz w:val="21"/>
                <w:szCs w:val="21"/>
              </w:rPr>
              <w:t>年、2008</w:t>
            </w:r>
            <w:r>
              <w:rPr>
                <w:rFonts w:ascii="宋体" w:hAnsi="宋体" w:cs="宋体" w:eastAsia="宋体" w:hint="default"/>
                <w:spacing w:val="-39"/>
                <w:sz w:val="21"/>
                <w:szCs w:val="21"/>
              </w:rPr>
              <w:t> </w:t>
            </w:r>
            <w:r>
              <w:rPr>
                <w:rFonts w:ascii="宋体" w:hAnsi="宋体" w:cs="宋体" w:eastAsia="宋体" w:hint="default"/>
                <w:sz w:val="21"/>
                <w:szCs w:val="21"/>
              </w:rPr>
              <w:t>年、2009</w:t>
            </w:r>
            <w:r>
              <w:rPr>
                <w:rFonts w:ascii="宋体" w:hAnsi="宋体" w:cs="宋体" w:eastAsia="宋体" w:hint="default"/>
                <w:sz w:val="21"/>
                <w:szCs w:val="21"/>
              </w:rPr>
              <w:t> 年实际完成净利润分别低于</w:t>
            </w:r>
            <w:r>
              <w:rPr>
                <w:rFonts w:ascii="宋体" w:hAnsi="宋体" w:cs="宋体" w:eastAsia="宋体" w:hint="default"/>
                <w:spacing w:val="-58"/>
                <w:sz w:val="21"/>
                <w:szCs w:val="21"/>
              </w:rPr>
              <w:t> </w:t>
            </w:r>
            <w:r>
              <w:rPr>
                <w:rFonts w:ascii="宋体" w:hAnsi="宋体" w:cs="宋体" w:eastAsia="宋体" w:hint="default"/>
                <w:sz w:val="21"/>
                <w:szCs w:val="21"/>
              </w:rPr>
              <w:t>37,333</w:t>
            </w:r>
            <w:r>
              <w:rPr>
                <w:rFonts w:ascii="宋体" w:hAnsi="宋体" w:cs="宋体" w:eastAsia="宋体" w:hint="default"/>
                <w:spacing w:val="-58"/>
                <w:sz w:val="21"/>
                <w:szCs w:val="21"/>
              </w:rPr>
              <w:t> </w:t>
            </w:r>
            <w:r>
              <w:rPr>
                <w:rFonts w:ascii="宋体" w:hAnsi="宋体" w:cs="宋体" w:eastAsia="宋体" w:hint="default"/>
                <w:sz w:val="21"/>
                <w:szCs w:val="21"/>
              </w:rPr>
              <w:t>万元、</w:t>
            </w:r>
          </w:p>
          <w:p>
            <w:pPr>
              <w:pStyle w:val="TableParagraph"/>
              <w:spacing w:line="272" w:lineRule="exact"/>
              <w:ind w:left="103" w:right="91"/>
              <w:jc w:val="left"/>
              <w:rPr>
                <w:rFonts w:ascii="宋体" w:hAnsi="宋体" w:cs="宋体" w:eastAsia="宋体" w:hint="default"/>
                <w:sz w:val="21"/>
                <w:szCs w:val="21"/>
              </w:rPr>
            </w:pPr>
            <w:r>
              <w:rPr>
                <w:rFonts w:ascii="宋体" w:hAnsi="宋体" w:cs="宋体" w:eastAsia="宋体" w:hint="default"/>
                <w:sz w:val="21"/>
                <w:szCs w:val="21"/>
              </w:rPr>
              <w:t>48,533 万元、63,093</w:t>
            </w:r>
            <w:r>
              <w:rPr>
                <w:rFonts w:ascii="宋体" w:hAnsi="宋体" w:cs="宋体" w:eastAsia="宋体" w:hint="default"/>
                <w:spacing w:val="-12"/>
                <w:sz w:val="21"/>
                <w:szCs w:val="21"/>
              </w:rPr>
              <w:t> </w:t>
            </w:r>
            <w:r>
              <w:rPr>
                <w:rFonts w:ascii="宋体" w:hAnsi="宋体" w:cs="宋体" w:eastAsia="宋体" w:hint="default"/>
                <w:sz w:val="21"/>
                <w:szCs w:val="21"/>
              </w:rPr>
              <w:t>万元，则由其向全</w:t>
            </w:r>
            <w:r>
              <w:rPr>
                <w:rFonts w:ascii="宋体" w:hAnsi="宋体" w:cs="宋体" w:eastAsia="宋体" w:hint="default"/>
                <w:sz w:val="21"/>
                <w:szCs w:val="21"/>
              </w:rPr>
              <w:t> 体非限售流通股股东按照一定比例送股。</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03" w:right="104"/>
              <w:jc w:val="both"/>
              <w:rPr>
                <w:rFonts w:ascii="宋体" w:hAnsi="宋体" w:cs="宋体" w:eastAsia="宋体" w:hint="default"/>
                <w:sz w:val="21"/>
                <w:szCs w:val="21"/>
              </w:rPr>
            </w:pPr>
            <w:r>
              <w:rPr>
                <w:rFonts w:ascii="宋体" w:hAnsi="宋体" w:cs="宋体" w:eastAsia="宋体" w:hint="default"/>
                <w:sz w:val="21"/>
                <w:szCs w:val="21"/>
              </w:rPr>
              <w:t>截至本报告出具日，该承 诺已经到期，没有触发履 行承诺的条件。</w:t>
            </w:r>
          </w:p>
        </w:tc>
      </w:tr>
      <w:tr>
        <w:trPr>
          <w:trHeight w:val="1099"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right="117"/>
              <w:jc w:val="center"/>
              <w:rPr>
                <w:rFonts w:ascii="宋体" w:hAnsi="宋体" w:cs="宋体" w:eastAsia="宋体" w:hint="default"/>
                <w:sz w:val="21"/>
                <w:szCs w:val="21"/>
              </w:rPr>
            </w:pPr>
            <w:r>
              <w:rPr>
                <w:rFonts w:ascii="宋体"/>
                <w:sz w:val="21"/>
              </w:rPr>
              <w:t>2</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both"/>
              <w:rPr>
                <w:rFonts w:ascii="宋体" w:hAnsi="宋体" w:cs="宋体" w:eastAsia="宋体" w:hint="default"/>
                <w:sz w:val="21"/>
                <w:szCs w:val="21"/>
              </w:rPr>
            </w:pPr>
            <w:r>
              <w:rPr>
                <w:rFonts w:ascii="宋体" w:hAnsi="宋体" w:cs="宋体" w:eastAsia="宋体" w:hint="default"/>
                <w:sz w:val="21"/>
                <w:szCs w:val="21"/>
              </w:rPr>
              <w:t>东北大学科技产业</w:t>
            </w:r>
          </w:p>
          <w:p>
            <w:pPr>
              <w:pStyle w:val="TableParagraph"/>
              <w:spacing w:line="272" w:lineRule="exact" w:before="26"/>
              <w:ind w:left="103" w:right="102"/>
              <w:jc w:val="both"/>
              <w:rPr>
                <w:rFonts w:ascii="宋体" w:hAnsi="宋体" w:cs="宋体" w:eastAsia="宋体" w:hint="default"/>
                <w:sz w:val="21"/>
                <w:szCs w:val="21"/>
              </w:rPr>
            </w:pPr>
            <w:r>
              <w:rPr>
                <w:rFonts w:ascii="宋体" w:hAnsi="宋体" w:cs="宋体" w:eastAsia="宋体" w:hint="default"/>
                <w:sz w:val="21"/>
                <w:szCs w:val="21"/>
              </w:rPr>
              <w:t>集团有限公司等十 家有限售条件流通 股股东</w:t>
            </w:r>
          </w:p>
        </w:tc>
        <w:tc>
          <w:tcPr>
            <w:tcW w:w="398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103" w:right="100"/>
              <w:jc w:val="both"/>
              <w:rPr>
                <w:rFonts w:ascii="宋体" w:hAnsi="宋体" w:cs="宋体" w:eastAsia="宋体" w:hint="default"/>
                <w:sz w:val="21"/>
                <w:szCs w:val="21"/>
              </w:rPr>
            </w:pPr>
            <w:r>
              <w:rPr>
                <w:rFonts w:ascii="宋体" w:hAnsi="宋体" w:cs="宋体" w:eastAsia="宋体" w:hint="default"/>
                <w:sz w:val="21"/>
                <w:szCs w:val="21"/>
              </w:rPr>
              <w:t>自</w:t>
            </w:r>
            <w:r>
              <w:rPr>
                <w:rFonts w:ascii="宋体" w:hAnsi="宋体" w:cs="宋体" w:eastAsia="宋体" w:hint="default"/>
                <w:spacing w:val="-55"/>
                <w:sz w:val="21"/>
                <w:szCs w:val="21"/>
              </w:rPr>
              <w:t> </w:t>
            </w: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3</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13</w:t>
            </w:r>
            <w:r>
              <w:rPr>
                <w:rFonts w:ascii="宋体" w:hAnsi="宋体" w:cs="宋体" w:eastAsia="宋体" w:hint="default"/>
                <w:spacing w:val="-54"/>
                <w:sz w:val="21"/>
                <w:szCs w:val="21"/>
              </w:rPr>
              <w:t> </w:t>
            </w:r>
            <w:r>
              <w:rPr>
                <w:rFonts w:ascii="宋体" w:hAnsi="宋体" w:cs="宋体" w:eastAsia="宋体" w:hint="default"/>
                <w:sz w:val="21"/>
                <w:szCs w:val="21"/>
              </w:rPr>
              <w:t>日起三年内不转让其持</w:t>
            </w:r>
            <w:r>
              <w:rPr>
                <w:rFonts w:ascii="宋体" w:hAnsi="宋体" w:cs="宋体" w:eastAsia="宋体" w:hint="default"/>
                <w:sz w:val="21"/>
                <w:szCs w:val="21"/>
              </w:rPr>
              <w:t> </w:t>
            </w:r>
            <w:r>
              <w:rPr>
                <w:rFonts w:ascii="宋体" w:hAnsi="宋体" w:cs="宋体" w:eastAsia="宋体" w:hint="default"/>
                <w:spacing w:val="11"/>
                <w:sz w:val="21"/>
                <w:szCs w:val="21"/>
              </w:rPr>
              <w:t>有发行人股份，限售期满后方可上市流</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通。</w:t>
            </w:r>
          </w:p>
        </w:tc>
        <w:tc>
          <w:tcPr>
            <w:tcW w:w="2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正在履行中。</w:t>
            </w:r>
          </w:p>
        </w:tc>
      </w:tr>
      <w:tr>
        <w:trPr>
          <w:trHeight w:val="275" w:hRule="exact"/>
        </w:trPr>
        <w:tc>
          <w:tcPr>
            <w:tcW w:w="800" w:type="dxa"/>
            <w:tcBorders>
              <w:top w:val="single" w:sz="4" w:space="0" w:color="000000"/>
              <w:left w:val="single" w:sz="4" w:space="0" w:color="000000"/>
              <w:bottom w:val="nil" w:sz="6" w:space="0" w:color="auto"/>
              <w:right w:val="single" w:sz="4" w:space="0" w:color="000000"/>
            </w:tcBorders>
          </w:tcPr>
          <w:p>
            <w:pPr/>
          </w:p>
        </w:tc>
        <w:tc>
          <w:tcPr>
            <w:tcW w:w="1900" w:type="dxa"/>
            <w:tcBorders>
              <w:top w:val="single" w:sz="4" w:space="0" w:color="000000"/>
              <w:left w:val="single" w:sz="4" w:space="0" w:color="000000"/>
              <w:bottom w:val="nil" w:sz="6" w:space="0" w:color="auto"/>
              <w:right w:val="single" w:sz="4" w:space="0" w:color="000000"/>
            </w:tcBorders>
          </w:tcPr>
          <w:p>
            <w:pPr/>
          </w:p>
        </w:tc>
        <w:tc>
          <w:tcPr>
            <w:tcW w:w="3986" w:type="dxa"/>
            <w:tcBorders>
              <w:top w:val="single" w:sz="4" w:space="0" w:color="000000"/>
              <w:left w:val="single" w:sz="4" w:space="0" w:color="000000"/>
              <w:bottom w:val="nil" w:sz="6" w:space="0" w:color="auto"/>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针对截至</w:t>
            </w:r>
            <w:r>
              <w:rPr>
                <w:rFonts w:ascii="宋体" w:hAnsi="宋体" w:cs="宋体" w:eastAsia="宋体" w:hint="default"/>
                <w:spacing w:val="-55"/>
                <w:sz w:val="21"/>
                <w:szCs w:val="21"/>
              </w:rPr>
              <w:t> </w:t>
            </w:r>
            <w:r>
              <w:rPr>
                <w:rFonts w:ascii="宋体" w:hAnsi="宋体" w:cs="宋体" w:eastAsia="宋体" w:hint="default"/>
                <w:sz w:val="21"/>
                <w:szCs w:val="21"/>
              </w:rPr>
              <w:t>2007</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9</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30</w:t>
            </w:r>
            <w:r>
              <w:rPr>
                <w:rFonts w:ascii="宋体" w:hAnsi="宋体" w:cs="宋体" w:eastAsia="宋体" w:hint="default"/>
                <w:spacing w:val="-55"/>
                <w:sz w:val="21"/>
                <w:szCs w:val="21"/>
              </w:rPr>
              <w:t> </w:t>
            </w:r>
            <w:r>
              <w:rPr>
                <w:rFonts w:ascii="宋体" w:hAnsi="宋体" w:cs="宋体" w:eastAsia="宋体" w:hint="default"/>
                <w:sz w:val="21"/>
                <w:szCs w:val="21"/>
              </w:rPr>
              <w:t>日本公司尚未取</w:t>
            </w:r>
          </w:p>
        </w:tc>
        <w:tc>
          <w:tcPr>
            <w:tcW w:w="2530" w:type="dxa"/>
            <w:tcBorders>
              <w:top w:val="single" w:sz="4" w:space="0" w:color="000000"/>
              <w:left w:val="single" w:sz="4" w:space="0" w:color="000000"/>
              <w:bottom w:val="nil" w:sz="6" w:space="0" w:color="auto"/>
              <w:right w:val="single" w:sz="4" w:space="0" w:color="000000"/>
            </w:tcBorders>
          </w:tcPr>
          <w:p>
            <w:pPr/>
          </w:p>
        </w:tc>
      </w:tr>
      <w:tr>
        <w:trPr>
          <w:trHeight w:val="2724" w:hRule="exact"/>
        </w:trPr>
        <w:tc>
          <w:tcPr>
            <w:tcW w:w="8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5"/>
              <w:ind w:right="117"/>
              <w:jc w:val="center"/>
              <w:rPr>
                <w:rFonts w:ascii="宋体" w:hAnsi="宋体" w:cs="宋体" w:eastAsia="宋体" w:hint="default"/>
                <w:sz w:val="21"/>
                <w:szCs w:val="21"/>
              </w:rPr>
            </w:pPr>
            <w:r>
              <w:rPr>
                <w:rFonts w:ascii="宋体"/>
                <w:sz w:val="21"/>
              </w:rPr>
              <w:t>3</w:t>
            </w:r>
          </w:p>
        </w:tc>
        <w:tc>
          <w:tcPr>
            <w:tcW w:w="19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72" w:lineRule="exact"/>
              <w:ind w:left="103" w:right="102"/>
              <w:jc w:val="left"/>
              <w:rPr>
                <w:rFonts w:ascii="宋体" w:hAnsi="宋体" w:cs="宋体" w:eastAsia="宋体" w:hint="default"/>
                <w:sz w:val="21"/>
                <w:szCs w:val="21"/>
              </w:rPr>
            </w:pPr>
            <w:r>
              <w:rPr>
                <w:rFonts w:ascii="宋体" w:hAnsi="宋体" w:cs="宋体" w:eastAsia="宋体" w:hint="default"/>
                <w:sz w:val="21"/>
                <w:szCs w:val="21"/>
              </w:rPr>
              <w:t>东北大学科技产业 集团有限公司</w:t>
            </w:r>
          </w:p>
        </w:tc>
        <w:tc>
          <w:tcPr>
            <w:tcW w:w="3986"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z w:val="21"/>
                <w:szCs w:val="21"/>
              </w:rPr>
              <w:t>得权证的</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处房产及</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宗土地做出承诺：</w:t>
            </w:r>
          </w:p>
          <w:p>
            <w:pPr>
              <w:pStyle w:val="TableParagraph"/>
              <w:spacing w:line="272" w:lineRule="exact" w:before="26"/>
              <w:ind w:left="103" w:right="99"/>
              <w:jc w:val="both"/>
              <w:rPr>
                <w:rFonts w:ascii="宋体" w:hAnsi="宋体" w:cs="宋体" w:eastAsia="宋体" w:hint="default"/>
                <w:sz w:val="21"/>
                <w:szCs w:val="21"/>
              </w:rPr>
            </w:pPr>
            <w:r>
              <w:rPr>
                <w:rFonts w:ascii="宋体" w:hAnsi="宋体" w:cs="宋体" w:eastAsia="宋体" w:hint="default"/>
                <w:spacing w:val="-6"/>
                <w:sz w:val="21"/>
                <w:szCs w:val="21"/>
              </w:rPr>
              <w:t>本次合并完成后，如截至</w:t>
            </w:r>
            <w:r>
              <w:rPr>
                <w:rFonts w:ascii="宋体" w:hAnsi="宋体" w:cs="宋体" w:eastAsia="宋体" w:hint="default"/>
                <w:spacing w:val="-53"/>
                <w:sz w:val="21"/>
                <w:szCs w:val="21"/>
              </w:rPr>
              <w:t> </w:t>
            </w: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z w:val="21"/>
                <w:szCs w:val="21"/>
              </w:rPr>
              <w:t> </w:t>
            </w:r>
            <w:r>
              <w:rPr>
                <w:rFonts w:ascii="宋体" w:hAnsi="宋体" w:cs="宋体" w:eastAsia="宋体" w:hint="default"/>
                <w:spacing w:val="-1"/>
                <w:sz w:val="21"/>
                <w:szCs w:val="21"/>
              </w:rPr>
              <w:t>日，前述土地或房产仍有未取得权属证书</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1"/>
                <w:sz w:val="21"/>
                <w:szCs w:val="21"/>
              </w:rPr>
              <w:t>的情况，则东北大学科技产业集团有限公</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11"/>
                <w:sz w:val="21"/>
                <w:szCs w:val="21"/>
              </w:rPr>
              <w:t>司将向本公司支付与未取得权属证书的</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房产或土地的评估净值（以</w:t>
            </w:r>
            <w:r>
              <w:rPr>
                <w:rFonts w:ascii="宋体" w:hAnsi="宋体" w:cs="宋体" w:eastAsia="宋体" w:hint="default"/>
                <w:spacing w:val="-59"/>
                <w:sz w:val="21"/>
                <w:szCs w:val="21"/>
              </w:rPr>
              <w:t> </w:t>
            </w:r>
            <w:r>
              <w:rPr>
                <w:rFonts w:ascii="宋体" w:hAnsi="宋体" w:cs="宋体" w:eastAsia="宋体" w:hint="default"/>
                <w:sz w:val="21"/>
                <w:szCs w:val="21"/>
              </w:rPr>
              <w:t>2006</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宋体" w:hAnsi="宋体" w:cs="宋体" w:eastAsia="宋体" w:hint="default"/>
                <w:sz w:val="21"/>
                <w:szCs w:val="21"/>
              </w:rPr>
              <w:t>12</w:t>
            </w:r>
            <w:r>
              <w:rPr>
                <w:rFonts w:ascii="宋体" w:hAnsi="宋体" w:cs="宋体" w:eastAsia="宋体" w:hint="default"/>
                <w:spacing w:val="-58"/>
                <w:sz w:val="21"/>
                <w:szCs w:val="21"/>
              </w:rPr>
              <w:t> </w:t>
            </w:r>
            <w:r>
              <w:rPr>
                <w:rFonts w:ascii="宋体" w:hAnsi="宋体" w:cs="宋体" w:eastAsia="宋体" w:hint="default"/>
                <w:sz w:val="21"/>
                <w:szCs w:val="21"/>
              </w:rPr>
              <w:t>月</w:t>
            </w:r>
          </w:p>
          <w:p>
            <w:pPr>
              <w:pStyle w:val="TableParagraph"/>
              <w:spacing w:line="272" w:lineRule="exact"/>
              <w:ind w:left="103" w:right="100"/>
              <w:jc w:val="both"/>
              <w:rPr>
                <w:rFonts w:ascii="宋体" w:hAnsi="宋体" w:cs="宋体" w:eastAsia="宋体" w:hint="default"/>
                <w:sz w:val="21"/>
                <w:szCs w:val="21"/>
              </w:rPr>
            </w:pPr>
            <w:r>
              <w:rPr>
                <w:rFonts w:ascii="宋体" w:hAnsi="宋体" w:cs="宋体" w:eastAsia="宋体" w:hint="default"/>
                <w:sz w:val="21"/>
                <w:szCs w:val="21"/>
              </w:rPr>
              <w:t>31</w:t>
            </w:r>
            <w:r>
              <w:rPr>
                <w:rFonts w:ascii="宋体" w:hAnsi="宋体" w:cs="宋体" w:eastAsia="宋体" w:hint="default"/>
                <w:spacing w:val="-51"/>
                <w:sz w:val="21"/>
                <w:szCs w:val="21"/>
              </w:rPr>
              <w:t> </w:t>
            </w:r>
            <w:r>
              <w:rPr>
                <w:rFonts w:ascii="宋体" w:hAnsi="宋体" w:cs="宋体" w:eastAsia="宋体" w:hint="default"/>
                <w:spacing w:val="-4"/>
                <w:sz w:val="21"/>
                <w:szCs w:val="21"/>
              </w:rPr>
              <w:t>日为基准日）相等的现金。待未取得权</w:t>
            </w:r>
            <w:r>
              <w:rPr>
                <w:rFonts w:ascii="宋体" w:hAnsi="宋体" w:cs="宋体" w:eastAsia="宋体" w:hint="default"/>
                <w:sz w:val="21"/>
                <w:szCs w:val="21"/>
              </w:rPr>
              <w:t> </w:t>
            </w:r>
            <w:r>
              <w:rPr>
                <w:rFonts w:ascii="宋体" w:hAnsi="宋体" w:cs="宋体" w:eastAsia="宋体" w:hint="default"/>
                <w:spacing w:val="11"/>
                <w:sz w:val="21"/>
                <w:szCs w:val="21"/>
              </w:rPr>
              <w:t>属证书的房产和土地在最终全部取得权</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pacing w:val="-1"/>
                <w:sz w:val="21"/>
                <w:szCs w:val="21"/>
              </w:rPr>
              <w:t>属证书后，再由本公司支付东北大学科技</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产业集团有限公司该部分现金（不包括利</w:t>
            </w:r>
          </w:p>
        </w:tc>
        <w:tc>
          <w:tcPr>
            <w:tcW w:w="2530" w:type="dxa"/>
            <w:tcBorders>
              <w:top w:val="nil" w:sz="6" w:space="0" w:color="auto"/>
              <w:left w:val="single" w:sz="4" w:space="0" w:color="000000"/>
              <w:bottom w:val="nil" w:sz="6" w:space="0" w:color="auto"/>
              <w:right w:val="single" w:sz="4" w:space="0" w:color="000000"/>
            </w:tcBorders>
          </w:tcPr>
          <w:p>
            <w:pPr>
              <w:pStyle w:val="TableParagraph"/>
              <w:spacing w:line="272" w:lineRule="exact" w:before="129"/>
              <w:ind w:left="103" w:right="1"/>
              <w:jc w:val="left"/>
              <w:rPr>
                <w:rFonts w:ascii="宋体" w:hAnsi="宋体" w:cs="宋体" w:eastAsia="宋体" w:hint="default"/>
                <w:sz w:val="21"/>
                <w:szCs w:val="21"/>
              </w:rPr>
            </w:pPr>
            <w:r>
              <w:rPr>
                <w:rFonts w:ascii="宋体" w:hAnsi="宋体" w:cs="宋体" w:eastAsia="宋体" w:hint="default"/>
                <w:sz w:val="21"/>
                <w:szCs w:val="21"/>
              </w:rPr>
              <w:t>东北大学科技产业集团已 按照承诺内容，向本公司 支付</w:t>
            </w:r>
            <w:r>
              <w:rPr>
                <w:rFonts w:ascii="宋体" w:hAnsi="宋体" w:cs="宋体" w:eastAsia="宋体" w:hint="default"/>
                <w:spacing w:val="-59"/>
                <w:sz w:val="21"/>
                <w:szCs w:val="21"/>
              </w:rPr>
              <w:t> </w:t>
            </w:r>
            <w:r>
              <w:rPr>
                <w:rFonts w:ascii="宋体" w:hAnsi="宋体" w:cs="宋体" w:eastAsia="宋体" w:hint="default"/>
                <w:sz w:val="21"/>
                <w:szCs w:val="21"/>
              </w:rPr>
              <w:t>12,975,375</w:t>
            </w:r>
            <w:r>
              <w:rPr>
                <w:rFonts w:ascii="宋体" w:hAnsi="宋体" w:cs="宋体" w:eastAsia="宋体" w:hint="default"/>
                <w:spacing w:val="-58"/>
                <w:sz w:val="21"/>
                <w:szCs w:val="21"/>
              </w:rPr>
              <w:t> </w:t>
            </w:r>
            <w:r>
              <w:rPr>
                <w:rFonts w:ascii="宋体" w:hAnsi="宋体" w:cs="宋体" w:eastAsia="宋体" w:hint="default"/>
                <w:sz w:val="21"/>
                <w:szCs w:val="21"/>
              </w:rPr>
              <w:t>元现金。</w:t>
            </w:r>
            <w:r>
              <w:rPr>
                <w:rFonts w:ascii="宋体" w:hAnsi="宋体" w:cs="宋体" w:eastAsia="宋体" w:hint="default"/>
                <w:spacing w:val="-1"/>
                <w:sz w:val="21"/>
                <w:szCs w:val="21"/>
              </w:rPr>
              <w:t> </w:t>
            </w:r>
            <w:r>
              <w:rPr>
                <w:rFonts w:ascii="宋体" w:hAnsi="宋体" w:cs="宋体" w:eastAsia="宋体" w:hint="default"/>
                <w:sz w:val="21"/>
                <w:szCs w:val="21"/>
              </w:rPr>
              <w:t>目前，本公司正在办理相</w:t>
            </w:r>
            <w:r>
              <w:rPr>
                <w:rFonts w:ascii="宋体" w:hAnsi="宋体" w:cs="宋体" w:eastAsia="宋体" w:hint="default"/>
                <w:sz w:val="21"/>
                <w:szCs w:val="21"/>
              </w:rPr>
              <w:t> 关手续，待取得上述权属 证明后，再由本公司支付 东北大学科技产业集团有 限公司该部分现金（不包 括利息）。</w:t>
            </w:r>
          </w:p>
        </w:tc>
      </w:tr>
      <w:tr>
        <w:trPr>
          <w:trHeight w:val="279" w:hRule="exact"/>
        </w:trPr>
        <w:tc>
          <w:tcPr>
            <w:tcW w:w="800" w:type="dxa"/>
            <w:tcBorders>
              <w:top w:val="nil" w:sz="6" w:space="0" w:color="auto"/>
              <w:left w:val="single" w:sz="4" w:space="0" w:color="000000"/>
              <w:bottom w:val="single" w:sz="4" w:space="0" w:color="000000"/>
              <w:right w:val="single" w:sz="4" w:space="0" w:color="000000"/>
            </w:tcBorders>
          </w:tcPr>
          <w:p>
            <w:pPr/>
          </w:p>
        </w:tc>
        <w:tc>
          <w:tcPr>
            <w:tcW w:w="1900" w:type="dxa"/>
            <w:tcBorders>
              <w:top w:val="nil" w:sz="6" w:space="0" w:color="auto"/>
              <w:left w:val="single" w:sz="4" w:space="0" w:color="000000"/>
              <w:bottom w:val="single" w:sz="4" w:space="0" w:color="000000"/>
              <w:right w:val="single" w:sz="4" w:space="0" w:color="000000"/>
            </w:tcBorders>
          </w:tcPr>
          <w:p>
            <w:pPr/>
          </w:p>
        </w:tc>
        <w:tc>
          <w:tcPr>
            <w:tcW w:w="3986"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息）。</w:t>
            </w:r>
          </w:p>
        </w:tc>
        <w:tc>
          <w:tcPr>
            <w:tcW w:w="2530" w:type="dxa"/>
            <w:tcBorders>
              <w:top w:val="nil" w:sz="6" w:space="0" w:color="auto"/>
              <w:left w:val="single" w:sz="4" w:space="0" w:color="000000"/>
              <w:bottom w:val="single" w:sz="4" w:space="0" w:color="000000"/>
              <w:right w:val="single" w:sz="4" w:space="0" w:color="000000"/>
            </w:tcBorders>
          </w:tcPr>
          <w:p>
            <w:pPr/>
          </w:p>
        </w:tc>
      </w:tr>
      <w:tr>
        <w:trPr>
          <w:trHeight w:val="292" w:hRule="exact"/>
        </w:trPr>
        <w:tc>
          <w:tcPr>
            <w:tcW w:w="800" w:type="dxa"/>
            <w:tcBorders>
              <w:top w:val="single" w:sz="4" w:space="0" w:color="000000"/>
              <w:left w:val="single" w:sz="4" w:space="0" w:color="000000"/>
              <w:bottom w:val="nil" w:sz="6" w:space="0" w:color="auto"/>
              <w:right w:val="single" w:sz="4" w:space="0" w:color="000000"/>
            </w:tcBorders>
          </w:tcPr>
          <w:p>
            <w:pPr/>
          </w:p>
        </w:tc>
        <w:tc>
          <w:tcPr>
            <w:tcW w:w="1900" w:type="dxa"/>
            <w:tcBorders>
              <w:top w:val="single" w:sz="4" w:space="0" w:color="000000"/>
              <w:left w:val="single" w:sz="4" w:space="0" w:color="000000"/>
              <w:bottom w:val="nil" w:sz="6" w:space="0" w:color="auto"/>
              <w:right w:val="single" w:sz="4" w:space="0" w:color="000000"/>
            </w:tcBorders>
          </w:tcPr>
          <w:p>
            <w:pPr/>
          </w:p>
        </w:tc>
        <w:tc>
          <w:tcPr>
            <w:tcW w:w="3986" w:type="dxa"/>
            <w:tcBorders>
              <w:top w:val="single" w:sz="4" w:space="0" w:color="000000"/>
              <w:left w:val="single" w:sz="4" w:space="0" w:color="000000"/>
              <w:bottom w:val="nil" w:sz="6" w:space="0" w:color="auto"/>
              <w:right w:val="single" w:sz="4" w:space="0" w:color="000000"/>
            </w:tcBorders>
          </w:tcPr>
          <w:p>
            <w:pPr>
              <w:pStyle w:val="TableParagraph"/>
              <w:spacing w:line="256" w:lineRule="exact"/>
              <w:ind w:left="103" w:right="0"/>
              <w:jc w:val="left"/>
              <w:rPr>
                <w:rFonts w:ascii="宋体" w:hAnsi="宋体" w:cs="宋体" w:eastAsia="宋体" w:hint="default"/>
                <w:sz w:val="21"/>
                <w:szCs w:val="21"/>
              </w:rPr>
            </w:pPr>
            <w:r>
              <w:rPr>
                <w:rFonts w:ascii="宋体" w:hAnsi="宋体" w:cs="宋体" w:eastAsia="宋体" w:hint="default"/>
                <w:sz w:val="21"/>
                <w:szCs w:val="21"/>
              </w:rPr>
              <w:t>如果在</w:t>
            </w:r>
            <w:r>
              <w:rPr>
                <w:rFonts w:ascii="宋体" w:hAnsi="宋体" w:cs="宋体" w:eastAsia="宋体" w:hint="default"/>
                <w:spacing w:val="-57"/>
                <w:sz w:val="21"/>
                <w:szCs w:val="21"/>
              </w:rPr>
              <w:t> </w:t>
            </w:r>
            <w:r>
              <w:rPr>
                <w:rFonts w:ascii="宋体" w:hAnsi="宋体" w:cs="宋体" w:eastAsia="宋体" w:hint="default"/>
                <w:sz w:val="21"/>
                <w:szCs w:val="21"/>
              </w:rPr>
              <w:t>2008</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4</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宋体" w:hAnsi="宋体" w:cs="宋体" w:eastAsia="宋体" w:hint="default"/>
                <w:sz w:val="21"/>
                <w:szCs w:val="21"/>
              </w:rPr>
              <w:t>28</w:t>
            </w:r>
            <w:r>
              <w:rPr>
                <w:rFonts w:ascii="宋体" w:hAnsi="宋体" w:cs="宋体" w:eastAsia="宋体" w:hint="default"/>
                <w:spacing w:val="-56"/>
                <w:sz w:val="21"/>
                <w:szCs w:val="21"/>
              </w:rPr>
              <w:t> </w:t>
            </w:r>
            <w:r>
              <w:rPr>
                <w:rFonts w:ascii="宋体" w:hAnsi="宋体" w:cs="宋体" w:eastAsia="宋体" w:hint="default"/>
                <w:sz w:val="21"/>
                <w:szCs w:val="21"/>
              </w:rPr>
              <w:t>日后，因原东软集</w:t>
            </w:r>
          </w:p>
        </w:tc>
        <w:tc>
          <w:tcPr>
            <w:tcW w:w="2530" w:type="dxa"/>
            <w:tcBorders>
              <w:top w:val="single" w:sz="4" w:space="0" w:color="000000"/>
              <w:left w:val="single" w:sz="4" w:space="0" w:color="000000"/>
              <w:bottom w:val="nil" w:sz="6" w:space="0" w:color="auto"/>
              <w:right w:val="single" w:sz="4" w:space="0" w:color="000000"/>
            </w:tcBorders>
          </w:tcPr>
          <w:p>
            <w:pPr/>
          </w:p>
        </w:tc>
      </w:tr>
      <w:tr>
        <w:trPr>
          <w:trHeight w:val="817" w:hRule="exact"/>
        </w:trPr>
        <w:tc>
          <w:tcPr>
            <w:tcW w:w="80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17"/>
              <w:jc w:val="center"/>
              <w:rPr>
                <w:rFonts w:ascii="宋体" w:hAnsi="宋体" w:cs="宋体" w:eastAsia="宋体" w:hint="default"/>
                <w:sz w:val="21"/>
                <w:szCs w:val="21"/>
              </w:rPr>
            </w:pPr>
            <w:r>
              <w:rPr>
                <w:rFonts w:ascii="宋体"/>
                <w:sz w:val="21"/>
              </w:rPr>
              <w:t>4</w:t>
            </w:r>
          </w:p>
        </w:tc>
        <w:tc>
          <w:tcPr>
            <w:tcW w:w="1900" w:type="dxa"/>
            <w:tcBorders>
              <w:top w:val="nil" w:sz="6" w:space="0" w:color="auto"/>
              <w:left w:val="single" w:sz="4" w:space="0" w:color="000000"/>
              <w:bottom w:val="nil" w:sz="6" w:space="0" w:color="auto"/>
              <w:right w:val="single" w:sz="4" w:space="0" w:color="000000"/>
            </w:tcBorders>
          </w:tcPr>
          <w:p>
            <w:pPr>
              <w:pStyle w:val="TableParagraph"/>
              <w:spacing w:line="272" w:lineRule="exact" w:before="129"/>
              <w:ind w:left="103" w:right="102"/>
              <w:jc w:val="left"/>
              <w:rPr>
                <w:rFonts w:ascii="宋体" w:hAnsi="宋体" w:cs="宋体" w:eastAsia="宋体" w:hint="default"/>
                <w:sz w:val="21"/>
                <w:szCs w:val="21"/>
              </w:rPr>
            </w:pPr>
            <w:r>
              <w:rPr>
                <w:rFonts w:ascii="宋体" w:hAnsi="宋体" w:cs="宋体" w:eastAsia="宋体" w:hint="default"/>
                <w:sz w:val="21"/>
                <w:szCs w:val="21"/>
              </w:rPr>
              <w:t>东北大学科技产业 集团有限公司</w:t>
            </w:r>
          </w:p>
        </w:tc>
        <w:tc>
          <w:tcPr>
            <w:tcW w:w="3986"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1"/>
                <w:sz w:val="21"/>
                <w:szCs w:val="21"/>
              </w:rPr>
              <w:t>团有限公司在合并完成日前一日所承担</w:t>
            </w:r>
          </w:p>
          <w:p>
            <w:pPr>
              <w:pStyle w:val="TableParagraph"/>
              <w:spacing w:line="272" w:lineRule="exact" w:before="26"/>
              <w:ind w:left="103" w:right="101"/>
              <w:jc w:val="left"/>
              <w:rPr>
                <w:rFonts w:ascii="宋体" w:hAnsi="宋体" w:cs="宋体" w:eastAsia="宋体" w:hint="default"/>
                <w:sz w:val="21"/>
                <w:szCs w:val="21"/>
              </w:rPr>
            </w:pPr>
            <w:r>
              <w:rPr>
                <w:rFonts w:ascii="宋体" w:hAnsi="宋体" w:cs="宋体" w:eastAsia="宋体" w:hint="default"/>
                <w:spacing w:val="-1"/>
                <w:sz w:val="21"/>
                <w:szCs w:val="21"/>
              </w:rPr>
              <w:t>的对外担保而给发行人造成经济损失，东</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1"/>
                <w:sz w:val="21"/>
                <w:szCs w:val="21"/>
              </w:rPr>
              <w:t>北大学科技产业集团有限公司将向本公</w:t>
            </w:r>
          </w:p>
        </w:tc>
        <w:tc>
          <w:tcPr>
            <w:tcW w:w="2530" w:type="dxa"/>
            <w:tcBorders>
              <w:top w:val="nil" w:sz="6" w:space="0" w:color="auto"/>
              <w:left w:val="single" w:sz="4" w:space="0" w:color="000000"/>
              <w:bottom w:val="nil" w:sz="6" w:space="0" w:color="auto"/>
              <w:right w:val="single" w:sz="4" w:space="0" w:color="000000"/>
            </w:tcBorders>
          </w:tcPr>
          <w:p>
            <w:pPr>
              <w:pStyle w:val="TableParagraph"/>
              <w:spacing w:line="272" w:lineRule="exact" w:before="129"/>
              <w:ind w:left="103" w:right="102"/>
              <w:jc w:val="left"/>
              <w:rPr>
                <w:rFonts w:ascii="宋体" w:hAnsi="宋体" w:cs="宋体" w:eastAsia="宋体" w:hint="default"/>
                <w:sz w:val="21"/>
                <w:szCs w:val="21"/>
              </w:rPr>
            </w:pPr>
            <w:r>
              <w:rPr>
                <w:rFonts w:ascii="宋体" w:hAnsi="宋体" w:cs="宋体" w:eastAsia="宋体" w:hint="default"/>
                <w:sz w:val="21"/>
                <w:szCs w:val="21"/>
              </w:rPr>
              <w:t>截至本报告出具日，没有 触发履行承诺的条件。</w:t>
            </w:r>
          </w:p>
        </w:tc>
      </w:tr>
      <w:tr>
        <w:trPr>
          <w:trHeight w:val="296" w:hRule="exact"/>
        </w:trPr>
        <w:tc>
          <w:tcPr>
            <w:tcW w:w="800" w:type="dxa"/>
            <w:tcBorders>
              <w:top w:val="nil" w:sz="6" w:space="0" w:color="auto"/>
              <w:left w:val="single" w:sz="4" w:space="0" w:color="000000"/>
              <w:bottom w:val="single" w:sz="4" w:space="0" w:color="000000"/>
              <w:right w:val="single" w:sz="4" w:space="0" w:color="000000"/>
            </w:tcBorders>
          </w:tcPr>
          <w:p>
            <w:pPr/>
          </w:p>
        </w:tc>
        <w:tc>
          <w:tcPr>
            <w:tcW w:w="1900" w:type="dxa"/>
            <w:tcBorders>
              <w:top w:val="nil" w:sz="6" w:space="0" w:color="auto"/>
              <w:left w:val="single" w:sz="4" w:space="0" w:color="000000"/>
              <w:bottom w:val="single" w:sz="4" w:space="0" w:color="000000"/>
              <w:right w:val="single" w:sz="4" w:space="0" w:color="000000"/>
            </w:tcBorders>
          </w:tcPr>
          <w:p>
            <w:pPr/>
          </w:p>
        </w:tc>
        <w:tc>
          <w:tcPr>
            <w:tcW w:w="3986"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司支付相当于该经济损失的货币补偿金。</w:t>
            </w:r>
          </w:p>
        </w:tc>
        <w:tc>
          <w:tcPr>
            <w:tcW w:w="2530" w:type="dxa"/>
            <w:tcBorders>
              <w:top w:val="nil" w:sz="6" w:space="0" w:color="auto"/>
              <w:left w:val="single" w:sz="4" w:space="0" w:color="000000"/>
              <w:bottom w:val="single" w:sz="4" w:space="0" w:color="000000"/>
              <w:right w:val="single" w:sz="4" w:space="0" w:color="000000"/>
            </w:tcBorders>
          </w:tcPr>
          <w:p>
            <w:pPr/>
          </w:p>
        </w:tc>
      </w:tr>
      <w:tr>
        <w:trPr>
          <w:trHeight w:val="276" w:hRule="exact"/>
        </w:trPr>
        <w:tc>
          <w:tcPr>
            <w:tcW w:w="800" w:type="dxa"/>
            <w:tcBorders>
              <w:top w:val="single" w:sz="4" w:space="0" w:color="000000"/>
              <w:left w:val="single" w:sz="4" w:space="0" w:color="000000"/>
              <w:bottom w:val="nil" w:sz="6" w:space="0" w:color="auto"/>
              <w:right w:val="single" w:sz="4" w:space="0" w:color="000000"/>
            </w:tcBorders>
          </w:tcPr>
          <w:p>
            <w:pPr/>
          </w:p>
        </w:tc>
        <w:tc>
          <w:tcPr>
            <w:tcW w:w="1900" w:type="dxa"/>
            <w:tcBorders>
              <w:top w:val="single" w:sz="4" w:space="0" w:color="000000"/>
              <w:left w:val="single" w:sz="4" w:space="0" w:color="000000"/>
              <w:bottom w:val="nil" w:sz="6" w:space="0" w:color="auto"/>
              <w:right w:val="single" w:sz="4" w:space="0" w:color="000000"/>
            </w:tcBorders>
          </w:tcPr>
          <w:p>
            <w:pPr/>
          </w:p>
        </w:tc>
        <w:tc>
          <w:tcPr>
            <w:tcW w:w="3986" w:type="dxa"/>
            <w:tcBorders>
              <w:top w:val="single" w:sz="4" w:space="0" w:color="000000"/>
              <w:left w:val="single" w:sz="4" w:space="0" w:color="000000"/>
              <w:bottom w:val="nil" w:sz="6" w:space="0" w:color="auto"/>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从</w:t>
            </w:r>
            <w:r>
              <w:rPr>
                <w:rFonts w:ascii="宋体" w:hAnsi="宋体" w:cs="宋体" w:eastAsia="宋体" w:hint="default"/>
                <w:spacing w:val="-56"/>
                <w:sz w:val="21"/>
                <w:szCs w:val="21"/>
              </w:rPr>
              <w:t> </w:t>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4</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28</w:t>
            </w:r>
            <w:r>
              <w:rPr>
                <w:rFonts w:ascii="宋体" w:hAnsi="宋体" w:cs="宋体" w:eastAsia="宋体" w:hint="default"/>
                <w:spacing w:val="-55"/>
                <w:sz w:val="21"/>
                <w:szCs w:val="21"/>
              </w:rPr>
              <w:t> </w:t>
            </w:r>
            <w:r>
              <w:rPr>
                <w:rFonts w:ascii="宋体" w:hAnsi="宋体" w:cs="宋体" w:eastAsia="宋体" w:hint="default"/>
                <w:sz w:val="21"/>
                <w:szCs w:val="21"/>
              </w:rPr>
              <w:t>日起</w:t>
            </w:r>
            <w:r>
              <w:rPr>
                <w:rFonts w:ascii="宋体" w:hAnsi="宋体" w:cs="宋体" w:eastAsia="宋体" w:hint="default"/>
                <w:spacing w:val="-57"/>
                <w:sz w:val="21"/>
                <w:szCs w:val="21"/>
              </w:rPr>
              <w:t> </w:t>
            </w:r>
            <w:r>
              <w:rPr>
                <w:rFonts w:ascii="宋体" w:hAnsi="宋体" w:cs="宋体" w:eastAsia="宋体" w:hint="default"/>
                <w:sz w:val="21"/>
                <w:szCs w:val="21"/>
              </w:rPr>
              <w:t>5</w:t>
            </w:r>
            <w:r>
              <w:rPr>
                <w:rFonts w:ascii="宋体" w:hAnsi="宋体" w:cs="宋体" w:eastAsia="宋体" w:hint="default"/>
                <w:spacing w:val="-56"/>
                <w:sz w:val="21"/>
                <w:szCs w:val="21"/>
              </w:rPr>
              <w:t> </w:t>
            </w:r>
            <w:r>
              <w:rPr>
                <w:rFonts w:ascii="宋体" w:hAnsi="宋体" w:cs="宋体" w:eastAsia="宋体" w:hint="default"/>
                <w:sz w:val="21"/>
                <w:szCs w:val="21"/>
              </w:rPr>
              <w:t>年内，如教育资</w:t>
            </w:r>
          </w:p>
        </w:tc>
        <w:tc>
          <w:tcPr>
            <w:tcW w:w="2530" w:type="dxa"/>
            <w:tcBorders>
              <w:top w:val="single" w:sz="4" w:space="0" w:color="000000"/>
              <w:left w:val="single" w:sz="4" w:space="0" w:color="000000"/>
              <w:bottom w:val="nil" w:sz="6" w:space="0" w:color="auto"/>
              <w:right w:val="single" w:sz="4" w:space="0" w:color="000000"/>
            </w:tcBorders>
          </w:tcPr>
          <w:p>
            <w:pPr/>
          </w:p>
        </w:tc>
      </w:tr>
      <w:tr>
        <w:trPr>
          <w:trHeight w:val="272" w:hRule="exact"/>
        </w:trPr>
        <w:tc>
          <w:tcPr>
            <w:tcW w:w="800" w:type="dxa"/>
            <w:tcBorders>
              <w:top w:val="nil" w:sz="6" w:space="0" w:color="auto"/>
              <w:left w:val="single" w:sz="4" w:space="0" w:color="000000"/>
              <w:bottom w:val="nil" w:sz="6" w:space="0" w:color="auto"/>
              <w:right w:val="single" w:sz="4" w:space="0" w:color="000000"/>
            </w:tcBorders>
          </w:tcPr>
          <w:p>
            <w:pPr/>
          </w:p>
        </w:tc>
        <w:tc>
          <w:tcPr>
            <w:tcW w:w="1900" w:type="dxa"/>
            <w:tcBorders>
              <w:top w:val="nil" w:sz="6" w:space="0" w:color="auto"/>
              <w:left w:val="single" w:sz="4" w:space="0" w:color="000000"/>
              <w:bottom w:val="nil" w:sz="6" w:space="0" w:color="auto"/>
              <w:right w:val="single" w:sz="4" w:space="0" w:color="000000"/>
            </w:tcBorders>
          </w:tcPr>
          <w:p>
            <w:pPr/>
          </w:p>
        </w:tc>
        <w:tc>
          <w:tcPr>
            <w:tcW w:w="3986"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产对发行人形成经济损失，则东北大学科</w:t>
            </w:r>
          </w:p>
        </w:tc>
        <w:tc>
          <w:tcPr>
            <w:tcW w:w="2530" w:type="dxa"/>
            <w:tcBorders>
              <w:top w:val="nil" w:sz="6" w:space="0" w:color="auto"/>
              <w:left w:val="single" w:sz="4" w:space="0" w:color="000000"/>
              <w:bottom w:val="nil" w:sz="6" w:space="0" w:color="auto"/>
              <w:right w:val="single" w:sz="4" w:space="0" w:color="000000"/>
            </w:tcBorders>
          </w:tcPr>
          <w:p>
            <w:pPr/>
          </w:p>
        </w:tc>
      </w:tr>
      <w:tr>
        <w:trPr>
          <w:trHeight w:val="545" w:hRule="exact"/>
        </w:trPr>
        <w:tc>
          <w:tcPr>
            <w:tcW w:w="8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17"/>
              <w:jc w:val="center"/>
              <w:rPr>
                <w:rFonts w:ascii="宋体" w:hAnsi="宋体" w:cs="宋体" w:eastAsia="宋体" w:hint="default"/>
                <w:sz w:val="21"/>
                <w:szCs w:val="21"/>
              </w:rPr>
            </w:pPr>
            <w:r>
              <w:rPr>
                <w:rFonts w:ascii="宋体"/>
                <w:sz w:val="21"/>
              </w:rPr>
              <w:t>5</w:t>
            </w:r>
          </w:p>
        </w:tc>
        <w:tc>
          <w:tcPr>
            <w:tcW w:w="1900"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东北大学科技产业</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集团有限公司</w:t>
            </w:r>
          </w:p>
        </w:tc>
        <w:tc>
          <w:tcPr>
            <w:tcW w:w="3986"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1"/>
                <w:sz w:val="21"/>
                <w:szCs w:val="21"/>
              </w:rPr>
              <w:t>技产业集团有限公司将按北京中企华资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产评估有限责任公司出具的“中企华评报</w:t>
            </w:r>
          </w:p>
        </w:tc>
        <w:tc>
          <w:tcPr>
            <w:tcW w:w="2530"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截至本报告出具日，没有</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触发履行承诺的条件。</w:t>
            </w:r>
          </w:p>
        </w:tc>
      </w:tr>
      <w:tr>
        <w:trPr>
          <w:trHeight w:val="272" w:hRule="exact"/>
        </w:trPr>
        <w:tc>
          <w:tcPr>
            <w:tcW w:w="800" w:type="dxa"/>
            <w:tcBorders>
              <w:top w:val="nil" w:sz="6" w:space="0" w:color="auto"/>
              <w:left w:val="single" w:sz="4" w:space="0" w:color="000000"/>
              <w:bottom w:val="nil" w:sz="6" w:space="0" w:color="auto"/>
              <w:right w:val="single" w:sz="4" w:space="0" w:color="000000"/>
            </w:tcBorders>
          </w:tcPr>
          <w:p>
            <w:pPr/>
          </w:p>
        </w:tc>
        <w:tc>
          <w:tcPr>
            <w:tcW w:w="1900" w:type="dxa"/>
            <w:tcBorders>
              <w:top w:val="nil" w:sz="6" w:space="0" w:color="auto"/>
              <w:left w:val="single" w:sz="4" w:space="0" w:color="000000"/>
              <w:bottom w:val="nil" w:sz="6" w:space="0" w:color="auto"/>
              <w:right w:val="single" w:sz="4" w:space="0" w:color="000000"/>
            </w:tcBorders>
          </w:tcPr>
          <w:p>
            <w:pPr/>
          </w:p>
        </w:tc>
        <w:tc>
          <w:tcPr>
            <w:tcW w:w="3986"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字[2007]第</w:t>
            </w:r>
            <w:r>
              <w:rPr>
                <w:rFonts w:ascii="宋体" w:hAnsi="宋体" w:cs="宋体" w:eastAsia="宋体" w:hint="default"/>
                <w:spacing w:val="-61"/>
                <w:sz w:val="21"/>
                <w:szCs w:val="21"/>
              </w:rPr>
              <w:t> </w:t>
            </w:r>
            <w:r>
              <w:rPr>
                <w:rFonts w:ascii="宋体" w:hAnsi="宋体" w:cs="宋体" w:eastAsia="宋体" w:hint="default"/>
                <w:sz w:val="21"/>
                <w:szCs w:val="21"/>
              </w:rPr>
              <w:t>053</w:t>
            </w:r>
            <w:r>
              <w:rPr>
                <w:rFonts w:ascii="宋体" w:hAnsi="宋体" w:cs="宋体" w:eastAsia="宋体" w:hint="default"/>
                <w:spacing w:val="-60"/>
                <w:sz w:val="21"/>
                <w:szCs w:val="21"/>
              </w:rPr>
              <w:t> </w:t>
            </w:r>
            <w:r>
              <w:rPr>
                <w:rFonts w:ascii="宋体" w:hAnsi="宋体" w:cs="宋体" w:eastAsia="宋体" w:hint="default"/>
                <w:sz w:val="21"/>
                <w:szCs w:val="21"/>
              </w:rPr>
              <w:t>号”评估报告对该教育资</w:t>
            </w:r>
          </w:p>
        </w:tc>
        <w:tc>
          <w:tcPr>
            <w:tcW w:w="2530"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800" w:type="dxa"/>
            <w:tcBorders>
              <w:top w:val="nil" w:sz="6" w:space="0" w:color="auto"/>
              <w:left w:val="single" w:sz="4" w:space="0" w:color="000000"/>
              <w:bottom w:val="single" w:sz="4" w:space="0" w:color="000000"/>
              <w:right w:val="single" w:sz="4" w:space="0" w:color="000000"/>
            </w:tcBorders>
          </w:tcPr>
          <w:p>
            <w:pPr/>
          </w:p>
        </w:tc>
        <w:tc>
          <w:tcPr>
            <w:tcW w:w="1900" w:type="dxa"/>
            <w:tcBorders>
              <w:top w:val="nil" w:sz="6" w:space="0" w:color="auto"/>
              <w:left w:val="single" w:sz="4" w:space="0" w:color="000000"/>
              <w:bottom w:val="single" w:sz="4" w:space="0" w:color="000000"/>
              <w:right w:val="single" w:sz="4" w:space="0" w:color="000000"/>
            </w:tcBorders>
          </w:tcPr>
          <w:p>
            <w:pPr/>
          </w:p>
        </w:tc>
        <w:tc>
          <w:tcPr>
            <w:tcW w:w="3986"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产的评估值作价进行收购。</w:t>
            </w:r>
          </w:p>
        </w:tc>
        <w:tc>
          <w:tcPr>
            <w:tcW w:w="2530" w:type="dxa"/>
            <w:tcBorders>
              <w:top w:val="nil" w:sz="6" w:space="0" w:color="auto"/>
              <w:left w:val="single" w:sz="4" w:space="0" w:color="000000"/>
              <w:bottom w:val="single" w:sz="4" w:space="0" w:color="000000"/>
              <w:right w:val="single" w:sz="4" w:space="0" w:color="000000"/>
            </w:tcBorders>
          </w:tcPr>
          <w:p>
            <w:pPr/>
          </w:p>
        </w:tc>
      </w:tr>
    </w:tbl>
    <w:p>
      <w:pPr>
        <w:spacing w:line="240" w:lineRule="auto" w:before="6"/>
        <w:rPr>
          <w:rFonts w:ascii="宋体" w:hAnsi="宋体" w:cs="宋体" w:eastAsia="宋体" w:hint="default"/>
          <w:sz w:val="19"/>
          <w:szCs w:val="19"/>
        </w:rPr>
      </w:pPr>
    </w:p>
    <w:p>
      <w:pPr>
        <w:pStyle w:val="BodyText"/>
        <w:spacing w:line="240" w:lineRule="auto" w:before="26"/>
        <w:ind w:right="0"/>
        <w:jc w:val="left"/>
      </w:pPr>
      <w:r>
        <w:rPr/>
        <w:t>（八）聘任、解聘会计师事务所情况</w:t>
      </w:r>
    </w:p>
    <w:p>
      <w:pPr>
        <w:pStyle w:val="BodyText"/>
        <w:spacing w:line="240" w:lineRule="auto" w:before="19"/>
        <w:ind w:left="620" w:right="0"/>
        <w:jc w:val="left"/>
      </w:pPr>
      <w:r>
        <w:rPr/>
        <w:t>于</w:t>
      </w:r>
      <w:r>
        <w:rPr>
          <w:spacing w:val="-40"/>
        </w:rPr>
        <w:t> </w:t>
      </w:r>
      <w:r>
        <w:rPr>
          <w:spacing w:val="34"/>
        </w:rPr>
        <w:t>2009年4月</w:t>
      </w:r>
      <w:r>
        <w:rPr>
          <w:spacing w:val="-40"/>
        </w:rPr>
        <w:t> </w:t>
      </w:r>
      <w:r>
        <w:rPr/>
        <w:t>28</w:t>
      </w:r>
      <w:r>
        <w:rPr>
          <w:spacing w:val="-40"/>
        </w:rPr>
        <w:t> </w:t>
      </w:r>
      <w:r>
        <w:rPr/>
        <w:t>日召开的公司</w:t>
      </w:r>
      <w:r>
        <w:rPr>
          <w:spacing w:val="-40"/>
        </w:rPr>
        <w:t> </w:t>
      </w:r>
      <w:r>
        <w:rPr/>
        <w:t>2008</w:t>
      </w:r>
      <w:r>
        <w:rPr>
          <w:spacing w:val="-40"/>
        </w:rPr>
        <w:t> </w:t>
      </w:r>
      <w:r>
        <w:rPr/>
        <w:t>年度股东大会，审议通过了《关于聘请</w:t>
      </w:r>
      <w:r>
        <w:rPr>
          <w:spacing w:val="-40"/>
        </w:rPr>
        <w:t> </w:t>
      </w:r>
      <w:r>
        <w:rPr/>
        <w:t>2009</w:t>
      </w:r>
    </w:p>
    <w:p>
      <w:pPr>
        <w:pStyle w:val="BodyText"/>
        <w:spacing w:line="240" w:lineRule="auto" w:before="16"/>
        <w:ind w:right="0"/>
        <w:jc w:val="left"/>
      </w:pPr>
      <w:r>
        <w:rPr/>
        <w:t>年度财务审计机构的议案》，股东大会决定续聘立信会计师事务所有限公司为公司 2009</w:t>
      </w:r>
    </w:p>
    <w:p>
      <w:pPr>
        <w:pStyle w:val="BodyText"/>
        <w:spacing w:line="240" w:lineRule="auto" w:before="16"/>
        <w:ind w:right="0"/>
        <w:jc w:val="left"/>
      </w:pPr>
      <w:r>
        <w:rPr/>
        <w:t>年度财务审计机构</w:t>
      </w:r>
      <w:r>
        <w:rPr>
          <w:spacing w:val="-118"/>
        </w:rPr>
        <w:t>，</w:t>
      </w:r>
      <w:r>
        <w:rPr/>
        <w:t>聘期从</w:t>
      </w:r>
      <w:r>
        <w:rPr>
          <w:spacing w:val="-60"/>
        </w:rPr>
        <w:t> </w:t>
      </w:r>
      <w:r>
        <w:rPr/>
        <w:t>2008</w:t>
      </w:r>
      <w:r>
        <w:rPr>
          <w:spacing w:val="-60"/>
        </w:rPr>
        <w:t> </w:t>
      </w:r>
      <w:r>
        <w:rPr/>
        <w:t>年度股东大会批准之日起至</w:t>
      </w:r>
      <w:r>
        <w:rPr>
          <w:spacing w:val="-60"/>
        </w:rPr>
        <w:t> </w:t>
      </w:r>
      <w:r>
        <w:rPr/>
        <w:t>2009</w:t>
      </w:r>
      <w:r>
        <w:rPr>
          <w:spacing w:val="-60"/>
        </w:rPr>
        <w:t> </w:t>
      </w:r>
      <w:r>
        <w:rPr/>
        <w:t>年度股东大会结束之日</w:t>
      </w:r>
    </w:p>
    <w:p>
      <w:pPr>
        <w:spacing w:after="0" w:line="240" w:lineRule="auto"/>
        <w:jc w:val="left"/>
        <w:sectPr>
          <w:pgSz w:w="11910" w:h="16840"/>
          <w:pgMar w:header="720" w:footer="721" w:top="1100" w:bottom="920" w:left="1220" w:right="1160"/>
        </w:sectPr>
      </w:pPr>
    </w:p>
    <w:p>
      <w:pPr>
        <w:spacing w:line="240" w:lineRule="auto" w:before="11"/>
        <w:rPr>
          <w:rFonts w:ascii="宋体" w:hAnsi="宋体" w:cs="宋体" w:eastAsia="宋体" w:hint="default"/>
          <w:sz w:val="21"/>
          <w:szCs w:val="21"/>
        </w:rPr>
      </w:pPr>
    </w:p>
    <w:p>
      <w:pPr>
        <w:pStyle w:val="BodyText"/>
        <w:spacing w:line="240" w:lineRule="auto" w:before="26"/>
        <w:ind w:left="580" w:right="0"/>
        <w:jc w:val="left"/>
      </w:pPr>
      <w:r>
        <w:rPr/>
        <w:t>止。</w:t>
      </w:r>
    </w:p>
    <w:p>
      <w:pPr>
        <w:pStyle w:val="BodyText"/>
        <w:spacing w:line="240" w:lineRule="auto" w:before="16"/>
        <w:ind w:left="1060" w:right="0"/>
        <w:jc w:val="left"/>
      </w:pPr>
      <w:r>
        <w:rPr/>
        <w:t>2009</w:t>
      </w:r>
      <w:r>
        <w:rPr>
          <w:spacing w:val="-66"/>
        </w:rPr>
        <w:t> </w:t>
      </w:r>
      <w:r>
        <w:rPr/>
        <w:t>年，立信会计师事务所有限公司对本公司</w:t>
      </w:r>
      <w:r>
        <w:rPr>
          <w:spacing w:val="-66"/>
        </w:rPr>
        <w:t> </w:t>
      </w:r>
      <w:r>
        <w:rPr/>
        <w:t>2009</w:t>
      </w:r>
      <w:r>
        <w:rPr>
          <w:spacing w:val="-66"/>
        </w:rPr>
        <w:t> </w:t>
      </w:r>
      <w:r>
        <w:rPr>
          <w:spacing w:val="-3"/>
        </w:rPr>
        <w:t>年度财务报告进行了审计，公司</w:t>
      </w:r>
    </w:p>
    <w:p>
      <w:pPr>
        <w:pStyle w:val="BodyText"/>
        <w:spacing w:line="240" w:lineRule="auto" w:before="16"/>
        <w:ind w:left="580" w:right="0"/>
        <w:jc w:val="left"/>
      </w:pPr>
      <w:r>
        <w:rPr/>
        <w:t>为此支付的审计费用为</w:t>
      </w:r>
      <w:r>
        <w:rPr>
          <w:spacing w:val="-52"/>
        </w:rPr>
        <w:t> </w:t>
      </w:r>
      <w:r>
        <w:rPr/>
        <w:t>120</w:t>
      </w:r>
      <w:r>
        <w:rPr>
          <w:spacing w:val="-52"/>
        </w:rPr>
        <w:t> </w:t>
      </w:r>
      <w:r>
        <w:rPr>
          <w:spacing w:val="-5"/>
        </w:rPr>
        <w:t>万元人民币。截止本报告期末，立信会计师事务所有限公司已</w:t>
      </w:r>
    </w:p>
    <w:p>
      <w:pPr>
        <w:pStyle w:val="BodyText"/>
        <w:spacing w:line="252" w:lineRule="auto" w:before="16"/>
        <w:ind w:left="580" w:right="562"/>
        <w:jc w:val="left"/>
      </w:pPr>
      <w:r>
        <w:rPr/>
        <w:t>经为本公司提供了二年审计服务。立信会计师事务所有限公司</w:t>
      </w:r>
      <w:r>
        <w:rPr>
          <w:spacing w:val="-59"/>
        </w:rPr>
        <w:t> </w:t>
      </w:r>
      <w:r>
        <w:rPr/>
        <w:t>2009</w:t>
      </w:r>
      <w:r>
        <w:rPr>
          <w:spacing w:val="-59"/>
        </w:rPr>
        <w:t> </w:t>
      </w:r>
      <w:r>
        <w:rPr/>
        <w:t>年度的签字会计师为</w:t>
      </w:r>
      <w:r>
        <w:rPr/>
        <w:t> 钱志昂和姜丽君。</w:t>
      </w:r>
    </w:p>
    <w:p>
      <w:pPr>
        <w:spacing w:line="240" w:lineRule="auto" w:before="3"/>
        <w:rPr>
          <w:rFonts w:ascii="宋体" w:hAnsi="宋体" w:cs="宋体" w:eastAsia="宋体" w:hint="default"/>
          <w:sz w:val="26"/>
          <w:szCs w:val="26"/>
        </w:rPr>
      </w:pPr>
    </w:p>
    <w:p>
      <w:pPr>
        <w:pStyle w:val="BodyText"/>
        <w:spacing w:line="310" w:lineRule="exact"/>
        <w:ind w:left="1060" w:right="0" w:hanging="481"/>
        <w:jc w:val="left"/>
      </w:pPr>
      <w:r>
        <w:rPr>
          <w:spacing w:val="-4"/>
        </w:rPr>
        <w:t>（九）上市公司及其董事、监事、高级管理人员、公司股东、实际控制人处罚及整改情况</w:t>
      </w:r>
      <w:r>
        <w:rPr>
          <w:spacing w:val="-83"/>
        </w:rPr>
        <w:t> </w:t>
      </w:r>
      <w:r>
        <w:rPr>
          <w:spacing w:val="-83"/>
        </w:rPr>
      </w:r>
      <w:r>
        <w:rPr>
          <w:spacing w:val="-4"/>
        </w:rPr>
        <w:t>本年度，公司及其董事、监事、高级管理人员、公司股东、实际控制人均未受中国证</w:t>
      </w:r>
    </w:p>
    <w:p>
      <w:pPr>
        <w:pStyle w:val="BodyText"/>
        <w:spacing w:line="284" w:lineRule="exact"/>
        <w:ind w:left="580" w:right="0"/>
        <w:jc w:val="left"/>
      </w:pPr>
      <w:r>
        <w:rPr/>
        <w:t>监会的稽查、行政处罚、通报批评及证券交易所的公开谴责。</w:t>
      </w:r>
    </w:p>
    <w:p>
      <w:pPr>
        <w:spacing w:line="240" w:lineRule="auto" w:before="0"/>
        <w:rPr>
          <w:rFonts w:ascii="宋体" w:hAnsi="宋体" w:cs="宋体" w:eastAsia="宋体" w:hint="default"/>
          <w:sz w:val="23"/>
          <w:szCs w:val="23"/>
        </w:rPr>
      </w:pPr>
    </w:p>
    <w:p>
      <w:pPr>
        <w:pStyle w:val="BodyText"/>
        <w:spacing w:line="310" w:lineRule="exact"/>
        <w:ind w:left="1060" w:right="6204" w:hanging="480"/>
        <w:jc w:val="left"/>
      </w:pPr>
      <w:r>
        <w:rPr/>
        <w:t>（十）其他重大事项的说明 本年度公司无其他重大事项。</w:t>
      </w:r>
    </w:p>
    <w:p>
      <w:pPr>
        <w:spacing w:line="240" w:lineRule="auto" w:before="7"/>
        <w:rPr>
          <w:rFonts w:ascii="宋体" w:hAnsi="宋体" w:cs="宋体" w:eastAsia="宋体" w:hint="default"/>
          <w:sz w:val="18"/>
          <w:szCs w:val="18"/>
        </w:rPr>
      </w:pPr>
    </w:p>
    <w:p>
      <w:pPr>
        <w:pStyle w:val="BodyText"/>
        <w:spacing w:line="240" w:lineRule="auto"/>
        <w:ind w:left="580" w:right="0"/>
        <w:jc w:val="left"/>
      </w:pPr>
      <w:r>
        <w:rPr/>
        <w:t>（十一）信息披露索引</w:t>
      </w:r>
    </w:p>
    <w:p>
      <w:pPr>
        <w:spacing w:line="240" w:lineRule="auto" w:before="10"/>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4135"/>
        <w:gridCol w:w="2282"/>
        <w:gridCol w:w="1883"/>
        <w:gridCol w:w="1859"/>
      </w:tblGrid>
      <w:tr>
        <w:trPr>
          <w:trHeight w:val="560"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b/>
                <w:bCs/>
                <w:sz w:val="21"/>
                <w:szCs w:val="21"/>
              </w:rPr>
              <w:t>事项</w:t>
            </w:r>
            <w:r>
              <w:rPr>
                <w:rFonts w:ascii="宋体" w:hAnsi="宋体" w:cs="宋体" w:eastAsia="宋体" w:hint="default"/>
                <w:sz w:val="21"/>
                <w:szCs w:val="21"/>
              </w:rPr>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b/>
                <w:bCs/>
                <w:sz w:val="21"/>
                <w:szCs w:val="21"/>
              </w:rPr>
              <w:t>刊载的报刊名称</w:t>
            </w:r>
            <w:r>
              <w:rPr>
                <w:rFonts w:ascii="宋体" w:hAnsi="宋体" w:cs="宋体" w:eastAsia="宋体" w:hint="default"/>
                <w:sz w:val="21"/>
                <w:szCs w:val="21"/>
              </w:rPr>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及版面</w:t>
            </w:r>
            <w:r>
              <w:rPr>
                <w:rFonts w:ascii="宋体" w:hAnsi="宋体" w:cs="宋体" w:eastAsia="宋体" w:hint="default"/>
                <w:sz w:val="21"/>
                <w:szCs w:val="21"/>
              </w:rPr>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11" w:right="0"/>
              <w:jc w:val="left"/>
              <w:rPr>
                <w:rFonts w:ascii="宋体" w:hAnsi="宋体" w:cs="宋体" w:eastAsia="宋体" w:hint="default"/>
                <w:sz w:val="21"/>
                <w:szCs w:val="21"/>
              </w:rPr>
            </w:pPr>
            <w:r>
              <w:rPr>
                <w:rFonts w:ascii="宋体" w:hAnsi="宋体" w:cs="宋体" w:eastAsia="宋体" w:hint="default"/>
                <w:b/>
                <w:bCs/>
                <w:sz w:val="21"/>
                <w:szCs w:val="21"/>
              </w:rPr>
              <w:t>刊载日期</w:t>
            </w:r>
            <w:r>
              <w:rPr>
                <w:rFonts w:ascii="宋体" w:hAnsi="宋体" w:cs="宋体" w:eastAsia="宋体" w:hint="default"/>
                <w:sz w:val="21"/>
                <w:szCs w:val="21"/>
              </w:rPr>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b/>
                <w:bCs/>
                <w:sz w:val="21"/>
                <w:szCs w:val="21"/>
              </w:rPr>
              <w:t>刊载的互联网网</w:t>
            </w:r>
            <w:r>
              <w:rPr>
                <w:rFonts w:ascii="宋体" w:hAnsi="宋体" w:cs="宋体" w:eastAsia="宋体" w:hint="default"/>
                <w:sz w:val="21"/>
                <w:szCs w:val="21"/>
              </w:rPr>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站及检索路径</w:t>
            </w:r>
            <w:r>
              <w:rPr>
                <w:rFonts w:ascii="宋体" w:hAnsi="宋体" w:cs="宋体" w:eastAsia="宋体" w:hint="default"/>
                <w:sz w:val="21"/>
                <w:szCs w:val="21"/>
              </w:rPr>
            </w:r>
          </w:p>
        </w:tc>
      </w:tr>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w:t>
            </w:r>
            <w:r>
              <w:rPr>
                <w:rFonts w:ascii="宋体" w:hAnsi="宋体" w:cs="宋体" w:eastAsia="宋体" w:hint="default"/>
                <w:spacing w:val="-63"/>
                <w:sz w:val="21"/>
                <w:szCs w:val="21"/>
              </w:rPr>
              <w:t> </w:t>
            </w:r>
            <w:r>
              <w:rPr>
                <w:rFonts w:ascii="宋体" w:hAnsi="宋体" w:cs="宋体" w:eastAsia="宋体" w:hint="default"/>
                <w:sz w:val="21"/>
                <w:szCs w:val="21"/>
              </w:rPr>
              <w:t>2008</w:t>
            </w:r>
            <w:r>
              <w:rPr>
                <w:rFonts w:ascii="宋体" w:hAnsi="宋体" w:cs="宋体" w:eastAsia="宋体" w:hint="default"/>
                <w:spacing w:val="-62"/>
                <w:sz w:val="21"/>
                <w:szCs w:val="21"/>
              </w:rPr>
              <w:t> </w:t>
            </w:r>
            <w:r>
              <w:rPr>
                <w:rFonts w:ascii="宋体" w:hAnsi="宋体" w:cs="宋体" w:eastAsia="宋体" w:hint="default"/>
                <w:sz w:val="21"/>
                <w:szCs w:val="21"/>
              </w:rPr>
              <w:t>年度业绩预增</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D004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C64</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22</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东软集团股份有限公司关于获得"2008</w:t>
            </w:r>
            <w:r>
              <w:rPr>
                <w:rFonts w:ascii="宋体" w:hAnsi="宋体" w:cs="宋体" w:eastAsia="宋体" w:hint="default"/>
                <w:spacing w:val="-71"/>
                <w:sz w:val="21"/>
                <w:szCs w:val="21"/>
              </w:rPr>
              <w:t> </w:t>
            </w:r>
            <w:r>
              <w:rPr>
                <w:rFonts w:ascii="宋体" w:hAnsi="宋体" w:cs="宋体" w:eastAsia="宋体" w:hint="default"/>
                <w:sz w:val="21"/>
                <w:szCs w:val="21"/>
              </w:rPr>
              <w:t>年度</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国家规划布局内重点软件企业"认定的公告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D004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C64</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22</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60"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东软集团股份有限公司重大事项暨停牌公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D016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C3</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东软集团股份有限公司重大事项进展公告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A12</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B04</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23</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60"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东软集团股份有限公司重大事项论证未通</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过暨复牌公告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A12</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B04</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2009年3</w:t>
            </w:r>
            <w:r>
              <w:rPr>
                <w:rFonts w:ascii="宋体" w:hAnsi="宋体" w:cs="宋体" w:eastAsia="宋体" w:hint="default"/>
                <w:spacing w:val="-45"/>
                <w:sz w:val="18"/>
                <w:szCs w:val="18"/>
              </w:rPr>
              <w:t> </w:t>
            </w:r>
            <w:r>
              <w:rPr>
                <w:rFonts w:ascii="宋体" w:hAnsi="宋体" w:cs="宋体" w:eastAsia="宋体" w:hint="default"/>
                <w:spacing w:val="22"/>
                <w:sz w:val="18"/>
                <w:szCs w:val="18"/>
              </w:rPr>
              <w:t>月2</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w:t>
            </w:r>
            <w:r>
              <w:rPr>
                <w:rFonts w:ascii="宋体" w:hAnsi="宋体" w:cs="宋体" w:eastAsia="宋体" w:hint="default"/>
                <w:spacing w:val="-61"/>
                <w:sz w:val="21"/>
                <w:szCs w:val="21"/>
              </w:rPr>
              <w:t> </w:t>
            </w:r>
            <w:r>
              <w:rPr>
                <w:rFonts w:ascii="宋体" w:hAnsi="宋体" w:cs="宋体" w:eastAsia="宋体" w:hint="default"/>
                <w:sz w:val="21"/>
                <w:szCs w:val="21"/>
              </w:rPr>
              <w:t>2008</w:t>
            </w:r>
            <w:r>
              <w:rPr>
                <w:rFonts w:ascii="宋体" w:hAnsi="宋体" w:cs="宋体" w:eastAsia="宋体" w:hint="default"/>
                <w:spacing w:val="-61"/>
                <w:sz w:val="21"/>
                <w:szCs w:val="21"/>
              </w:rPr>
              <w:t> </w:t>
            </w:r>
            <w:r>
              <w:rPr>
                <w:rFonts w:ascii="宋体" w:hAnsi="宋体" w:cs="宋体" w:eastAsia="宋体" w:hint="default"/>
                <w:sz w:val="21"/>
                <w:szCs w:val="21"/>
              </w:rPr>
              <w:t>年度报告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5"/>
                <w:sz w:val="21"/>
                <w:szCs w:val="21"/>
              </w:rPr>
              <w:t> </w:t>
            </w:r>
            <w:r>
              <w:rPr>
                <w:rFonts w:ascii="宋体" w:hAnsi="宋体" w:cs="宋体" w:eastAsia="宋体" w:hint="default"/>
                <w:sz w:val="21"/>
                <w:szCs w:val="21"/>
              </w:rPr>
              <w:t>129、130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C152、153</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东软集团股份有限公司五届六次董事会决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议公告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129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C153</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60"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东软集团股份有限公司关于</w:t>
            </w:r>
            <w:r>
              <w:rPr>
                <w:rFonts w:ascii="宋体" w:hAnsi="宋体" w:cs="宋体" w:eastAsia="宋体" w:hint="default"/>
                <w:spacing w:val="-63"/>
                <w:sz w:val="21"/>
                <w:szCs w:val="21"/>
              </w:rPr>
              <w:t> </w:t>
            </w:r>
            <w:r>
              <w:rPr>
                <w:rFonts w:ascii="宋体" w:hAnsi="宋体" w:cs="宋体" w:eastAsia="宋体" w:hint="default"/>
                <w:sz w:val="21"/>
                <w:szCs w:val="21"/>
              </w:rPr>
              <w:t>2009</w:t>
            </w:r>
            <w:r>
              <w:rPr>
                <w:rFonts w:ascii="宋体" w:hAnsi="宋体" w:cs="宋体" w:eastAsia="宋体" w:hint="default"/>
                <w:spacing w:val="-62"/>
                <w:sz w:val="21"/>
                <w:szCs w:val="21"/>
              </w:rPr>
              <w:t> </w:t>
            </w:r>
            <w:r>
              <w:rPr>
                <w:rFonts w:ascii="宋体" w:hAnsi="宋体" w:cs="宋体" w:eastAsia="宋体" w:hint="default"/>
                <w:sz w:val="21"/>
                <w:szCs w:val="21"/>
              </w:rPr>
              <w:t>年度日常</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关联交易预计情况的公告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129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C153</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东软集团股份有限公司关于召开</w:t>
            </w:r>
            <w:r>
              <w:rPr>
                <w:rFonts w:ascii="宋体" w:hAnsi="宋体" w:cs="宋体" w:eastAsia="宋体" w:hint="default"/>
                <w:spacing w:val="-62"/>
                <w:sz w:val="21"/>
                <w:szCs w:val="21"/>
              </w:rPr>
              <w:t> </w:t>
            </w:r>
            <w:r>
              <w:rPr>
                <w:rFonts w:ascii="宋体" w:hAnsi="宋体" w:cs="宋体" w:eastAsia="宋体" w:hint="default"/>
                <w:sz w:val="21"/>
                <w:szCs w:val="21"/>
              </w:rPr>
              <w:t>2008</w:t>
            </w:r>
            <w:r>
              <w:rPr>
                <w:rFonts w:ascii="宋体" w:hAnsi="宋体" w:cs="宋体" w:eastAsia="宋体" w:hint="default"/>
                <w:spacing w:val="-62"/>
                <w:sz w:val="21"/>
                <w:szCs w:val="21"/>
              </w:rPr>
              <w:t> </w:t>
            </w:r>
            <w:r>
              <w:rPr>
                <w:rFonts w:ascii="宋体" w:hAnsi="宋体" w:cs="宋体" w:eastAsia="宋体" w:hint="default"/>
                <w:sz w:val="21"/>
                <w:szCs w:val="21"/>
              </w:rPr>
              <w:t>年度</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股东大会的通知</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129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C153</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60"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东软集团股份有限公司五届五次监事会决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议公告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129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C153</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东软集团股份有限公司五届七次董事会决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议公告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C40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D044</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15</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东软集团股份有限公司关于召开</w:t>
            </w:r>
            <w:r>
              <w:rPr>
                <w:rFonts w:ascii="宋体" w:hAnsi="宋体" w:cs="宋体" w:eastAsia="宋体" w:hint="default"/>
                <w:spacing w:val="-62"/>
                <w:sz w:val="21"/>
                <w:szCs w:val="21"/>
              </w:rPr>
              <w:t> </w:t>
            </w:r>
            <w:r>
              <w:rPr>
                <w:rFonts w:ascii="宋体" w:hAnsi="宋体" w:cs="宋体" w:eastAsia="宋体" w:hint="default"/>
                <w:sz w:val="21"/>
                <w:szCs w:val="21"/>
              </w:rPr>
              <w:t>2008</w:t>
            </w:r>
            <w:r>
              <w:rPr>
                <w:rFonts w:ascii="宋体" w:hAnsi="宋体" w:cs="宋体" w:eastAsia="宋体" w:hint="default"/>
                <w:spacing w:val="-62"/>
                <w:sz w:val="21"/>
                <w:szCs w:val="21"/>
              </w:rPr>
              <w:t> </w:t>
            </w:r>
            <w:r>
              <w:rPr>
                <w:rFonts w:ascii="宋体" w:hAnsi="宋体" w:cs="宋体" w:eastAsia="宋体" w:hint="default"/>
                <w:sz w:val="21"/>
                <w:szCs w:val="21"/>
              </w:rPr>
              <w:t>年度</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股东大会的补充通知</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C40</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D044</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15</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60"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东软集团股份有限公司关于召开</w:t>
            </w:r>
            <w:r>
              <w:rPr>
                <w:rFonts w:ascii="宋体" w:hAnsi="宋体" w:cs="宋体" w:eastAsia="宋体" w:hint="default"/>
                <w:spacing w:val="-62"/>
                <w:sz w:val="21"/>
                <w:szCs w:val="21"/>
              </w:rPr>
              <w:t> </w:t>
            </w:r>
            <w:r>
              <w:rPr>
                <w:rFonts w:ascii="宋体" w:hAnsi="宋体" w:cs="宋体" w:eastAsia="宋体" w:hint="default"/>
                <w:sz w:val="21"/>
                <w:szCs w:val="21"/>
              </w:rPr>
              <w:t>2008</w:t>
            </w:r>
            <w:r>
              <w:rPr>
                <w:rFonts w:ascii="宋体" w:hAnsi="宋体" w:cs="宋体" w:eastAsia="宋体" w:hint="default"/>
                <w:spacing w:val="-62"/>
                <w:sz w:val="21"/>
                <w:szCs w:val="21"/>
              </w:rPr>
              <w:t> </w:t>
            </w:r>
            <w:r>
              <w:rPr>
                <w:rFonts w:ascii="宋体" w:hAnsi="宋体" w:cs="宋体" w:eastAsia="宋体" w:hint="default"/>
                <w:sz w:val="21"/>
                <w:szCs w:val="21"/>
              </w:rPr>
              <w:t>年度</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股东大会的提示性公告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C16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C12</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w:t>
            </w:r>
            <w:r>
              <w:rPr>
                <w:rFonts w:ascii="宋体" w:hAnsi="宋体" w:cs="宋体" w:eastAsia="宋体" w:hint="default"/>
                <w:spacing w:val="-63"/>
                <w:sz w:val="21"/>
                <w:szCs w:val="21"/>
              </w:rPr>
              <w:t> </w:t>
            </w:r>
            <w:r>
              <w:rPr>
                <w:rFonts w:ascii="宋体" w:hAnsi="宋体" w:cs="宋体" w:eastAsia="宋体" w:hint="default"/>
                <w:sz w:val="21"/>
                <w:szCs w:val="21"/>
              </w:rPr>
              <w:t>2009</w:t>
            </w:r>
            <w:r>
              <w:rPr>
                <w:rFonts w:ascii="宋体" w:hAnsi="宋体" w:cs="宋体" w:eastAsia="宋体" w:hint="default"/>
                <w:spacing w:val="-62"/>
                <w:sz w:val="21"/>
                <w:szCs w:val="21"/>
              </w:rPr>
              <w:t> </w:t>
            </w:r>
            <w:r>
              <w:rPr>
                <w:rFonts w:ascii="宋体" w:hAnsi="宋体" w:cs="宋体" w:eastAsia="宋体" w:hint="default"/>
                <w:sz w:val="21"/>
                <w:szCs w:val="21"/>
              </w:rPr>
              <w:t>年第一季度报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D019</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60"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w:t>
            </w:r>
            <w:r>
              <w:rPr>
                <w:rFonts w:ascii="宋体" w:hAnsi="宋体" w:cs="宋体" w:eastAsia="宋体" w:hint="default"/>
                <w:spacing w:val="-63"/>
                <w:sz w:val="21"/>
                <w:szCs w:val="21"/>
              </w:rPr>
              <w:t> </w:t>
            </w:r>
            <w:r>
              <w:rPr>
                <w:rFonts w:ascii="宋体" w:hAnsi="宋体" w:cs="宋体" w:eastAsia="宋体" w:hint="default"/>
                <w:sz w:val="21"/>
                <w:szCs w:val="21"/>
              </w:rPr>
              <w:t>2008</w:t>
            </w:r>
            <w:r>
              <w:rPr>
                <w:rFonts w:ascii="宋体" w:hAnsi="宋体" w:cs="宋体" w:eastAsia="宋体" w:hint="default"/>
                <w:spacing w:val="-62"/>
                <w:sz w:val="21"/>
                <w:szCs w:val="21"/>
              </w:rPr>
              <w:t> </w:t>
            </w:r>
            <w:r>
              <w:rPr>
                <w:rFonts w:ascii="宋体" w:hAnsi="宋体" w:cs="宋体" w:eastAsia="宋体" w:hint="default"/>
                <w:sz w:val="21"/>
                <w:szCs w:val="21"/>
              </w:rPr>
              <w:t>年度股东大会</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决议公告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D019</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东软集团股份有限公司五届八次董事会决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议公告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D019</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288"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东软集团股份有限公司五届九次董事会决</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C73</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宋体" w:hAnsi="宋体" w:cs="宋体" w:eastAsia="宋体" w:hint="default"/>
                <w:sz w:val="15"/>
                <w:szCs w:val="15"/>
              </w:rPr>
            </w:pPr>
            <w:hyperlink r:id="rId10">
              <w:r>
                <w:rPr>
                  <w:rFonts w:ascii="宋体"/>
                  <w:sz w:val="15"/>
                </w:rPr>
                <w:t>http://www.sse.com.cn</w:t>
              </w:r>
            </w:hyperlink>
          </w:p>
        </w:tc>
      </w:tr>
    </w:tbl>
    <w:p>
      <w:pPr>
        <w:spacing w:after="0" w:line="240" w:lineRule="auto"/>
        <w:jc w:val="left"/>
        <w:rPr>
          <w:rFonts w:ascii="宋体" w:hAnsi="宋体" w:cs="宋体" w:eastAsia="宋体" w:hint="default"/>
          <w:sz w:val="15"/>
          <w:szCs w:val="15"/>
        </w:rPr>
        <w:sectPr>
          <w:pgSz w:w="11910" w:h="16840"/>
          <w:pgMar w:header="720" w:footer="721" w:top="1100" w:bottom="920" w:left="780" w:right="720"/>
        </w:sectPr>
      </w:pPr>
    </w:p>
    <w:p>
      <w:pPr>
        <w:spacing w:line="240" w:lineRule="auto" w:before="0"/>
        <w:rPr>
          <w:rFonts w:ascii="宋体" w:hAnsi="宋体" w:cs="宋体" w:eastAsia="宋体" w:hint="default"/>
          <w:sz w:val="25"/>
          <w:szCs w:val="25"/>
        </w:rPr>
      </w:pPr>
    </w:p>
    <w:tbl>
      <w:tblPr>
        <w:tblW w:w="0" w:type="auto"/>
        <w:jc w:val="left"/>
        <w:tblInd w:w="113" w:type="dxa"/>
        <w:tblLayout w:type="fixed"/>
        <w:tblCellMar>
          <w:top w:w="0" w:type="dxa"/>
          <w:left w:w="0" w:type="dxa"/>
          <w:bottom w:w="0" w:type="dxa"/>
          <w:right w:w="0" w:type="dxa"/>
        </w:tblCellMar>
        <w:tblLook w:val="01E0"/>
      </w:tblPr>
      <w:tblGrid>
        <w:gridCol w:w="4135"/>
        <w:gridCol w:w="2282"/>
        <w:gridCol w:w="1883"/>
        <w:gridCol w:w="1859"/>
      </w:tblGrid>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bookmarkStart w:name="_bookmark10" w:id="12"/>
            <w:bookmarkEnd w:id="12"/>
            <w:r>
              <w:rPr/>
            </w:r>
            <w:r>
              <w:rPr>
                <w:rFonts w:ascii="宋体" w:hAnsi="宋体" w:cs="宋体" w:eastAsia="宋体" w:hint="default"/>
                <w:b/>
                <w:bCs/>
                <w:sz w:val="21"/>
                <w:szCs w:val="21"/>
              </w:rPr>
              <w:t>事项</w:t>
            </w:r>
            <w:r>
              <w:rPr>
                <w:rFonts w:ascii="宋体" w:hAnsi="宋体" w:cs="宋体" w:eastAsia="宋体" w:hint="default"/>
                <w:sz w:val="21"/>
                <w:szCs w:val="21"/>
              </w:rPr>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b/>
                <w:bCs/>
                <w:sz w:val="21"/>
                <w:szCs w:val="21"/>
              </w:rPr>
              <w:t>刊载的报刊名称</w:t>
            </w:r>
            <w:r>
              <w:rPr>
                <w:rFonts w:ascii="宋体" w:hAnsi="宋体" w:cs="宋体" w:eastAsia="宋体" w:hint="default"/>
                <w:sz w:val="21"/>
                <w:szCs w:val="21"/>
              </w:rPr>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及版面</w:t>
            </w:r>
            <w:r>
              <w:rPr>
                <w:rFonts w:ascii="宋体" w:hAnsi="宋体" w:cs="宋体" w:eastAsia="宋体" w:hint="default"/>
                <w:sz w:val="21"/>
                <w:szCs w:val="21"/>
              </w:rPr>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11" w:right="0"/>
              <w:jc w:val="left"/>
              <w:rPr>
                <w:rFonts w:ascii="宋体" w:hAnsi="宋体" w:cs="宋体" w:eastAsia="宋体" w:hint="default"/>
                <w:sz w:val="21"/>
                <w:szCs w:val="21"/>
              </w:rPr>
            </w:pPr>
            <w:r>
              <w:rPr>
                <w:rFonts w:ascii="宋体" w:hAnsi="宋体" w:cs="宋体" w:eastAsia="宋体" w:hint="default"/>
                <w:b/>
                <w:bCs/>
                <w:sz w:val="21"/>
                <w:szCs w:val="21"/>
              </w:rPr>
              <w:t>刊载日期</w:t>
            </w:r>
            <w:r>
              <w:rPr>
                <w:rFonts w:ascii="宋体" w:hAnsi="宋体" w:cs="宋体" w:eastAsia="宋体" w:hint="default"/>
                <w:sz w:val="21"/>
                <w:szCs w:val="21"/>
              </w:rPr>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b/>
                <w:bCs/>
                <w:sz w:val="21"/>
                <w:szCs w:val="21"/>
              </w:rPr>
              <w:t>刊载的互联网网</w:t>
            </w:r>
            <w:r>
              <w:rPr>
                <w:rFonts w:ascii="宋体" w:hAnsi="宋体" w:cs="宋体" w:eastAsia="宋体" w:hint="default"/>
                <w:sz w:val="21"/>
                <w:szCs w:val="21"/>
              </w:rPr>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站及检索路径</w:t>
            </w:r>
            <w:r>
              <w:rPr>
                <w:rFonts w:ascii="宋体" w:hAnsi="宋体" w:cs="宋体" w:eastAsia="宋体" w:hint="default"/>
                <w:sz w:val="21"/>
                <w:szCs w:val="21"/>
              </w:rPr>
            </w:r>
          </w:p>
        </w:tc>
      </w:tr>
      <w:tr>
        <w:trPr>
          <w:trHeight w:val="288"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议公告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B08</w:t>
            </w:r>
          </w:p>
        </w:tc>
        <w:tc>
          <w:tcPr>
            <w:tcW w:w="1883" w:type="dxa"/>
            <w:tcBorders>
              <w:top w:val="single" w:sz="6" w:space="0" w:color="000000"/>
              <w:left w:val="single" w:sz="6" w:space="0" w:color="000000"/>
              <w:bottom w:val="single" w:sz="6" w:space="0" w:color="000000"/>
              <w:right w:val="single" w:sz="6" w:space="0" w:color="000000"/>
            </w:tcBorders>
          </w:tcPr>
          <w:p>
            <w:pPr/>
          </w:p>
        </w:tc>
        <w:tc>
          <w:tcPr>
            <w:tcW w:w="1859"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东软集团股份有限公司五届七次监事会决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议公告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C73</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B08</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60"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东软集团股份有限公司五届十次董事会决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议公告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C56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D020</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东软集团股份有限公司关于召开</w:t>
            </w:r>
            <w:r>
              <w:rPr>
                <w:rFonts w:ascii="宋体" w:hAnsi="宋体" w:cs="宋体" w:eastAsia="宋体" w:hint="default"/>
                <w:spacing w:val="-62"/>
                <w:sz w:val="21"/>
                <w:szCs w:val="21"/>
              </w:rPr>
              <w:t> </w:t>
            </w:r>
            <w:r>
              <w:rPr>
                <w:rFonts w:ascii="宋体" w:hAnsi="宋体" w:cs="宋体" w:eastAsia="宋体" w:hint="default"/>
                <w:sz w:val="21"/>
                <w:szCs w:val="21"/>
              </w:rPr>
              <w:t>2009</w:t>
            </w:r>
            <w:r>
              <w:rPr>
                <w:rFonts w:ascii="宋体" w:hAnsi="宋体" w:cs="宋体" w:eastAsia="宋体" w:hint="default"/>
                <w:spacing w:val="-62"/>
                <w:sz w:val="21"/>
                <w:szCs w:val="21"/>
              </w:rPr>
              <w:t> </w:t>
            </w:r>
            <w:r>
              <w:rPr>
                <w:rFonts w:ascii="宋体" w:hAnsi="宋体" w:cs="宋体" w:eastAsia="宋体" w:hint="default"/>
                <w:sz w:val="21"/>
                <w:szCs w:val="21"/>
              </w:rPr>
              <w:t>年第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一次临时股东大会的通知</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C56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D020</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w:t>
            </w:r>
            <w:r>
              <w:rPr>
                <w:rFonts w:ascii="宋体" w:hAnsi="宋体" w:cs="宋体" w:eastAsia="宋体" w:hint="default"/>
                <w:spacing w:val="-63"/>
                <w:sz w:val="21"/>
                <w:szCs w:val="21"/>
              </w:rPr>
              <w:t> </w:t>
            </w:r>
            <w:r>
              <w:rPr>
                <w:rFonts w:ascii="宋体" w:hAnsi="宋体" w:cs="宋体" w:eastAsia="宋体" w:hint="default"/>
                <w:sz w:val="21"/>
                <w:szCs w:val="21"/>
              </w:rPr>
              <w:t>2009</w:t>
            </w:r>
            <w:r>
              <w:rPr>
                <w:rFonts w:ascii="宋体" w:hAnsi="宋体" w:cs="宋体" w:eastAsia="宋体" w:hint="default"/>
                <w:spacing w:val="-62"/>
                <w:sz w:val="21"/>
                <w:szCs w:val="21"/>
              </w:rPr>
              <w:t> </w:t>
            </w:r>
            <w:r>
              <w:rPr>
                <w:rFonts w:ascii="宋体" w:hAnsi="宋体" w:cs="宋体" w:eastAsia="宋体" w:hint="default"/>
                <w:sz w:val="21"/>
                <w:szCs w:val="21"/>
              </w:rPr>
              <w:t>年半年度报告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C134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D140</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60"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东软集团股份有限公司五届十一次董事会</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决议公告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C134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D140</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东软集团股份有限公司五届八次监事会决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议公告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C134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D140</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1378"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东软集团股份有限公司关于全资子公司-东</w:t>
            </w:r>
          </w:p>
          <w:p>
            <w:pPr>
              <w:pStyle w:val="TableParagraph"/>
              <w:spacing w:line="272" w:lineRule="exact" w:before="26"/>
              <w:ind w:left="100" w:right="133"/>
              <w:jc w:val="left"/>
              <w:rPr>
                <w:rFonts w:ascii="宋体" w:hAnsi="宋体" w:cs="宋体" w:eastAsia="宋体" w:hint="default"/>
                <w:sz w:val="21"/>
                <w:szCs w:val="21"/>
              </w:rPr>
            </w:pPr>
            <w:r>
              <w:rPr>
                <w:rFonts w:ascii="宋体" w:hAnsi="宋体" w:cs="宋体" w:eastAsia="宋体" w:hint="default"/>
                <w:sz w:val="21"/>
                <w:szCs w:val="21"/>
              </w:rPr>
              <w:t>软（欧洲）有限公司收购 Sesca</w:t>
            </w:r>
            <w:r>
              <w:rPr>
                <w:rFonts w:ascii="宋体" w:hAnsi="宋体" w:cs="宋体" w:eastAsia="宋体" w:hint="default"/>
                <w:spacing w:val="-53"/>
                <w:sz w:val="21"/>
                <w:szCs w:val="21"/>
              </w:rPr>
              <w:t> </w:t>
            </w:r>
            <w:r>
              <w:rPr>
                <w:rFonts w:ascii="宋体" w:hAnsi="宋体" w:cs="宋体" w:eastAsia="宋体" w:hint="default"/>
                <w:sz w:val="21"/>
                <w:szCs w:val="21"/>
              </w:rPr>
              <w:t>Mobile</w:t>
            </w:r>
            <w:r>
              <w:rPr>
                <w:rFonts w:ascii="宋体" w:hAnsi="宋体" w:cs="宋体" w:eastAsia="宋体" w:hint="default"/>
                <w:sz w:val="21"/>
                <w:szCs w:val="21"/>
              </w:rPr>
              <w:t> Software Oy、Almitas Oy 和</w:t>
            </w:r>
            <w:r>
              <w:rPr>
                <w:rFonts w:ascii="宋体" w:hAnsi="宋体" w:cs="宋体" w:eastAsia="宋体" w:hint="default"/>
                <w:spacing w:val="-60"/>
                <w:sz w:val="21"/>
                <w:szCs w:val="21"/>
              </w:rPr>
              <w:t> </w:t>
            </w:r>
            <w:r>
              <w:rPr>
                <w:rFonts w:ascii="宋体" w:hAnsi="宋体" w:cs="宋体" w:eastAsia="宋体" w:hint="default"/>
                <w:sz w:val="21"/>
                <w:szCs w:val="21"/>
              </w:rPr>
              <w:t>sesca</w:t>
            </w:r>
            <w:r>
              <w:rPr>
                <w:rFonts w:ascii="宋体" w:hAnsi="宋体" w:cs="宋体" w:eastAsia="宋体" w:hint="default"/>
                <w:sz w:val="21"/>
                <w:szCs w:val="21"/>
              </w:rPr>
              <w:t> Technologies</w:t>
            </w:r>
            <w:r>
              <w:rPr>
                <w:rFonts w:ascii="宋体" w:hAnsi="宋体" w:cs="宋体" w:eastAsia="宋体" w:hint="default"/>
                <w:spacing w:val="-6"/>
                <w:sz w:val="21"/>
                <w:szCs w:val="21"/>
              </w:rPr>
              <w:t> </w:t>
            </w:r>
            <w:r>
              <w:rPr>
                <w:rFonts w:ascii="宋体" w:hAnsi="宋体" w:cs="宋体" w:eastAsia="宋体" w:hint="default"/>
                <w:sz w:val="21"/>
                <w:szCs w:val="21"/>
              </w:rPr>
              <w:t>SRL</w:t>
            </w:r>
            <w:r>
              <w:rPr>
                <w:rFonts w:ascii="宋体" w:hAnsi="宋体" w:cs="宋体" w:eastAsia="宋体" w:hint="default"/>
                <w:spacing w:val="-55"/>
                <w:sz w:val="21"/>
                <w:szCs w:val="21"/>
              </w:rPr>
              <w:t> </w:t>
            </w:r>
            <w:r>
              <w:rPr>
                <w:rFonts w:ascii="宋体" w:hAnsi="宋体" w:cs="宋体" w:eastAsia="宋体" w:hint="default"/>
                <w:sz w:val="21"/>
                <w:szCs w:val="21"/>
              </w:rPr>
              <w:t>三家公司</w:t>
            </w:r>
            <w:r>
              <w:rPr>
                <w:rFonts w:ascii="宋体" w:hAnsi="宋体" w:cs="宋体" w:eastAsia="宋体" w:hint="default"/>
                <w:spacing w:val="-56"/>
                <w:sz w:val="21"/>
                <w:szCs w:val="21"/>
              </w:rPr>
              <w:t> </w:t>
            </w:r>
            <w:r>
              <w:rPr>
                <w:rFonts w:ascii="宋体" w:hAnsi="宋体" w:cs="宋体" w:eastAsia="宋体" w:hint="default"/>
                <w:sz w:val="21"/>
                <w:szCs w:val="21"/>
              </w:rPr>
              <w:t>100%股份的公</w:t>
            </w:r>
            <w:r>
              <w:rPr>
                <w:rFonts w:ascii="宋体" w:hAnsi="宋体" w:cs="宋体" w:eastAsia="宋体" w:hint="default"/>
                <w:sz w:val="21"/>
                <w:szCs w:val="21"/>
              </w:rPr>
              <w:t> 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39"/>
              <w:ind w:left="100" w:right="642"/>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C134</w:t>
            </w:r>
            <w:r>
              <w:rPr>
                <w:rFonts w:ascii="宋体" w:hAnsi="宋体" w:cs="宋体" w:eastAsia="宋体" w:hint="default"/>
                <w:sz w:val="21"/>
                <w:szCs w:val="21"/>
              </w:rPr>
              <w:t> 中国证券报</w:t>
            </w:r>
            <w:r>
              <w:rPr>
                <w:rFonts w:ascii="宋体" w:hAnsi="宋体" w:cs="宋体" w:eastAsia="宋体" w:hint="default"/>
                <w:spacing w:val="-53"/>
                <w:sz w:val="21"/>
                <w:szCs w:val="21"/>
              </w:rPr>
              <w:t> </w:t>
            </w:r>
            <w:r>
              <w:rPr>
                <w:rFonts w:ascii="宋体" w:hAnsi="宋体" w:cs="宋体" w:eastAsia="宋体" w:hint="default"/>
                <w:sz w:val="21"/>
                <w:szCs w:val="21"/>
              </w:rPr>
              <w:t>D140</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w:t>
            </w:r>
            <w:r>
              <w:rPr>
                <w:rFonts w:ascii="宋体" w:hAnsi="宋体" w:cs="宋体" w:eastAsia="宋体" w:hint="default"/>
                <w:spacing w:val="-63"/>
                <w:sz w:val="21"/>
                <w:szCs w:val="21"/>
              </w:rPr>
              <w:t> </w:t>
            </w:r>
            <w:r>
              <w:rPr>
                <w:rFonts w:ascii="宋体" w:hAnsi="宋体" w:cs="宋体" w:eastAsia="宋体" w:hint="default"/>
                <w:sz w:val="21"/>
                <w:szCs w:val="21"/>
              </w:rPr>
              <w:t>2009</w:t>
            </w:r>
            <w:r>
              <w:rPr>
                <w:rFonts w:ascii="宋体" w:hAnsi="宋体" w:cs="宋体" w:eastAsia="宋体" w:hint="default"/>
                <w:spacing w:val="-62"/>
                <w:sz w:val="21"/>
                <w:szCs w:val="21"/>
              </w:rPr>
              <w:t> </w:t>
            </w:r>
            <w:r>
              <w:rPr>
                <w:rFonts w:ascii="宋体" w:hAnsi="宋体" w:cs="宋体" w:eastAsia="宋体" w:hint="default"/>
                <w:sz w:val="21"/>
                <w:szCs w:val="21"/>
              </w:rPr>
              <w:t>年第一次临时</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股东大会决议公告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C134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D140</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59"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东软集团股份有限公司五届十二次董事会</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决议公告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C134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D140</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60"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东软集团股份有限公司五届九次监事会决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议公告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C134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D140</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pacing w:val="14"/>
                <w:sz w:val="18"/>
                <w:szCs w:val="18"/>
              </w:rPr>
              <w:t>2009年8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r>
        <w:trPr>
          <w:trHeight w:val="560" w:hRule="exact"/>
        </w:trPr>
        <w:tc>
          <w:tcPr>
            <w:tcW w:w="413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w:t>
            </w:r>
            <w:r>
              <w:rPr>
                <w:rFonts w:ascii="宋体" w:hAnsi="宋体" w:cs="宋体" w:eastAsia="宋体" w:hint="default"/>
                <w:spacing w:val="-63"/>
                <w:sz w:val="21"/>
                <w:szCs w:val="21"/>
              </w:rPr>
              <w:t> </w:t>
            </w:r>
            <w:r>
              <w:rPr>
                <w:rFonts w:ascii="宋体" w:hAnsi="宋体" w:cs="宋体" w:eastAsia="宋体" w:hint="default"/>
                <w:sz w:val="21"/>
                <w:szCs w:val="21"/>
              </w:rPr>
              <w:t>2009</w:t>
            </w:r>
            <w:r>
              <w:rPr>
                <w:rFonts w:ascii="宋体" w:hAnsi="宋体" w:cs="宋体" w:eastAsia="宋体" w:hint="default"/>
                <w:spacing w:val="-62"/>
                <w:sz w:val="21"/>
                <w:szCs w:val="21"/>
              </w:rPr>
              <w:t> </w:t>
            </w:r>
            <w:r>
              <w:rPr>
                <w:rFonts w:ascii="宋体" w:hAnsi="宋体" w:cs="宋体" w:eastAsia="宋体" w:hint="default"/>
                <w:sz w:val="21"/>
                <w:szCs w:val="21"/>
              </w:rPr>
              <w:t>年第三季度报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22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53"/>
                <w:sz w:val="21"/>
                <w:szCs w:val="21"/>
              </w:rPr>
              <w:t> </w:t>
            </w:r>
            <w:r>
              <w:rPr>
                <w:rFonts w:ascii="宋体" w:hAnsi="宋体" w:cs="宋体" w:eastAsia="宋体" w:hint="default"/>
                <w:sz w:val="21"/>
                <w:szCs w:val="21"/>
              </w:rPr>
              <w:t>B25</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53"/>
                <w:sz w:val="21"/>
                <w:szCs w:val="21"/>
              </w:rPr>
              <w:t> </w:t>
            </w:r>
            <w:r>
              <w:rPr>
                <w:rFonts w:ascii="宋体" w:hAnsi="宋体" w:cs="宋体" w:eastAsia="宋体" w:hint="default"/>
                <w:sz w:val="21"/>
                <w:szCs w:val="21"/>
              </w:rPr>
              <w:t>D020</w:t>
            </w:r>
          </w:p>
        </w:tc>
        <w:tc>
          <w:tcPr>
            <w:tcW w:w="18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30</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100" w:right="0"/>
              <w:jc w:val="left"/>
              <w:rPr>
                <w:rFonts w:ascii="宋体" w:hAnsi="宋体" w:cs="宋体" w:eastAsia="宋体" w:hint="default"/>
                <w:sz w:val="15"/>
                <w:szCs w:val="15"/>
              </w:rPr>
            </w:pPr>
            <w:hyperlink r:id="rId10">
              <w:r>
                <w:rPr>
                  <w:rFonts w:ascii="宋体"/>
                  <w:sz w:val="15"/>
                </w:rPr>
                <w:t>http://www.sse.com.cn</w:t>
              </w:r>
            </w:hyperlink>
          </w:p>
        </w:tc>
      </w:tr>
    </w:tbl>
    <w:p>
      <w:pPr>
        <w:spacing w:line="240" w:lineRule="auto" w:before="4"/>
        <w:rPr>
          <w:rFonts w:ascii="宋体" w:hAnsi="宋体" w:cs="宋体" w:eastAsia="宋体" w:hint="default"/>
          <w:sz w:val="16"/>
          <w:szCs w:val="16"/>
        </w:rPr>
      </w:pPr>
    </w:p>
    <w:p>
      <w:pPr>
        <w:pStyle w:val="Heading5"/>
        <w:spacing w:line="240" w:lineRule="auto"/>
        <w:ind w:left="580" w:right="0"/>
        <w:jc w:val="left"/>
        <w:rPr>
          <w:b w:val="0"/>
          <w:bCs w:val="0"/>
        </w:rPr>
      </w:pPr>
      <w:r>
        <w:rPr/>
        <w:t>十一、财务会计报告</w:t>
      </w:r>
      <w:r>
        <w:rPr>
          <w:b w:val="0"/>
          <w:bCs w:val="0"/>
        </w:rPr>
      </w:r>
    </w:p>
    <w:p>
      <w:pPr>
        <w:spacing w:line="240" w:lineRule="auto" w:before="1"/>
        <w:rPr>
          <w:rFonts w:ascii="宋体" w:hAnsi="宋体" w:cs="宋体" w:eastAsia="宋体" w:hint="default"/>
          <w:b/>
          <w:bCs/>
          <w:sz w:val="21"/>
          <w:szCs w:val="21"/>
        </w:rPr>
      </w:pPr>
    </w:p>
    <w:p>
      <w:pPr>
        <w:pStyle w:val="BodyText"/>
        <w:spacing w:line="240" w:lineRule="auto"/>
        <w:ind w:left="580" w:right="0"/>
        <w:jc w:val="left"/>
      </w:pPr>
      <w:r>
        <w:rPr/>
        <w:t>附后。</w:t>
      </w:r>
    </w:p>
    <w:p>
      <w:pPr>
        <w:spacing w:after="0" w:line="240" w:lineRule="auto"/>
        <w:jc w:val="left"/>
        <w:sectPr>
          <w:pgSz w:w="11910" w:h="16840"/>
          <w:pgMar w:header="720" w:footer="721" w:top="1100" w:bottom="920" w:left="780" w:right="72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p>
      <w:pPr>
        <w:pStyle w:val="Heading5"/>
        <w:spacing w:line="240" w:lineRule="auto"/>
        <w:ind w:right="0"/>
        <w:jc w:val="left"/>
        <w:rPr>
          <w:b w:val="0"/>
          <w:bCs w:val="0"/>
        </w:rPr>
      </w:pPr>
      <w:bookmarkStart w:name="_bookmark11" w:id="13"/>
      <w:bookmarkEnd w:id="13"/>
      <w:r>
        <w:rPr>
          <w:b w:val="0"/>
          <w:bCs w:val="0"/>
        </w:rPr>
      </w:r>
      <w:r>
        <w:rPr/>
        <w:t>十二、备查文件目录</w:t>
      </w:r>
      <w:r>
        <w:rPr>
          <w:b w:val="0"/>
          <w:bCs w:val="0"/>
        </w:rPr>
      </w:r>
    </w:p>
    <w:p>
      <w:pPr>
        <w:pStyle w:val="BodyText"/>
        <w:spacing w:line="312" w:lineRule="exact" w:before="4"/>
        <w:ind w:right="0"/>
        <w:jc w:val="left"/>
      </w:pPr>
      <w:r>
        <w:rPr/>
        <w:t>（一）载有董事长刘积仁签名和公司盖章的</w:t>
      </w:r>
      <w:r>
        <w:rPr>
          <w:spacing w:val="-60"/>
        </w:rPr>
        <w:t> </w:t>
      </w:r>
      <w:r>
        <w:rPr/>
        <w:t>2009</w:t>
      </w:r>
      <w:r>
        <w:rPr>
          <w:spacing w:val="-60"/>
        </w:rPr>
        <w:t> </w:t>
      </w:r>
      <w:r>
        <w:rPr/>
        <w:t>年度报告文本；</w:t>
      </w:r>
    </w:p>
    <w:p>
      <w:pPr>
        <w:pStyle w:val="BodyText"/>
        <w:spacing w:line="310" w:lineRule="exact" w:before="30"/>
        <w:ind w:right="0"/>
        <w:jc w:val="left"/>
      </w:pPr>
      <w:r>
        <w:rPr>
          <w:spacing w:val="-4"/>
        </w:rPr>
        <w:t>（二）载有董事长刘积仁、高级副总裁兼首席财务官王莉、财务运营部部长陈雷签名并盖</w:t>
      </w:r>
      <w:r>
        <w:rPr>
          <w:spacing w:val="-84"/>
        </w:rPr>
        <w:t> </w:t>
      </w:r>
      <w:r>
        <w:rPr>
          <w:spacing w:val="-84"/>
        </w:rPr>
      </w:r>
      <w:r>
        <w:rPr/>
        <w:t>章的财务报告文本；</w:t>
      </w:r>
    </w:p>
    <w:p>
      <w:pPr>
        <w:pStyle w:val="BodyText"/>
        <w:spacing w:line="310" w:lineRule="exact" w:before="2"/>
        <w:ind w:right="0"/>
        <w:jc w:val="left"/>
      </w:pPr>
      <w:r>
        <w:rPr>
          <w:spacing w:val="-4"/>
        </w:rPr>
        <w:t>（三）报告期内，在中国证监会指定报刊上公开披露过的所有公司文件的正文及公告的原</w:t>
      </w:r>
      <w:r>
        <w:rPr>
          <w:spacing w:val="-82"/>
        </w:rPr>
        <w:t> </w:t>
      </w:r>
      <w:r>
        <w:rPr>
          <w:spacing w:val="-82"/>
        </w:rPr>
      </w:r>
      <w:r>
        <w:rPr/>
        <w:t>稿。</w:t>
      </w:r>
    </w:p>
    <w:p>
      <w:pPr>
        <w:spacing w:line="240" w:lineRule="auto" w:before="11"/>
        <w:rPr>
          <w:rFonts w:ascii="宋体" w:hAnsi="宋体" w:cs="宋体" w:eastAsia="宋体" w:hint="default"/>
          <w:sz w:val="28"/>
          <w:szCs w:val="28"/>
        </w:rPr>
      </w:pPr>
    </w:p>
    <w:p>
      <w:pPr>
        <w:pStyle w:val="BodyText"/>
        <w:spacing w:line="276" w:lineRule="auto"/>
        <w:ind w:left="6743" w:right="139" w:firstLine="240"/>
        <w:jc w:val="right"/>
      </w:pPr>
      <w:r>
        <w:rPr/>
        <w:t>东软集团股份有限公司 董事长：刘积仁 二〇一〇年三月二十四日</w:t>
      </w:r>
    </w:p>
    <w:p>
      <w:pPr>
        <w:spacing w:after="0" w:line="276" w:lineRule="auto"/>
        <w:jc w:val="right"/>
        <w:sectPr>
          <w:pgSz w:w="11910" w:h="16840"/>
          <w:pgMar w:header="720" w:footer="721" w:top="1100" w:bottom="920" w:left="122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8"/>
          <w:szCs w:val="28"/>
        </w:rPr>
      </w:pPr>
    </w:p>
    <w:p>
      <w:pPr>
        <w:spacing w:line="388" w:lineRule="exact" w:before="47"/>
        <w:ind w:left="2726" w:right="2714" w:firstLine="228"/>
        <w:jc w:val="left"/>
        <w:rPr>
          <w:rFonts w:ascii="黑体" w:hAnsi="黑体" w:cs="黑体" w:eastAsia="黑体" w:hint="default"/>
          <w:sz w:val="30"/>
          <w:szCs w:val="30"/>
        </w:rPr>
      </w:pPr>
      <w:r>
        <w:rPr>
          <w:rFonts w:ascii="黑体" w:hAnsi="黑体" w:cs="黑体" w:eastAsia="黑体" w:hint="default"/>
          <w:b/>
          <w:bCs/>
          <w:sz w:val="30"/>
          <w:szCs w:val="30"/>
        </w:rPr>
        <w:t>东软集团股份有限公司董事</w:t>
      </w:r>
      <w:r>
        <w:rPr>
          <w:rFonts w:ascii="黑体" w:hAnsi="黑体" w:cs="黑体" w:eastAsia="黑体" w:hint="default"/>
          <w:b/>
          <w:bCs/>
          <w:spacing w:val="1"/>
          <w:w w:val="99"/>
          <w:sz w:val="30"/>
          <w:szCs w:val="30"/>
        </w:rPr>
        <w:t> </w:t>
      </w:r>
      <w:r>
        <w:rPr>
          <w:rFonts w:ascii="黑体" w:hAnsi="黑体" w:cs="黑体" w:eastAsia="黑体" w:hint="default"/>
          <w:b/>
          <w:bCs/>
          <w:sz w:val="30"/>
          <w:szCs w:val="30"/>
        </w:rPr>
        <w:t>关于</w:t>
      </w:r>
      <w:r>
        <w:rPr>
          <w:rFonts w:ascii="黑体" w:hAnsi="黑体" w:cs="黑体" w:eastAsia="黑体" w:hint="default"/>
          <w:b/>
          <w:bCs/>
          <w:spacing w:val="-78"/>
          <w:sz w:val="30"/>
          <w:szCs w:val="30"/>
        </w:rPr>
        <w:t> </w:t>
      </w:r>
      <w:r>
        <w:rPr>
          <w:rFonts w:ascii="黑体" w:hAnsi="黑体" w:cs="黑体" w:eastAsia="黑体" w:hint="default"/>
          <w:b/>
          <w:bCs/>
          <w:sz w:val="30"/>
          <w:szCs w:val="30"/>
        </w:rPr>
        <w:t>2009</w:t>
      </w:r>
      <w:r>
        <w:rPr>
          <w:rFonts w:ascii="黑体" w:hAnsi="黑体" w:cs="黑体" w:eastAsia="黑体" w:hint="default"/>
          <w:b/>
          <w:bCs/>
          <w:spacing w:val="-78"/>
          <w:sz w:val="30"/>
          <w:szCs w:val="30"/>
        </w:rPr>
        <w:t> </w:t>
      </w:r>
      <w:r>
        <w:rPr>
          <w:rFonts w:ascii="黑体" w:hAnsi="黑体" w:cs="黑体" w:eastAsia="黑体" w:hint="default"/>
          <w:b/>
          <w:bCs/>
          <w:sz w:val="30"/>
          <w:szCs w:val="30"/>
        </w:rPr>
        <w:t>年度报告的确认意见</w:t>
      </w:r>
      <w:r>
        <w:rPr>
          <w:rFonts w:ascii="黑体" w:hAnsi="黑体" w:cs="黑体" w:eastAsia="黑体" w:hint="default"/>
          <w:sz w:val="30"/>
          <w:szCs w:val="30"/>
        </w:rPr>
      </w:r>
    </w:p>
    <w:p>
      <w:pPr>
        <w:spacing w:line="240" w:lineRule="auto" w:before="11"/>
        <w:rPr>
          <w:rFonts w:ascii="黑体" w:hAnsi="黑体" w:cs="黑体" w:eastAsia="黑体" w:hint="default"/>
          <w:b/>
          <w:bCs/>
          <w:sz w:val="41"/>
          <w:szCs w:val="41"/>
        </w:rPr>
      </w:pPr>
    </w:p>
    <w:p>
      <w:pPr>
        <w:pStyle w:val="BodyText"/>
        <w:spacing w:line="310" w:lineRule="exact"/>
        <w:ind w:right="0" w:firstLine="480"/>
        <w:jc w:val="left"/>
      </w:pPr>
      <w:r>
        <w:rPr>
          <w:spacing w:val="-4"/>
        </w:rPr>
        <w:t>按照《中华人民共和国证券法》和中国证监会的相关规定，我们作为东软集团股份有</w:t>
      </w:r>
      <w:r>
        <w:rPr/>
        <w:t> 限公司的董事，对公司</w:t>
      </w:r>
      <w:r>
        <w:rPr>
          <w:spacing w:val="-60"/>
        </w:rPr>
        <w:t> </w:t>
      </w:r>
      <w:r>
        <w:rPr/>
        <w:t>2009</w:t>
      </w:r>
      <w:r>
        <w:rPr>
          <w:spacing w:val="-60"/>
        </w:rPr>
        <w:t> </w:t>
      </w:r>
      <w:r>
        <w:rPr/>
        <w:t>年度报告发表如下确认意见：</w:t>
      </w:r>
    </w:p>
    <w:p>
      <w:pPr>
        <w:spacing w:line="240" w:lineRule="auto" w:before="10"/>
        <w:rPr>
          <w:rFonts w:ascii="宋体" w:hAnsi="宋体" w:cs="宋体" w:eastAsia="宋体" w:hint="default"/>
          <w:sz w:val="23"/>
          <w:szCs w:val="23"/>
        </w:rPr>
      </w:pPr>
    </w:p>
    <w:p>
      <w:pPr>
        <w:pStyle w:val="BodyText"/>
        <w:spacing w:line="312" w:lineRule="exact"/>
        <w:ind w:right="124" w:firstLine="480"/>
        <w:jc w:val="left"/>
      </w:pPr>
      <w:r>
        <w:rPr/>
        <w:t>保证</w:t>
      </w:r>
      <w:r>
        <w:rPr>
          <w:spacing w:val="-60"/>
        </w:rPr>
        <w:t> </w:t>
      </w:r>
      <w:r>
        <w:rPr/>
        <w:t>2009</w:t>
      </w:r>
      <w:r>
        <w:rPr>
          <w:spacing w:val="-60"/>
        </w:rPr>
        <w:t> </w:t>
      </w:r>
      <w:r>
        <w:rPr/>
        <w:t>年度报告所载资料不存在任何虚假记载、误导性陈述或者重大遗漏，并对</w:t>
      </w:r>
      <w:r>
        <w:rPr/>
        <w:t> 其内容的真实性、准确性和完整性承担个别及连带责任。</w:t>
      </w: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1"/>
          <w:szCs w:val="21"/>
        </w:rPr>
      </w:pPr>
    </w:p>
    <w:p>
      <w:pPr>
        <w:pStyle w:val="BodyText"/>
        <w:spacing w:line="475" w:lineRule="auto"/>
        <w:ind w:left="620" w:right="964" w:hanging="9"/>
        <w:jc w:val="left"/>
      </w:pPr>
      <w:r>
        <w:rPr>
          <w:rFonts w:ascii="宋体" w:hAnsi="宋体" w:cs="宋体" w:eastAsia="宋体" w:hint="default"/>
          <w:b/>
          <w:bCs/>
        </w:rPr>
        <w:t>董事签字：</w:t>
      </w:r>
      <w:r>
        <w:rPr>
          <w:rFonts w:ascii="宋体" w:hAnsi="宋体" w:cs="宋体" w:eastAsia="宋体" w:hint="default"/>
          <w:b/>
          <w:bCs/>
          <w:w w:val="99"/>
        </w:rPr>
        <w:t> </w:t>
      </w:r>
      <w:r>
        <w:rPr/>
        <w:t>刘积仁、王勇峰、赵宏、王莉、恩地和明、石黑征三、吕建、方红星、薛澜</w:t>
      </w:r>
    </w:p>
    <w:p>
      <w:pPr>
        <w:pStyle w:val="BodyText"/>
        <w:spacing w:line="240" w:lineRule="auto" w:before="114"/>
        <w:ind w:left="0" w:right="139"/>
        <w:jc w:val="right"/>
      </w:pPr>
      <w:r>
        <w:rPr/>
        <w:t>二〇一〇年三月二十四日</w:t>
      </w:r>
    </w:p>
    <w:p>
      <w:pPr>
        <w:spacing w:after="0" w:line="240" w:lineRule="auto"/>
        <w:jc w:val="right"/>
        <w:sectPr>
          <w:pgSz w:w="11910" w:h="16840"/>
          <w:pgMar w:header="720" w:footer="721" w:top="1100" w:bottom="920" w:left="122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p>
      <w:pPr>
        <w:pStyle w:val="Heading4"/>
        <w:spacing w:line="388" w:lineRule="exact"/>
        <w:ind w:right="2334"/>
        <w:jc w:val="left"/>
        <w:rPr>
          <w:b w:val="0"/>
          <w:bCs w:val="0"/>
        </w:rPr>
      </w:pPr>
      <w:r>
        <w:rPr/>
        <w:t>东软集团股份有限公司高级管理人员</w:t>
      </w:r>
      <w:r>
        <w:rPr>
          <w:spacing w:val="1"/>
          <w:w w:val="99"/>
        </w:rPr>
        <w:t> </w:t>
      </w:r>
      <w:r>
        <w:rPr/>
        <w:t>关于</w:t>
      </w:r>
      <w:r>
        <w:rPr>
          <w:spacing w:val="-78"/>
        </w:rPr>
        <w:t> </w:t>
      </w:r>
      <w:r>
        <w:rPr/>
        <w:t>2009</w:t>
      </w:r>
      <w:r>
        <w:rPr>
          <w:spacing w:val="-78"/>
        </w:rPr>
        <w:t> </w:t>
      </w:r>
      <w:r>
        <w:rPr/>
        <w:t>年度报告的确认意见</w:t>
      </w:r>
      <w:r>
        <w:rPr>
          <w:b w:val="0"/>
          <w:bCs w:val="0"/>
        </w:rPr>
      </w:r>
    </w:p>
    <w:p>
      <w:pPr>
        <w:spacing w:line="240" w:lineRule="auto" w:before="10"/>
        <w:rPr>
          <w:rFonts w:ascii="黑体" w:hAnsi="黑体" w:cs="黑体" w:eastAsia="黑体" w:hint="default"/>
          <w:b/>
          <w:bCs/>
          <w:sz w:val="41"/>
          <w:szCs w:val="41"/>
        </w:rPr>
      </w:pPr>
    </w:p>
    <w:p>
      <w:pPr>
        <w:pStyle w:val="BodyText"/>
        <w:spacing w:line="312" w:lineRule="exact"/>
        <w:ind w:right="0" w:firstLine="480"/>
        <w:jc w:val="left"/>
      </w:pPr>
      <w:r>
        <w:rPr>
          <w:spacing w:val="-4"/>
        </w:rPr>
        <w:t>按照《中华人民共和国证券法》和中国证监会的相关规定，我们作为东软集团股份有</w:t>
      </w:r>
      <w:r>
        <w:rPr/>
        <w:t> 限公司的高级管理人员，对公司</w:t>
      </w:r>
      <w:r>
        <w:rPr>
          <w:spacing w:val="-60"/>
        </w:rPr>
        <w:t> </w:t>
      </w:r>
      <w:r>
        <w:rPr/>
        <w:t>2009</w:t>
      </w:r>
      <w:r>
        <w:rPr>
          <w:spacing w:val="-60"/>
        </w:rPr>
        <w:t> </w:t>
      </w:r>
      <w:r>
        <w:rPr/>
        <w:t>年度报告发表如下确认意见：</w:t>
      </w:r>
    </w:p>
    <w:p>
      <w:pPr>
        <w:spacing w:line="240" w:lineRule="auto" w:before="9"/>
        <w:rPr>
          <w:rFonts w:ascii="宋体" w:hAnsi="宋体" w:cs="宋体" w:eastAsia="宋体" w:hint="default"/>
          <w:sz w:val="23"/>
          <w:szCs w:val="23"/>
        </w:rPr>
      </w:pPr>
    </w:p>
    <w:p>
      <w:pPr>
        <w:pStyle w:val="BodyText"/>
        <w:spacing w:line="312" w:lineRule="exact"/>
        <w:ind w:right="124" w:firstLine="480"/>
        <w:jc w:val="left"/>
      </w:pPr>
      <w:r>
        <w:rPr/>
        <w:t>保证</w:t>
      </w:r>
      <w:r>
        <w:rPr>
          <w:spacing w:val="-60"/>
        </w:rPr>
        <w:t> </w:t>
      </w:r>
      <w:r>
        <w:rPr/>
        <w:t>2009</w:t>
      </w:r>
      <w:r>
        <w:rPr>
          <w:spacing w:val="-60"/>
        </w:rPr>
        <w:t> </w:t>
      </w:r>
      <w:r>
        <w:rPr/>
        <w:t>年度报告所载资料不存在任何虚假记载、误导性陈述或者重大遗漏，并对</w:t>
      </w:r>
      <w:r>
        <w:rPr/>
        <w:t> 其内容的真实性、准确性和完整性承担个别及连带责任。</w:t>
      </w: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1"/>
          <w:szCs w:val="21"/>
        </w:rPr>
      </w:pPr>
    </w:p>
    <w:p>
      <w:pPr>
        <w:spacing w:line="475" w:lineRule="auto" w:before="0"/>
        <w:ind w:left="140" w:right="0" w:firstLine="0"/>
        <w:jc w:val="left"/>
        <w:rPr>
          <w:rFonts w:ascii="宋体" w:hAnsi="宋体" w:cs="宋体" w:eastAsia="宋体" w:hint="default"/>
          <w:sz w:val="24"/>
          <w:szCs w:val="24"/>
        </w:rPr>
      </w:pPr>
      <w:r>
        <w:rPr>
          <w:rFonts w:ascii="宋体" w:hAnsi="宋体" w:cs="宋体" w:eastAsia="宋体" w:hint="default"/>
          <w:b/>
          <w:bCs/>
          <w:sz w:val="24"/>
          <w:szCs w:val="24"/>
        </w:rPr>
        <w:t>高级管理人员签字：</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刘积仁、王勇峰、陈锡民、赵宏、卢朝霞、王莉、张霞、王经锡、张晓鸥、王自栋、李军</w:t>
      </w:r>
    </w:p>
    <w:p>
      <w:pPr>
        <w:pStyle w:val="BodyText"/>
        <w:spacing w:line="240" w:lineRule="auto" w:before="113"/>
        <w:ind w:left="0" w:right="139"/>
        <w:jc w:val="right"/>
      </w:pPr>
      <w:r>
        <w:rPr/>
        <w:t>二〇一〇年三月二十四日</w:t>
      </w:r>
    </w:p>
    <w:p>
      <w:pPr>
        <w:spacing w:after="0" w:line="240" w:lineRule="auto"/>
        <w:jc w:val="right"/>
        <w:sectPr>
          <w:pgSz w:w="11910" w:h="16840"/>
          <w:pgMar w:header="720" w:footer="721" w:top="1100" w:bottom="920" w:left="122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p>
      <w:pPr>
        <w:spacing w:before="1"/>
        <w:ind w:left="1904" w:right="1974" w:firstLine="0"/>
        <w:jc w:val="center"/>
        <w:rPr>
          <w:rFonts w:ascii="宋体" w:hAnsi="宋体" w:cs="宋体" w:eastAsia="宋体" w:hint="default"/>
          <w:sz w:val="32"/>
          <w:szCs w:val="32"/>
        </w:rPr>
      </w:pPr>
      <w:bookmarkStart w:name="600718-东软集团-1-2审计报告+报表+附注-终稿-3.26.pdf" w:id="14"/>
      <w:bookmarkEnd w:id="14"/>
      <w:r>
        <w:rPr/>
      </w:r>
      <w:r>
        <w:rPr>
          <w:rFonts w:ascii="宋体" w:hAnsi="宋体" w:cs="宋体" w:eastAsia="宋体" w:hint="default"/>
          <w:sz w:val="32"/>
          <w:szCs w:val="32"/>
        </w:rPr>
        <w:t>东软集团股份有限公司</w:t>
      </w:r>
    </w:p>
    <w:p>
      <w:pPr>
        <w:spacing w:line="240" w:lineRule="auto" w:before="9"/>
        <w:rPr>
          <w:rFonts w:ascii="宋体" w:hAnsi="宋体" w:cs="宋体" w:eastAsia="宋体" w:hint="default"/>
          <w:sz w:val="36"/>
          <w:szCs w:val="36"/>
        </w:rPr>
      </w:pPr>
    </w:p>
    <w:p>
      <w:pPr>
        <w:spacing w:before="0"/>
        <w:ind w:left="1904" w:right="1974" w:firstLine="0"/>
        <w:jc w:val="center"/>
        <w:rPr>
          <w:rFonts w:ascii="宋体" w:hAnsi="宋体" w:cs="宋体" w:eastAsia="宋体" w:hint="default"/>
          <w:sz w:val="32"/>
          <w:szCs w:val="32"/>
        </w:rPr>
      </w:pPr>
      <w:r>
        <w:rPr>
          <w:rFonts w:ascii="宋体" w:hAnsi="宋体" w:cs="宋体" w:eastAsia="宋体" w:hint="default"/>
          <w:sz w:val="32"/>
          <w:szCs w:val="32"/>
        </w:rPr>
        <w:t>审计报告及合并财务报表</w:t>
      </w:r>
    </w:p>
    <w:p>
      <w:pPr>
        <w:pStyle w:val="BodyText"/>
        <w:spacing w:line="240" w:lineRule="auto" w:before="136"/>
        <w:ind w:left="1904" w:right="1975"/>
        <w:jc w:val="center"/>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2009 </w:t>
      </w:r>
      <w:r>
        <w:rPr>
          <w:rFonts w:ascii="宋体" w:hAnsi="宋体" w:cs="宋体" w:eastAsia="宋体" w:hint="default"/>
        </w:rPr>
        <w:t>年</w:t>
      </w:r>
      <w:r>
        <w:rPr>
          <w:rFonts w:ascii="宋体" w:hAnsi="宋体" w:cs="宋体" w:eastAsia="宋体" w:hint="default"/>
          <w:spacing w:val="-60"/>
        </w:rPr>
        <w:t> </w:t>
      </w:r>
      <w:r>
        <w:rPr>
          <w:rFonts w:ascii="Times New Roman" w:hAnsi="Times New Roman" w:cs="Times New Roman" w:eastAsia="Times New Roman" w:hint="default"/>
        </w:rPr>
        <w:t>1 </w:t>
      </w:r>
      <w:r>
        <w:rPr>
          <w:rFonts w:ascii="宋体" w:hAnsi="宋体" w:cs="宋体" w:eastAsia="宋体" w:hint="default"/>
        </w:rPr>
        <w:t>月</w:t>
      </w:r>
      <w:r>
        <w:rPr>
          <w:rFonts w:ascii="宋体" w:hAnsi="宋体" w:cs="宋体" w:eastAsia="宋体" w:hint="default"/>
          <w:spacing w:val="-60"/>
        </w:rPr>
        <w:t> </w:t>
      </w:r>
      <w:r>
        <w:rPr>
          <w:rFonts w:ascii="Times New Roman" w:hAnsi="Times New Roman" w:cs="Times New Roman" w:eastAsia="Times New Roman" w:hint="default"/>
        </w:rPr>
        <w:t>1 </w:t>
      </w:r>
      <w:r>
        <w:rPr>
          <w:rFonts w:ascii="宋体" w:hAnsi="宋体" w:cs="宋体" w:eastAsia="宋体" w:hint="default"/>
        </w:rPr>
        <w:t>日至</w:t>
      </w:r>
      <w:r>
        <w:rPr>
          <w:rFonts w:ascii="宋体" w:hAnsi="宋体" w:cs="宋体" w:eastAsia="宋体" w:hint="default"/>
          <w:spacing w:val="-60"/>
        </w:rPr>
        <w:t> </w:t>
      </w:r>
      <w:r>
        <w:rPr>
          <w:rFonts w:ascii="Times New Roman" w:hAnsi="Times New Roman" w:cs="Times New Roman" w:eastAsia="Times New Roman" w:hint="default"/>
        </w:rPr>
        <w:t>2009 </w:t>
      </w:r>
      <w:r>
        <w:rPr>
          <w:rFonts w:ascii="宋体" w:hAnsi="宋体" w:cs="宋体" w:eastAsia="宋体" w:hint="default"/>
        </w:rPr>
        <w:t>年</w:t>
      </w:r>
      <w:r>
        <w:rPr>
          <w:rFonts w:ascii="宋体" w:hAnsi="宋体" w:cs="宋体" w:eastAsia="宋体" w:hint="default"/>
          <w:spacing w:val="-60"/>
        </w:rPr>
        <w:t> </w:t>
      </w:r>
      <w:r>
        <w:rPr>
          <w:rFonts w:ascii="Times New Roman" w:hAnsi="Times New Roman" w:cs="Times New Roman" w:eastAsia="Times New Roman" w:hint="default"/>
        </w:rPr>
        <w:t>12 </w:t>
      </w:r>
      <w:r>
        <w:rPr>
          <w:rFonts w:ascii="宋体" w:hAnsi="宋体" w:cs="宋体" w:eastAsia="宋体" w:hint="default"/>
        </w:rPr>
        <w:t>月</w:t>
      </w:r>
      <w:r>
        <w:rPr>
          <w:rFonts w:ascii="宋体" w:hAnsi="宋体" w:cs="宋体" w:eastAsia="宋体" w:hint="default"/>
          <w:spacing w:val="-60"/>
        </w:rPr>
        <w:t> </w:t>
      </w:r>
      <w:r>
        <w:rPr>
          <w:rFonts w:ascii="Times New Roman" w:hAnsi="Times New Roman" w:cs="Times New Roman" w:eastAsia="Times New Roman" w:hint="default"/>
        </w:rPr>
        <w:t>31 </w:t>
      </w:r>
      <w:r>
        <w:rPr>
          <w:rFonts w:ascii="宋体" w:hAnsi="宋体" w:cs="宋体" w:eastAsia="宋体" w:hint="default"/>
        </w:rPr>
        <w:t>日止）</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5"/>
          <w:szCs w:val="25"/>
        </w:rPr>
      </w:pPr>
    </w:p>
    <w:tbl>
      <w:tblPr>
        <w:tblW w:w="0" w:type="auto"/>
        <w:jc w:val="left"/>
        <w:tblInd w:w="102" w:type="dxa"/>
        <w:tblLayout w:type="fixed"/>
        <w:tblCellMar>
          <w:top w:w="0" w:type="dxa"/>
          <w:left w:w="0" w:type="dxa"/>
          <w:bottom w:w="0" w:type="dxa"/>
          <w:right w:w="0" w:type="dxa"/>
        </w:tblCellMar>
        <w:tblLook w:val="01E0"/>
      </w:tblPr>
      <w:tblGrid>
        <w:gridCol w:w="1102"/>
        <w:gridCol w:w="5513"/>
        <w:gridCol w:w="258"/>
        <w:gridCol w:w="1013"/>
        <w:gridCol w:w="563"/>
      </w:tblGrid>
      <w:tr>
        <w:trPr>
          <w:trHeight w:val="790" w:hRule="exact"/>
        </w:trPr>
        <w:tc>
          <w:tcPr>
            <w:tcW w:w="1102"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single" w:sz="4" w:space="0" w:color="000000"/>
              <w:right w:val="nil" w:sz="6" w:space="0" w:color="auto"/>
            </w:tcBorders>
          </w:tcPr>
          <w:p>
            <w:pPr>
              <w:pStyle w:val="TableParagraph"/>
              <w:tabs>
                <w:tab w:pos="854" w:val="left" w:leader="none"/>
              </w:tabs>
              <w:spacing w:line="240" w:lineRule="auto" w:before="26"/>
              <w:ind w:left="14" w:right="0"/>
              <w:jc w:val="center"/>
              <w:rPr>
                <w:rFonts w:ascii="宋体" w:hAnsi="宋体" w:cs="宋体" w:eastAsia="宋体" w:hint="default"/>
                <w:sz w:val="24"/>
                <w:szCs w:val="24"/>
              </w:rPr>
            </w:pPr>
            <w:r>
              <w:rPr>
                <w:rFonts w:ascii="宋体" w:hAnsi="宋体" w:cs="宋体" w:eastAsia="宋体" w:hint="default"/>
                <w:sz w:val="24"/>
                <w:szCs w:val="24"/>
              </w:rPr>
              <w:t>目</w:t>
              <w:tab/>
              <w:t>录</w:t>
            </w:r>
          </w:p>
        </w:tc>
        <w:tc>
          <w:tcPr>
            <w:tcW w:w="258" w:type="dxa"/>
            <w:tcBorders>
              <w:top w:val="nil" w:sz="6" w:space="0" w:color="auto"/>
              <w:left w:val="nil" w:sz="6" w:space="0" w:color="auto"/>
              <w:bottom w:val="nil" w:sz="6" w:space="0" w:color="auto"/>
              <w:right w:val="nil" w:sz="6" w:space="0" w:color="auto"/>
            </w:tcBorders>
          </w:tcPr>
          <w:p>
            <w:pPr/>
          </w:p>
        </w:tc>
        <w:tc>
          <w:tcPr>
            <w:tcW w:w="1013" w:type="dxa"/>
            <w:tcBorders>
              <w:top w:val="nil" w:sz="6" w:space="0" w:color="auto"/>
              <w:left w:val="nil" w:sz="6" w:space="0" w:color="auto"/>
              <w:bottom w:val="single" w:sz="4" w:space="0" w:color="000000"/>
              <w:right w:val="nil" w:sz="6" w:space="0" w:color="auto"/>
            </w:tcBorders>
          </w:tcPr>
          <w:p>
            <w:pPr>
              <w:pStyle w:val="TableParagraph"/>
              <w:spacing w:line="240" w:lineRule="auto" w:before="26"/>
              <w:ind w:right="17"/>
              <w:jc w:val="right"/>
              <w:rPr>
                <w:rFonts w:ascii="宋体" w:hAnsi="宋体" w:cs="宋体" w:eastAsia="宋体" w:hint="default"/>
                <w:sz w:val="24"/>
                <w:szCs w:val="24"/>
              </w:rPr>
            </w:pPr>
            <w:r>
              <w:rPr>
                <w:rFonts w:ascii="宋体" w:hAnsi="宋体" w:cs="宋体" w:eastAsia="宋体" w:hint="default"/>
                <w:sz w:val="24"/>
                <w:szCs w:val="24"/>
              </w:rPr>
              <w:t>页</w:t>
            </w:r>
          </w:p>
        </w:tc>
        <w:tc>
          <w:tcPr>
            <w:tcW w:w="563" w:type="dxa"/>
            <w:tcBorders>
              <w:top w:val="nil" w:sz="6" w:space="0" w:color="auto"/>
              <w:left w:val="nil" w:sz="6" w:space="0" w:color="auto"/>
              <w:bottom w:val="single" w:sz="4" w:space="0" w:color="000000"/>
              <w:right w:val="nil" w:sz="6" w:space="0" w:color="auto"/>
            </w:tcBorders>
          </w:tcPr>
          <w:p>
            <w:pPr>
              <w:pStyle w:val="TableParagraph"/>
              <w:spacing w:line="240" w:lineRule="auto" w:before="26"/>
              <w:ind w:right="101"/>
              <w:jc w:val="right"/>
              <w:rPr>
                <w:rFonts w:ascii="宋体" w:hAnsi="宋体" w:cs="宋体" w:eastAsia="宋体" w:hint="default"/>
                <w:sz w:val="24"/>
                <w:szCs w:val="24"/>
              </w:rPr>
            </w:pPr>
            <w:r>
              <w:rPr>
                <w:rFonts w:ascii="宋体" w:hAnsi="宋体" w:cs="宋体" w:eastAsia="宋体" w:hint="default"/>
                <w:sz w:val="24"/>
                <w:szCs w:val="24"/>
              </w:rPr>
              <w:t>次</w:t>
            </w:r>
          </w:p>
        </w:tc>
      </w:tr>
      <w:tr>
        <w:trPr>
          <w:trHeight w:val="1440" w:hRule="exact"/>
        </w:trPr>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5" w:right="0"/>
              <w:jc w:val="left"/>
              <w:rPr>
                <w:rFonts w:ascii="宋体" w:hAnsi="宋体" w:cs="宋体" w:eastAsia="宋体" w:hint="default"/>
                <w:sz w:val="24"/>
                <w:szCs w:val="24"/>
              </w:rPr>
            </w:pPr>
            <w:r>
              <w:rPr>
                <w:rFonts w:ascii="宋体" w:hAnsi="宋体" w:cs="宋体" w:eastAsia="宋体" w:hint="default"/>
                <w:sz w:val="24"/>
                <w:szCs w:val="24"/>
              </w:rPr>
              <w:t>一、</w:t>
            </w: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2"/>
              <w:ind w:left="35" w:right="0"/>
              <w:jc w:val="left"/>
              <w:rPr>
                <w:rFonts w:ascii="宋体" w:hAnsi="宋体" w:cs="宋体" w:eastAsia="宋体" w:hint="default"/>
                <w:sz w:val="24"/>
                <w:szCs w:val="24"/>
              </w:rPr>
            </w:pPr>
            <w:r>
              <w:rPr>
                <w:rFonts w:ascii="宋体" w:hAnsi="宋体" w:cs="宋体" w:eastAsia="宋体" w:hint="default"/>
                <w:sz w:val="24"/>
                <w:szCs w:val="24"/>
              </w:rPr>
              <w:t>二、</w:t>
            </w:r>
          </w:p>
        </w:tc>
        <w:tc>
          <w:tcPr>
            <w:tcW w:w="5513" w:type="dxa"/>
            <w:tcBorders>
              <w:top w:val="single" w:sz="4" w:space="0" w:color="000000"/>
              <w:left w:val="nil" w:sz="6" w:space="0" w:color="auto"/>
              <w:bottom w:val="nil" w:sz="6" w:space="0" w:color="auto"/>
              <w:right w:val="nil" w:sz="6" w:space="0" w:color="auto"/>
            </w:tcBorders>
          </w:tcPr>
          <w:p>
            <w:pPr>
              <w:pStyle w:val="TableParagraph"/>
              <w:spacing w:line="240" w:lineRule="auto" w:before="40"/>
              <w:ind w:left="115" w:right="0"/>
              <w:jc w:val="left"/>
              <w:rPr>
                <w:rFonts w:ascii="宋体" w:hAnsi="宋体" w:cs="宋体" w:eastAsia="宋体" w:hint="default"/>
                <w:sz w:val="24"/>
                <w:szCs w:val="24"/>
              </w:rPr>
            </w:pPr>
            <w:r>
              <w:rPr>
                <w:rFonts w:ascii="宋体" w:hAnsi="宋体" w:cs="宋体" w:eastAsia="宋体" w:hint="default"/>
                <w:sz w:val="24"/>
                <w:szCs w:val="24"/>
              </w:rPr>
              <w:t>审计报告</w:t>
            </w: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2"/>
              <w:ind w:left="115" w:right="0"/>
              <w:jc w:val="left"/>
              <w:rPr>
                <w:rFonts w:ascii="宋体" w:hAnsi="宋体" w:cs="宋体" w:eastAsia="宋体" w:hint="default"/>
                <w:sz w:val="24"/>
                <w:szCs w:val="24"/>
              </w:rPr>
            </w:pPr>
            <w:r>
              <w:rPr>
                <w:rFonts w:ascii="宋体" w:hAnsi="宋体" w:cs="宋体" w:eastAsia="宋体" w:hint="default"/>
                <w:sz w:val="24"/>
                <w:szCs w:val="24"/>
              </w:rPr>
              <w:t>财务报表</w:t>
            </w:r>
          </w:p>
        </w:tc>
        <w:tc>
          <w:tcPr>
            <w:tcW w:w="258" w:type="dxa"/>
            <w:tcBorders>
              <w:top w:val="nil" w:sz="6" w:space="0" w:color="auto"/>
              <w:left w:val="nil" w:sz="6" w:space="0" w:color="auto"/>
              <w:bottom w:val="nil" w:sz="6" w:space="0" w:color="auto"/>
              <w:right w:val="nil" w:sz="6" w:space="0" w:color="auto"/>
            </w:tcBorders>
          </w:tcPr>
          <w:p>
            <w:pPr/>
          </w:p>
        </w:tc>
        <w:tc>
          <w:tcPr>
            <w:tcW w:w="1013" w:type="dxa"/>
            <w:tcBorders>
              <w:top w:val="single" w:sz="4" w:space="0" w:color="000000"/>
              <w:left w:val="nil" w:sz="6" w:space="0" w:color="auto"/>
              <w:bottom w:val="nil" w:sz="6" w:space="0" w:color="auto"/>
              <w:right w:val="nil" w:sz="6" w:space="0" w:color="auto"/>
            </w:tcBorders>
          </w:tcPr>
          <w:p>
            <w:pPr/>
          </w:p>
        </w:tc>
        <w:tc>
          <w:tcPr>
            <w:tcW w:w="563" w:type="dxa"/>
            <w:tcBorders>
              <w:top w:val="single" w:sz="4" w:space="0" w:color="000000"/>
              <w:left w:val="nil" w:sz="6" w:space="0" w:color="auto"/>
              <w:bottom w:val="nil" w:sz="6" w:space="0" w:color="auto"/>
              <w:right w:val="nil" w:sz="6" w:space="0" w:color="auto"/>
            </w:tcBorders>
          </w:tcPr>
          <w:p>
            <w:pPr>
              <w:pStyle w:val="TableParagraph"/>
              <w:spacing w:line="240" w:lineRule="auto" w:before="96"/>
              <w:ind w:right="100"/>
              <w:jc w:val="right"/>
              <w:rPr>
                <w:rFonts w:ascii="Times New Roman" w:hAnsi="Times New Roman" w:cs="Times New Roman" w:eastAsia="Times New Roman" w:hint="default"/>
                <w:sz w:val="24"/>
                <w:szCs w:val="24"/>
              </w:rPr>
            </w:pPr>
            <w:r>
              <w:rPr>
                <w:rFonts w:ascii="Times New Roman"/>
                <w:w w:val="95"/>
                <w:sz w:val="24"/>
              </w:rPr>
              <w:t>1-2</w:t>
            </w:r>
            <w:r>
              <w:rPr>
                <w:rFonts w:ascii="Times New Roman"/>
                <w:sz w:val="24"/>
              </w:rPr>
            </w:r>
          </w:p>
        </w:tc>
      </w:tr>
      <w:tr>
        <w:trPr>
          <w:trHeight w:val="807" w:hRule="exact"/>
        </w:trPr>
        <w:tc>
          <w:tcPr>
            <w:tcW w:w="1102"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nil" w:sz="6" w:space="0" w:color="auto"/>
              <w:right w:val="nil" w:sz="6" w:space="0" w:color="auto"/>
            </w:tcBorders>
          </w:tcPr>
          <w:p>
            <w:pPr>
              <w:pStyle w:val="TableParagraph"/>
              <w:spacing w:line="240" w:lineRule="auto" w:before="206"/>
              <w:ind w:left="115" w:right="0"/>
              <w:jc w:val="left"/>
              <w:rPr>
                <w:rFonts w:ascii="宋体" w:hAnsi="宋体" w:cs="宋体" w:eastAsia="宋体" w:hint="default"/>
                <w:sz w:val="24"/>
                <w:szCs w:val="24"/>
              </w:rPr>
            </w:pPr>
            <w:r>
              <w:rPr>
                <w:rFonts w:ascii="宋体" w:hAnsi="宋体" w:cs="宋体" w:eastAsia="宋体" w:hint="default"/>
                <w:sz w:val="24"/>
                <w:szCs w:val="24"/>
              </w:rPr>
              <w:t>资产负债表和合并资产负债表</w:t>
            </w:r>
          </w:p>
        </w:tc>
        <w:tc>
          <w:tcPr>
            <w:tcW w:w="258" w:type="dxa"/>
            <w:tcBorders>
              <w:top w:val="nil" w:sz="6" w:space="0" w:color="auto"/>
              <w:left w:val="nil" w:sz="6" w:space="0" w:color="auto"/>
              <w:bottom w:val="nil" w:sz="6" w:space="0" w:color="auto"/>
              <w:right w:val="nil" w:sz="6" w:space="0" w:color="auto"/>
            </w:tcBorders>
          </w:tcPr>
          <w:p>
            <w:pPr/>
          </w:p>
        </w:tc>
        <w:tc>
          <w:tcPr>
            <w:tcW w:w="1013" w:type="dxa"/>
            <w:tcBorders>
              <w:top w:val="nil" w:sz="6" w:space="0" w:color="auto"/>
              <w:left w:val="nil" w:sz="6" w:space="0" w:color="auto"/>
              <w:bottom w:val="nil" w:sz="6" w:space="0" w:color="auto"/>
              <w:right w:val="nil" w:sz="6" w:space="0" w:color="auto"/>
            </w:tcBorders>
          </w:tcPr>
          <w:p>
            <w:pP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24"/>
                <w:szCs w:val="24"/>
              </w:rPr>
            </w:pPr>
            <w:r>
              <w:rPr>
                <w:rFonts w:ascii="Times New Roman"/>
                <w:w w:val="95"/>
                <w:sz w:val="24"/>
              </w:rPr>
              <w:t>1-4</w:t>
            </w:r>
            <w:r>
              <w:rPr>
                <w:rFonts w:ascii="Times New Roman"/>
                <w:sz w:val="24"/>
              </w:rPr>
            </w:r>
          </w:p>
        </w:tc>
      </w:tr>
      <w:tr>
        <w:trPr>
          <w:trHeight w:val="800" w:hRule="exact"/>
        </w:trPr>
        <w:tc>
          <w:tcPr>
            <w:tcW w:w="1102"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nil" w:sz="6" w:space="0" w:color="auto"/>
              <w:right w:val="nil" w:sz="6" w:space="0" w:color="auto"/>
            </w:tcBorders>
          </w:tcPr>
          <w:p>
            <w:pPr>
              <w:pStyle w:val="TableParagraph"/>
              <w:spacing w:line="240" w:lineRule="auto" w:before="199"/>
              <w:ind w:left="115" w:right="0"/>
              <w:jc w:val="left"/>
              <w:rPr>
                <w:rFonts w:ascii="宋体" w:hAnsi="宋体" w:cs="宋体" w:eastAsia="宋体" w:hint="default"/>
                <w:sz w:val="24"/>
                <w:szCs w:val="24"/>
              </w:rPr>
            </w:pPr>
            <w:r>
              <w:rPr>
                <w:rFonts w:ascii="宋体" w:hAnsi="宋体" w:cs="宋体" w:eastAsia="宋体" w:hint="default"/>
                <w:sz w:val="24"/>
                <w:szCs w:val="24"/>
              </w:rPr>
              <w:t>利润表和合并利润表</w:t>
            </w:r>
          </w:p>
        </w:tc>
        <w:tc>
          <w:tcPr>
            <w:tcW w:w="258" w:type="dxa"/>
            <w:tcBorders>
              <w:top w:val="nil" w:sz="6" w:space="0" w:color="auto"/>
              <w:left w:val="nil" w:sz="6" w:space="0" w:color="auto"/>
              <w:bottom w:val="nil" w:sz="6" w:space="0" w:color="auto"/>
              <w:right w:val="nil" w:sz="6" w:space="0" w:color="auto"/>
            </w:tcBorders>
          </w:tcPr>
          <w:p>
            <w:pPr/>
          </w:p>
        </w:tc>
        <w:tc>
          <w:tcPr>
            <w:tcW w:w="1013" w:type="dxa"/>
            <w:tcBorders>
              <w:top w:val="nil" w:sz="6" w:space="0" w:color="auto"/>
              <w:left w:val="nil" w:sz="6" w:space="0" w:color="auto"/>
              <w:bottom w:val="nil" w:sz="6" w:space="0" w:color="auto"/>
              <w:right w:val="nil" w:sz="6" w:space="0" w:color="auto"/>
            </w:tcBorders>
          </w:tcPr>
          <w:p>
            <w:pP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4"/>
                <w:szCs w:val="24"/>
              </w:rPr>
            </w:pPr>
            <w:r>
              <w:rPr>
                <w:rFonts w:ascii="Times New Roman"/>
                <w:w w:val="95"/>
                <w:sz w:val="24"/>
              </w:rPr>
              <w:t>5-6</w:t>
            </w:r>
            <w:r>
              <w:rPr>
                <w:rFonts w:ascii="Times New Roman"/>
                <w:sz w:val="24"/>
              </w:rPr>
            </w:r>
          </w:p>
        </w:tc>
      </w:tr>
      <w:tr>
        <w:trPr>
          <w:trHeight w:val="800" w:hRule="exact"/>
        </w:trPr>
        <w:tc>
          <w:tcPr>
            <w:tcW w:w="1102"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nil" w:sz="6" w:space="0" w:color="auto"/>
              <w:right w:val="nil" w:sz="6" w:space="0" w:color="auto"/>
            </w:tcBorders>
          </w:tcPr>
          <w:p>
            <w:pPr>
              <w:pStyle w:val="TableParagraph"/>
              <w:spacing w:line="240" w:lineRule="auto" w:before="199"/>
              <w:ind w:left="115" w:right="0"/>
              <w:jc w:val="left"/>
              <w:rPr>
                <w:rFonts w:ascii="宋体" w:hAnsi="宋体" w:cs="宋体" w:eastAsia="宋体" w:hint="default"/>
                <w:sz w:val="24"/>
                <w:szCs w:val="24"/>
              </w:rPr>
            </w:pPr>
            <w:r>
              <w:rPr>
                <w:rFonts w:ascii="宋体" w:hAnsi="宋体" w:cs="宋体" w:eastAsia="宋体" w:hint="default"/>
                <w:sz w:val="24"/>
                <w:szCs w:val="24"/>
              </w:rPr>
              <w:t>现金流量表和合并现金流量表</w:t>
            </w:r>
          </w:p>
        </w:tc>
        <w:tc>
          <w:tcPr>
            <w:tcW w:w="258" w:type="dxa"/>
            <w:tcBorders>
              <w:top w:val="nil" w:sz="6" w:space="0" w:color="auto"/>
              <w:left w:val="nil" w:sz="6" w:space="0" w:color="auto"/>
              <w:bottom w:val="nil" w:sz="6" w:space="0" w:color="auto"/>
              <w:right w:val="nil" w:sz="6" w:space="0" w:color="auto"/>
            </w:tcBorders>
          </w:tcPr>
          <w:p>
            <w:pPr/>
          </w:p>
        </w:tc>
        <w:tc>
          <w:tcPr>
            <w:tcW w:w="1013" w:type="dxa"/>
            <w:tcBorders>
              <w:top w:val="nil" w:sz="6" w:space="0" w:color="auto"/>
              <w:left w:val="nil" w:sz="6" w:space="0" w:color="auto"/>
              <w:bottom w:val="nil" w:sz="6" w:space="0" w:color="auto"/>
              <w:right w:val="nil" w:sz="6" w:space="0" w:color="auto"/>
            </w:tcBorders>
          </w:tcPr>
          <w:p>
            <w:pP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4"/>
                <w:szCs w:val="24"/>
              </w:rPr>
            </w:pPr>
            <w:r>
              <w:rPr>
                <w:rFonts w:ascii="Times New Roman"/>
                <w:w w:val="95"/>
                <w:sz w:val="24"/>
              </w:rPr>
              <w:t>7-8</w:t>
            </w:r>
            <w:r>
              <w:rPr>
                <w:rFonts w:ascii="Times New Roman"/>
                <w:sz w:val="24"/>
              </w:rPr>
            </w:r>
          </w:p>
        </w:tc>
      </w:tr>
      <w:tr>
        <w:trPr>
          <w:trHeight w:val="800" w:hRule="exact"/>
        </w:trPr>
        <w:tc>
          <w:tcPr>
            <w:tcW w:w="1102"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nil" w:sz="6" w:space="0" w:color="auto"/>
              <w:right w:val="nil" w:sz="6" w:space="0" w:color="auto"/>
            </w:tcBorders>
          </w:tcPr>
          <w:p>
            <w:pPr>
              <w:pStyle w:val="TableParagraph"/>
              <w:spacing w:line="240" w:lineRule="auto" w:before="199"/>
              <w:ind w:left="115" w:right="0"/>
              <w:jc w:val="left"/>
              <w:rPr>
                <w:rFonts w:ascii="宋体" w:hAnsi="宋体" w:cs="宋体" w:eastAsia="宋体" w:hint="default"/>
                <w:sz w:val="24"/>
                <w:szCs w:val="24"/>
              </w:rPr>
            </w:pPr>
            <w:r>
              <w:rPr>
                <w:rFonts w:ascii="宋体" w:hAnsi="宋体" w:cs="宋体" w:eastAsia="宋体" w:hint="default"/>
                <w:sz w:val="24"/>
                <w:szCs w:val="24"/>
              </w:rPr>
              <w:t>所有者权益变动表和合并所有者权益变动表</w:t>
            </w:r>
          </w:p>
        </w:tc>
        <w:tc>
          <w:tcPr>
            <w:tcW w:w="258" w:type="dxa"/>
            <w:tcBorders>
              <w:top w:val="nil" w:sz="6" w:space="0" w:color="auto"/>
              <w:left w:val="nil" w:sz="6" w:space="0" w:color="auto"/>
              <w:bottom w:val="nil" w:sz="6" w:space="0" w:color="auto"/>
              <w:right w:val="nil" w:sz="6" w:space="0" w:color="auto"/>
            </w:tcBorders>
          </w:tcPr>
          <w:p>
            <w:pPr/>
          </w:p>
        </w:tc>
        <w:tc>
          <w:tcPr>
            <w:tcW w:w="1013" w:type="dxa"/>
            <w:tcBorders>
              <w:top w:val="nil" w:sz="6" w:space="0" w:color="auto"/>
              <w:left w:val="nil" w:sz="6" w:space="0" w:color="auto"/>
              <w:bottom w:val="nil" w:sz="6" w:space="0" w:color="auto"/>
              <w:right w:val="nil" w:sz="6" w:space="0" w:color="auto"/>
            </w:tcBorders>
          </w:tcPr>
          <w:p>
            <w:pP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9-12</w:t>
            </w:r>
          </w:p>
        </w:tc>
      </w:tr>
      <w:tr>
        <w:trPr>
          <w:trHeight w:val="627" w:hRule="exact"/>
        </w:trPr>
        <w:tc>
          <w:tcPr>
            <w:tcW w:w="1102"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nil" w:sz="6" w:space="0" w:color="auto"/>
              <w:right w:val="nil" w:sz="6" w:space="0" w:color="auto"/>
            </w:tcBorders>
          </w:tcPr>
          <w:p>
            <w:pPr>
              <w:pStyle w:val="TableParagraph"/>
              <w:spacing w:line="240" w:lineRule="auto" w:before="199"/>
              <w:ind w:left="115" w:right="0"/>
              <w:jc w:val="left"/>
              <w:rPr>
                <w:rFonts w:ascii="宋体" w:hAnsi="宋体" w:cs="宋体" w:eastAsia="宋体" w:hint="default"/>
                <w:sz w:val="24"/>
                <w:szCs w:val="24"/>
              </w:rPr>
            </w:pPr>
            <w:r>
              <w:rPr>
                <w:rFonts w:ascii="宋体" w:hAnsi="宋体" w:cs="宋体" w:eastAsia="宋体" w:hint="default"/>
                <w:sz w:val="24"/>
                <w:szCs w:val="24"/>
              </w:rPr>
              <w:t>财务报表附注</w:t>
            </w:r>
          </w:p>
        </w:tc>
        <w:tc>
          <w:tcPr>
            <w:tcW w:w="258" w:type="dxa"/>
            <w:tcBorders>
              <w:top w:val="nil" w:sz="6" w:space="0" w:color="auto"/>
              <w:left w:val="nil" w:sz="6" w:space="0" w:color="auto"/>
              <w:bottom w:val="nil" w:sz="6" w:space="0" w:color="auto"/>
              <w:right w:val="nil" w:sz="6" w:space="0" w:color="auto"/>
            </w:tcBorders>
          </w:tcPr>
          <w:p>
            <w:pPr/>
          </w:p>
        </w:tc>
        <w:tc>
          <w:tcPr>
            <w:tcW w:w="1013" w:type="dxa"/>
            <w:tcBorders>
              <w:top w:val="nil" w:sz="6" w:space="0" w:color="auto"/>
              <w:left w:val="nil" w:sz="6" w:space="0" w:color="auto"/>
              <w:bottom w:val="nil" w:sz="6" w:space="0" w:color="auto"/>
              <w:right w:val="nil" w:sz="6" w:space="0" w:color="auto"/>
            </w:tcBorders>
          </w:tcPr>
          <w:p>
            <w:pP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4"/>
                <w:szCs w:val="24"/>
              </w:rPr>
            </w:pPr>
            <w:r>
              <w:rPr>
                <w:rFonts w:ascii="Times New Roman"/>
                <w:sz w:val="24"/>
              </w:rPr>
              <w:t>1-86</w:t>
            </w:r>
          </w:p>
        </w:tc>
      </w:tr>
    </w:tbl>
    <w:p>
      <w:pPr>
        <w:spacing w:after="0" w:line="240" w:lineRule="auto"/>
        <w:jc w:val="right"/>
        <w:rPr>
          <w:rFonts w:ascii="Times New Roman" w:hAnsi="Times New Roman" w:cs="Times New Roman" w:eastAsia="Times New Roman" w:hint="default"/>
          <w:sz w:val="24"/>
          <w:szCs w:val="24"/>
        </w:rPr>
        <w:sectPr>
          <w:headerReference w:type="default" r:id="rId13"/>
          <w:footerReference w:type="default" r:id="rId14"/>
          <w:pgSz w:w="11900" w:h="16840"/>
          <w:pgMar w:header="0" w:footer="0" w:top="1600" w:bottom="280" w:left="1660" w:right="15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54"/>
        <w:ind w:left="3261" w:right="3333" w:firstLine="0"/>
        <w:jc w:val="center"/>
        <w:rPr>
          <w:rFonts w:ascii="宋体" w:hAnsi="宋体" w:cs="宋体" w:eastAsia="宋体" w:hint="default"/>
          <w:sz w:val="36"/>
          <w:szCs w:val="36"/>
        </w:rPr>
      </w:pPr>
      <w:r>
        <w:rPr>
          <w:rFonts w:ascii="宋体" w:hAnsi="宋体" w:cs="宋体" w:eastAsia="宋体" w:hint="default"/>
          <w:sz w:val="36"/>
          <w:szCs w:val="36"/>
        </w:rPr>
        <w:t>审 计 报</w:t>
      </w:r>
      <w:r>
        <w:rPr>
          <w:rFonts w:ascii="宋体" w:hAnsi="宋体" w:cs="宋体" w:eastAsia="宋体" w:hint="default"/>
          <w:spacing w:val="5"/>
          <w:sz w:val="36"/>
          <w:szCs w:val="36"/>
        </w:rPr>
        <w:t> </w:t>
      </w:r>
      <w:r>
        <w:rPr>
          <w:rFonts w:ascii="宋体" w:hAnsi="宋体" w:cs="宋体" w:eastAsia="宋体" w:hint="default"/>
          <w:sz w:val="36"/>
          <w:szCs w:val="36"/>
        </w:rPr>
        <w:t>告</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spacing w:before="35"/>
        <w:ind w:left="5485" w:right="0" w:firstLine="0"/>
        <w:jc w:val="left"/>
        <w:rPr>
          <w:rFonts w:ascii="宋体" w:hAnsi="宋体" w:cs="宋体" w:eastAsia="宋体" w:hint="default"/>
          <w:sz w:val="21"/>
          <w:szCs w:val="21"/>
        </w:rPr>
      </w:pPr>
      <w:r>
        <w:rPr>
          <w:rFonts w:ascii="宋体" w:hAnsi="宋体" w:cs="宋体" w:eastAsia="宋体" w:hint="default"/>
          <w:sz w:val="21"/>
          <w:szCs w:val="21"/>
        </w:rPr>
        <w:t>信会师报字（</w:t>
      </w:r>
      <w:r>
        <w:rPr>
          <w:rFonts w:ascii="Times New Roman" w:hAnsi="Times New Roman" w:cs="Times New Roman" w:eastAsia="Times New Roman" w:hint="default"/>
          <w:sz w:val="21"/>
          <w:szCs w:val="21"/>
        </w:rPr>
        <w:t>2010</w:t>
      </w:r>
      <w:r>
        <w:rPr>
          <w:rFonts w:ascii="宋体" w:hAnsi="宋体" w:cs="宋体" w:eastAsia="宋体" w:hint="default"/>
          <w:sz w:val="21"/>
          <w:szCs w:val="21"/>
        </w:rPr>
        <w:t>）第</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10701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p>
      <w:pPr>
        <w:spacing w:line="240" w:lineRule="auto" w:before="0"/>
        <w:rPr>
          <w:rFonts w:ascii="宋体" w:hAnsi="宋体" w:cs="宋体" w:eastAsia="宋体" w:hint="default"/>
          <w:sz w:val="20"/>
          <w:szCs w:val="20"/>
        </w:rPr>
      </w:pPr>
    </w:p>
    <w:p>
      <w:pPr>
        <w:pStyle w:val="Heading6"/>
        <w:spacing w:line="240" w:lineRule="auto" w:before="165"/>
        <w:ind w:right="0"/>
        <w:jc w:val="both"/>
      </w:pPr>
      <w:r>
        <w:rPr/>
        <w:t>东软集团股份有限公司全体股东：</w:t>
      </w:r>
    </w:p>
    <w:p>
      <w:pPr>
        <w:spacing w:line="240" w:lineRule="auto" w:before="2"/>
        <w:rPr>
          <w:rFonts w:ascii="宋体" w:hAnsi="宋体" w:cs="宋体" w:eastAsia="宋体" w:hint="default"/>
          <w:sz w:val="33"/>
          <w:szCs w:val="33"/>
        </w:rPr>
      </w:pPr>
    </w:p>
    <w:p>
      <w:pPr>
        <w:spacing w:line="261" w:lineRule="auto" w:before="0"/>
        <w:ind w:left="120" w:right="191" w:firstLine="560"/>
        <w:jc w:val="left"/>
        <w:rPr>
          <w:rFonts w:ascii="宋体" w:hAnsi="宋体" w:cs="宋体" w:eastAsia="宋体" w:hint="default"/>
          <w:sz w:val="28"/>
          <w:szCs w:val="28"/>
        </w:rPr>
      </w:pPr>
      <w:r>
        <w:rPr>
          <w:rFonts w:ascii="宋体" w:hAnsi="宋体" w:cs="宋体" w:eastAsia="宋体" w:hint="default"/>
          <w:spacing w:val="-4"/>
          <w:sz w:val="28"/>
          <w:szCs w:val="28"/>
        </w:rPr>
        <w:t>我们审计了后附的东软集团股份有限公司（以下简称贵公司）财</w:t>
      </w:r>
      <w:r>
        <w:rPr>
          <w:rFonts w:ascii="宋体" w:hAnsi="宋体" w:cs="宋体" w:eastAsia="宋体" w:hint="default"/>
          <w:w w:val="99"/>
          <w:sz w:val="28"/>
          <w:szCs w:val="28"/>
        </w:rPr>
        <w:t> </w:t>
      </w:r>
      <w:r>
        <w:rPr>
          <w:rFonts w:ascii="宋体" w:hAnsi="宋体" w:cs="宋体" w:eastAsia="宋体" w:hint="default"/>
          <w:sz w:val="28"/>
          <w:szCs w:val="28"/>
        </w:rPr>
        <w:t>务报表，包括</w:t>
      </w:r>
      <w:r>
        <w:rPr>
          <w:rFonts w:ascii="宋体" w:hAnsi="宋体" w:cs="宋体" w:eastAsia="宋体" w:hint="default"/>
          <w:spacing w:val="-65"/>
          <w:sz w:val="28"/>
          <w:szCs w:val="28"/>
        </w:rPr>
        <w:t> </w:t>
      </w:r>
      <w:r>
        <w:rPr>
          <w:rFonts w:ascii="Times New Roman" w:hAnsi="Times New Roman" w:cs="Times New Roman" w:eastAsia="Times New Roman" w:hint="default"/>
          <w:sz w:val="28"/>
          <w:szCs w:val="28"/>
        </w:rPr>
        <w:t>2009</w:t>
      </w:r>
      <w:r>
        <w:rPr>
          <w:rFonts w:ascii="Times New Roman" w:hAnsi="Times New Roman" w:cs="Times New Roman" w:eastAsia="Times New Roman" w:hint="default"/>
          <w:spacing w:val="5"/>
          <w:sz w:val="28"/>
          <w:szCs w:val="28"/>
        </w:rPr>
        <w:t> </w:t>
      </w:r>
      <w:r>
        <w:rPr>
          <w:rFonts w:ascii="宋体" w:hAnsi="宋体" w:cs="宋体" w:eastAsia="宋体" w:hint="default"/>
          <w:sz w:val="28"/>
          <w:szCs w:val="28"/>
        </w:rPr>
        <w:t>年</w:t>
      </w:r>
      <w:r>
        <w:rPr>
          <w:rFonts w:ascii="宋体" w:hAnsi="宋体" w:cs="宋体" w:eastAsia="宋体" w:hint="default"/>
          <w:spacing w:val="-65"/>
          <w:sz w:val="28"/>
          <w:szCs w:val="28"/>
        </w:rPr>
        <w:t> </w:t>
      </w:r>
      <w:r>
        <w:rPr>
          <w:rFonts w:ascii="Times New Roman" w:hAnsi="Times New Roman" w:cs="Times New Roman" w:eastAsia="Times New Roman" w:hint="default"/>
          <w:sz w:val="28"/>
          <w:szCs w:val="28"/>
        </w:rPr>
        <w:t>12</w:t>
      </w:r>
      <w:r>
        <w:rPr>
          <w:rFonts w:ascii="Times New Roman" w:hAnsi="Times New Roman" w:cs="Times New Roman" w:eastAsia="Times New Roman" w:hint="default"/>
          <w:spacing w:val="4"/>
          <w:sz w:val="28"/>
          <w:szCs w:val="28"/>
        </w:rPr>
        <w:t> </w:t>
      </w:r>
      <w:r>
        <w:rPr>
          <w:rFonts w:ascii="宋体" w:hAnsi="宋体" w:cs="宋体" w:eastAsia="宋体" w:hint="default"/>
          <w:sz w:val="28"/>
          <w:szCs w:val="28"/>
        </w:rPr>
        <w:t>月</w:t>
      </w:r>
      <w:r>
        <w:rPr>
          <w:rFonts w:ascii="宋体" w:hAnsi="宋体" w:cs="宋体" w:eastAsia="宋体" w:hint="default"/>
          <w:spacing w:val="-65"/>
          <w:sz w:val="28"/>
          <w:szCs w:val="28"/>
        </w:rPr>
        <w:t> </w:t>
      </w:r>
      <w:r>
        <w:rPr>
          <w:rFonts w:ascii="Times New Roman" w:hAnsi="Times New Roman" w:cs="Times New Roman" w:eastAsia="Times New Roman" w:hint="default"/>
          <w:sz w:val="28"/>
          <w:szCs w:val="28"/>
        </w:rPr>
        <w:t>31</w:t>
      </w:r>
      <w:r>
        <w:rPr>
          <w:rFonts w:ascii="Times New Roman" w:hAnsi="Times New Roman" w:cs="Times New Roman" w:eastAsia="Times New Roman" w:hint="default"/>
          <w:spacing w:val="5"/>
          <w:sz w:val="28"/>
          <w:szCs w:val="28"/>
        </w:rPr>
        <w:t> </w:t>
      </w:r>
      <w:r>
        <w:rPr>
          <w:rFonts w:ascii="宋体" w:hAnsi="宋体" w:cs="宋体" w:eastAsia="宋体" w:hint="default"/>
          <w:sz w:val="28"/>
          <w:szCs w:val="28"/>
        </w:rPr>
        <w:t>日的资产负债表和合并资产负债表、</w:t>
      </w:r>
    </w:p>
    <w:p>
      <w:pPr>
        <w:spacing w:line="373" w:lineRule="exact" w:before="0"/>
        <w:ind w:left="120" w:right="0" w:hanging="1"/>
        <w:jc w:val="both"/>
        <w:rPr>
          <w:rFonts w:ascii="宋体" w:hAnsi="宋体" w:cs="宋体" w:eastAsia="宋体" w:hint="default"/>
          <w:sz w:val="28"/>
          <w:szCs w:val="28"/>
        </w:rPr>
      </w:pPr>
      <w:r>
        <w:rPr>
          <w:rFonts w:ascii="Times New Roman" w:hAnsi="Times New Roman" w:cs="Times New Roman" w:eastAsia="Times New Roman" w:hint="default"/>
          <w:sz w:val="28"/>
          <w:szCs w:val="28"/>
        </w:rPr>
        <w:t>2009 </w:t>
      </w:r>
      <w:r>
        <w:rPr>
          <w:rFonts w:ascii="宋体" w:hAnsi="宋体" w:cs="宋体" w:eastAsia="宋体" w:hint="default"/>
          <w:sz w:val="28"/>
          <w:szCs w:val="28"/>
        </w:rPr>
        <w:t>年度的利润表和合并利润表、</w:t>
      </w:r>
      <w:r>
        <w:rPr>
          <w:rFonts w:ascii="Times New Roman" w:hAnsi="Times New Roman" w:cs="Times New Roman" w:eastAsia="Times New Roman" w:hint="default"/>
          <w:sz w:val="28"/>
          <w:szCs w:val="28"/>
        </w:rPr>
        <w:t>2009</w:t>
      </w:r>
      <w:r>
        <w:rPr>
          <w:rFonts w:ascii="Times New Roman" w:hAnsi="Times New Roman" w:cs="Times New Roman" w:eastAsia="Times New Roman" w:hint="default"/>
          <w:spacing w:val="36"/>
          <w:sz w:val="28"/>
          <w:szCs w:val="28"/>
        </w:rPr>
        <w:t> </w:t>
      </w:r>
      <w:r>
        <w:rPr>
          <w:rFonts w:ascii="宋体" w:hAnsi="宋体" w:cs="宋体" w:eastAsia="宋体" w:hint="default"/>
          <w:sz w:val="28"/>
          <w:szCs w:val="28"/>
        </w:rPr>
        <w:t>年度的现金流量表和合并现</w:t>
      </w:r>
    </w:p>
    <w:p>
      <w:pPr>
        <w:spacing w:line="247" w:lineRule="auto" w:before="12"/>
        <w:ind w:left="120" w:right="191" w:firstLine="0"/>
        <w:jc w:val="both"/>
        <w:rPr>
          <w:rFonts w:ascii="宋体" w:hAnsi="宋体" w:cs="宋体" w:eastAsia="宋体" w:hint="default"/>
          <w:sz w:val="28"/>
          <w:szCs w:val="28"/>
        </w:rPr>
      </w:pPr>
      <w:r>
        <w:rPr>
          <w:rFonts w:ascii="宋体" w:hAnsi="宋体" w:cs="宋体" w:eastAsia="宋体" w:hint="default"/>
          <w:sz w:val="28"/>
          <w:szCs w:val="28"/>
        </w:rPr>
        <w:t>金流量表、</w:t>
      </w:r>
      <w:r>
        <w:rPr>
          <w:rFonts w:ascii="Times New Roman" w:hAnsi="Times New Roman" w:cs="Times New Roman" w:eastAsia="Times New Roman" w:hint="default"/>
          <w:sz w:val="28"/>
          <w:szCs w:val="28"/>
        </w:rPr>
        <w:t>2009</w:t>
      </w:r>
      <w:r>
        <w:rPr>
          <w:rFonts w:ascii="Times New Roman" w:hAnsi="Times New Roman" w:cs="Times New Roman" w:eastAsia="Times New Roman" w:hint="default"/>
          <w:spacing w:val="39"/>
          <w:sz w:val="28"/>
          <w:szCs w:val="28"/>
        </w:rPr>
        <w:t> </w:t>
      </w:r>
      <w:r>
        <w:rPr>
          <w:rFonts w:ascii="宋体" w:hAnsi="宋体" w:cs="宋体" w:eastAsia="宋体" w:hint="default"/>
          <w:sz w:val="28"/>
          <w:szCs w:val="28"/>
        </w:rPr>
        <w:t>年度的所有者权益变动表和合并所有者权益变动表</w:t>
      </w:r>
      <w:r>
        <w:rPr>
          <w:rFonts w:ascii="宋体" w:hAnsi="宋体" w:cs="宋体" w:eastAsia="宋体" w:hint="default"/>
          <w:spacing w:val="-138"/>
          <w:sz w:val="28"/>
          <w:szCs w:val="28"/>
        </w:rPr>
        <w:t> </w:t>
      </w:r>
      <w:r>
        <w:rPr>
          <w:rFonts w:ascii="宋体" w:hAnsi="宋体" w:cs="宋体" w:eastAsia="宋体" w:hint="default"/>
          <w:sz w:val="28"/>
          <w:szCs w:val="28"/>
        </w:rPr>
        <w:t>以及财务报表附注。</w:t>
      </w:r>
    </w:p>
    <w:p>
      <w:pPr>
        <w:spacing w:line="240" w:lineRule="auto" w:before="7"/>
        <w:rPr>
          <w:rFonts w:ascii="宋体" w:hAnsi="宋体" w:cs="宋体" w:eastAsia="宋体" w:hint="default"/>
          <w:sz w:val="32"/>
          <w:szCs w:val="32"/>
        </w:rPr>
      </w:pPr>
    </w:p>
    <w:p>
      <w:pPr>
        <w:spacing w:line="261" w:lineRule="auto" w:before="0"/>
        <w:ind w:left="680" w:right="0" w:firstLine="1"/>
        <w:jc w:val="left"/>
        <w:rPr>
          <w:rFonts w:ascii="宋体" w:hAnsi="宋体" w:cs="宋体" w:eastAsia="宋体" w:hint="default"/>
          <w:sz w:val="28"/>
          <w:szCs w:val="28"/>
        </w:rPr>
      </w:pPr>
      <w:r>
        <w:rPr>
          <w:rFonts w:ascii="宋体" w:hAnsi="宋体" w:cs="宋体" w:eastAsia="宋体" w:hint="default"/>
          <w:sz w:val="28"/>
          <w:szCs w:val="28"/>
        </w:rPr>
        <w:t>一、</w:t>
      </w:r>
      <w:r>
        <w:rPr>
          <w:rFonts w:ascii="宋体" w:hAnsi="宋体" w:cs="宋体" w:eastAsia="宋体" w:hint="default"/>
          <w:spacing w:val="18"/>
          <w:sz w:val="28"/>
          <w:szCs w:val="28"/>
        </w:rPr>
        <w:t> </w:t>
      </w:r>
      <w:r>
        <w:rPr>
          <w:rFonts w:ascii="宋体" w:hAnsi="宋体" w:cs="宋体" w:eastAsia="宋体" w:hint="default"/>
          <w:sz w:val="28"/>
          <w:szCs w:val="28"/>
        </w:rPr>
        <w:t>管理层对财务报表的责任</w:t>
      </w:r>
      <w:r>
        <w:rPr>
          <w:rFonts w:ascii="宋体" w:hAnsi="宋体" w:cs="宋体" w:eastAsia="宋体" w:hint="default"/>
          <w:spacing w:val="-134"/>
          <w:sz w:val="28"/>
          <w:szCs w:val="28"/>
        </w:rPr>
        <w:t> </w:t>
      </w:r>
      <w:r>
        <w:rPr>
          <w:rFonts w:ascii="宋体" w:hAnsi="宋体" w:cs="宋体" w:eastAsia="宋体" w:hint="default"/>
          <w:spacing w:val="-134"/>
          <w:sz w:val="28"/>
          <w:szCs w:val="28"/>
        </w:rPr>
      </w:r>
      <w:r>
        <w:rPr>
          <w:rFonts w:ascii="宋体" w:hAnsi="宋体" w:cs="宋体" w:eastAsia="宋体" w:hint="default"/>
          <w:w w:val="95"/>
          <w:sz w:val="28"/>
          <w:szCs w:val="28"/>
        </w:rPr>
        <w:t>按照企业会计准则的规定编制财务报表是贵公司管理层的责任。</w:t>
      </w:r>
      <w:r>
        <w:rPr>
          <w:rFonts w:ascii="宋体" w:hAnsi="宋体" w:cs="宋体" w:eastAsia="宋体" w:hint="default"/>
          <w:sz w:val="28"/>
          <w:szCs w:val="28"/>
        </w:rPr>
      </w:r>
    </w:p>
    <w:p>
      <w:pPr>
        <w:spacing w:line="247" w:lineRule="auto" w:before="9"/>
        <w:ind w:left="120" w:right="193" w:firstLine="0"/>
        <w:jc w:val="both"/>
        <w:rPr>
          <w:rFonts w:ascii="宋体" w:hAnsi="宋体" w:cs="宋体" w:eastAsia="宋体" w:hint="default"/>
          <w:sz w:val="28"/>
          <w:szCs w:val="28"/>
        </w:rPr>
      </w:pPr>
      <w:r>
        <w:rPr>
          <w:rFonts w:ascii="宋体" w:hAnsi="宋体" w:cs="宋体" w:eastAsia="宋体" w:hint="default"/>
          <w:w w:val="99"/>
          <w:sz w:val="28"/>
          <w:szCs w:val="28"/>
        </w:rPr>
        <w:t>这种责任包括</w:t>
      </w:r>
      <w:r>
        <w:rPr>
          <w:rFonts w:ascii="宋体" w:hAnsi="宋体" w:cs="宋体" w:eastAsia="宋体" w:hint="default"/>
          <w:spacing w:val="-171"/>
          <w:w w:val="99"/>
          <w:sz w:val="28"/>
          <w:szCs w:val="28"/>
        </w:rPr>
        <w:t>：</w:t>
      </w:r>
      <w:r>
        <w:rPr>
          <w:rFonts w:ascii="宋体" w:hAnsi="宋体" w:cs="宋体" w:eastAsia="宋体" w:hint="default"/>
          <w:w w:val="99"/>
          <w:sz w:val="28"/>
          <w:szCs w:val="28"/>
        </w:rPr>
        <w:t>（</w:t>
      </w:r>
      <w:r>
        <w:rPr>
          <w:rFonts w:ascii="Times New Roman" w:hAnsi="Times New Roman" w:cs="Times New Roman" w:eastAsia="Times New Roman" w:hint="default"/>
          <w:w w:val="99"/>
          <w:sz w:val="28"/>
          <w:szCs w:val="28"/>
        </w:rPr>
        <w:t>1</w:t>
      </w:r>
      <w:r>
        <w:rPr>
          <w:rFonts w:ascii="宋体" w:hAnsi="宋体" w:cs="宋体" w:eastAsia="宋体" w:hint="default"/>
          <w:spacing w:val="-32"/>
          <w:w w:val="99"/>
          <w:sz w:val="28"/>
          <w:szCs w:val="28"/>
        </w:rPr>
        <w:t>）</w:t>
      </w:r>
      <w:r>
        <w:rPr>
          <w:rFonts w:ascii="宋体" w:hAnsi="宋体" w:cs="宋体" w:eastAsia="宋体" w:hint="default"/>
          <w:w w:val="99"/>
          <w:sz w:val="28"/>
          <w:szCs w:val="28"/>
        </w:rPr>
        <w:t>设计</w:t>
      </w:r>
      <w:r>
        <w:rPr>
          <w:rFonts w:ascii="宋体" w:hAnsi="宋体" w:cs="宋体" w:eastAsia="宋体" w:hint="default"/>
          <w:spacing w:val="-30"/>
          <w:w w:val="99"/>
          <w:sz w:val="28"/>
          <w:szCs w:val="28"/>
        </w:rPr>
        <w:t>、</w:t>
      </w:r>
      <w:r>
        <w:rPr>
          <w:rFonts w:ascii="宋体" w:hAnsi="宋体" w:cs="宋体" w:eastAsia="宋体" w:hint="default"/>
          <w:w w:val="99"/>
          <w:sz w:val="28"/>
          <w:szCs w:val="28"/>
        </w:rPr>
        <w:t>实施和维护与财务报表编制相关的内部控</w:t>
      </w:r>
      <w:r>
        <w:rPr>
          <w:rFonts w:ascii="宋体" w:hAnsi="宋体" w:cs="宋体" w:eastAsia="宋体" w:hint="default"/>
          <w:w w:val="99"/>
          <w:sz w:val="28"/>
          <w:szCs w:val="28"/>
        </w:rPr>
        <w:t> 制</w:t>
      </w:r>
      <w:r>
        <w:rPr>
          <w:rFonts w:ascii="宋体" w:hAnsi="宋体" w:cs="宋体" w:eastAsia="宋体" w:hint="default"/>
          <w:spacing w:val="-32"/>
          <w:w w:val="99"/>
          <w:sz w:val="28"/>
          <w:szCs w:val="28"/>
        </w:rPr>
        <w:t>，</w:t>
      </w:r>
      <w:r>
        <w:rPr>
          <w:rFonts w:ascii="宋体" w:hAnsi="宋体" w:cs="宋体" w:eastAsia="宋体" w:hint="default"/>
          <w:w w:val="99"/>
          <w:sz w:val="28"/>
          <w:szCs w:val="28"/>
        </w:rPr>
        <w:t>以使财务报表不存在由于舞弊或错误而导致的重大错报</w:t>
      </w:r>
      <w:r>
        <w:rPr>
          <w:rFonts w:ascii="宋体" w:hAnsi="宋体" w:cs="宋体" w:eastAsia="宋体" w:hint="default"/>
          <w:spacing w:val="-171"/>
          <w:w w:val="99"/>
          <w:sz w:val="28"/>
          <w:szCs w:val="28"/>
        </w:rPr>
        <w:t>；</w:t>
      </w:r>
      <w:r>
        <w:rPr>
          <w:rFonts w:ascii="宋体" w:hAnsi="宋体" w:cs="宋体" w:eastAsia="宋体" w:hint="default"/>
          <w:w w:val="99"/>
          <w:sz w:val="28"/>
          <w:szCs w:val="28"/>
        </w:rPr>
        <w:t>（</w:t>
      </w:r>
      <w:r>
        <w:rPr>
          <w:rFonts w:ascii="Times New Roman" w:hAnsi="Times New Roman" w:cs="Times New Roman" w:eastAsia="Times New Roman" w:hint="default"/>
          <w:w w:val="99"/>
          <w:sz w:val="28"/>
          <w:szCs w:val="28"/>
        </w:rPr>
        <w:t>2</w:t>
      </w:r>
      <w:r>
        <w:rPr>
          <w:rFonts w:ascii="宋体" w:hAnsi="宋体" w:cs="宋体" w:eastAsia="宋体" w:hint="default"/>
          <w:spacing w:val="-30"/>
          <w:w w:val="99"/>
          <w:sz w:val="28"/>
          <w:szCs w:val="28"/>
        </w:rPr>
        <w:t>）选 </w:t>
      </w:r>
      <w:r>
        <w:rPr>
          <w:rFonts w:ascii="宋体" w:hAnsi="宋体" w:cs="宋体" w:eastAsia="宋体" w:hint="default"/>
          <w:w w:val="99"/>
          <w:sz w:val="28"/>
          <w:szCs w:val="28"/>
        </w:rPr>
        <w:t>择和运用恰当的会计政策</w:t>
      </w:r>
      <w:r>
        <w:rPr>
          <w:rFonts w:ascii="宋体" w:hAnsi="宋体" w:cs="宋体" w:eastAsia="宋体" w:hint="default"/>
          <w:spacing w:val="-140"/>
          <w:w w:val="99"/>
          <w:sz w:val="28"/>
          <w:szCs w:val="28"/>
        </w:rPr>
        <w:t>；</w:t>
      </w:r>
      <w:r>
        <w:rPr>
          <w:rFonts w:ascii="宋体" w:hAnsi="宋体" w:cs="宋体" w:eastAsia="宋体" w:hint="default"/>
          <w:w w:val="99"/>
          <w:sz w:val="28"/>
          <w:szCs w:val="28"/>
        </w:rPr>
        <w:t>（</w:t>
      </w:r>
      <w:r>
        <w:rPr>
          <w:rFonts w:ascii="Times New Roman" w:hAnsi="Times New Roman" w:cs="Times New Roman" w:eastAsia="Times New Roman" w:hint="default"/>
          <w:w w:val="99"/>
          <w:sz w:val="28"/>
          <w:szCs w:val="28"/>
        </w:rPr>
        <w:t>3</w:t>
      </w:r>
      <w:r>
        <w:rPr>
          <w:rFonts w:ascii="宋体" w:hAnsi="宋体" w:cs="宋体" w:eastAsia="宋体" w:hint="default"/>
          <w:w w:val="99"/>
          <w:sz w:val="28"/>
          <w:szCs w:val="28"/>
        </w:rPr>
        <w:t>）作出合理的会计估计。</w:t>
      </w:r>
      <w:r>
        <w:rPr>
          <w:rFonts w:ascii="宋体" w:hAnsi="宋体" w:cs="宋体" w:eastAsia="宋体" w:hint="default"/>
          <w:sz w:val="28"/>
          <w:szCs w:val="28"/>
        </w:rPr>
      </w:r>
    </w:p>
    <w:p>
      <w:pPr>
        <w:spacing w:line="240" w:lineRule="auto" w:before="11"/>
        <w:rPr>
          <w:rFonts w:ascii="宋体" w:hAnsi="宋体" w:cs="宋体" w:eastAsia="宋体" w:hint="default"/>
          <w:sz w:val="30"/>
          <w:szCs w:val="30"/>
        </w:rPr>
      </w:pPr>
    </w:p>
    <w:p>
      <w:pPr>
        <w:spacing w:line="261" w:lineRule="auto" w:before="0"/>
        <w:ind w:left="680" w:right="0" w:firstLine="1"/>
        <w:jc w:val="left"/>
        <w:rPr>
          <w:rFonts w:ascii="宋体" w:hAnsi="宋体" w:cs="宋体" w:eastAsia="宋体" w:hint="default"/>
          <w:sz w:val="28"/>
          <w:szCs w:val="28"/>
        </w:rPr>
      </w:pPr>
      <w:r>
        <w:rPr>
          <w:rFonts w:ascii="宋体" w:hAnsi="宋体" w:cs="宋体" w:eastAsia="宋体" w:hint="default"/>
          <w:sz w:val="28"/>
          <w:szCs w:val="28"/>
        </w:rPr>
        <w:t>二、</w:t>
      </w:r>
      <w:r>
        <w:rPr>
          <w:rFonts w:ascii="宋体" w:hAnsi="宋体" w:cs="宋体" w:eastAsia="宋体" w:hint="default"/>
          <w:spacing w:val="17"/>
          <w:sz w:val="28"/>
          <w:szCs w:val="28"/>
        </w:rPr>
        <w:t> </w:t>
      </w:r>
      <w:r>
        <w:rPr>
          <w:rFonts w:ascii="宋体" w:hAnsi="宋体" w:cs="宋体" w:eastAsia="宋体" w:hint="default"/>
          <w:sz w:val="28"/>
          <w:szCs w:val="28"/>
        </w:rPr>
        <w:t>注册会计师的责任</w:t>
      </w:r>
      <w:r>
        <w:rPr>
          <w:rFonts w:ascii="宋体" w:hAnsi="宋体" w:cs="宋体" w:eastAsia="宋体" w:hint="default"/>
          <w:spacing w:val="-136"/>
          <w:sz w:val="28"/>
          <w:szCs w:val="28"/>
        </w:rPr>
        <w:t> </w:t>
      </w:r>
      <w:r>
        <w:rPr>
          <w:rFonts w:ascii="宋体" w:hAnsi="宋体" w:cs="宋体" w:eastAsia="宋体" w:hint="default"/>
          <w:spacing w:val="-136"/>
          <w:sz w:val="28"/>
          <w:szCs w:val="28"/>
        </w:rPr>
      </w:r>
      <w:r>
        <w:rPr>
          <w:rFonts w:ascii="宋体" w:hAnsi="宋体" w:cs="宋体" w:eastAsia="宋体" w:hint="default"/>
          <w:spacing w:val="7"/>
          <w:w w:val="95"/>
          <w:sz w:val="28"/>
          <w:szCs w:val="28"/>
        </w:rPr>
        <w:t>我们的责任是在实施审计工作的基础上对财务报表发表审计意</w:t>
      </w:r>
      <w:r>
        <w:rPr>
          <w:rFonts w:ascii="宋体" w:hAnsi="宋体" w:cs="宋体" w:eastAsia="宋体" w:hint="default"/>
          <w:sz w:val="28"/>
          <w:szCs w:val="28"/>
        </w:rPr>
      </w:r>
    </w:p>
    <w:p>
      <w:pPr>
        <w:spacing w:line="261" w:lineRule="auto" w:before="9"/>
        <w:ind w:left="120" w:right="192" w:firstLine="0"/>
        <w:jc w:val="both"/>
        <w:rPr>
          <w:rFonts w:ascii="宋体" w:hAnsi="宋体" w:cs="宋体" w:eastAsia="宋体" w:hint="default"/>
          <w:sz w:val="28"/>
          <w:szCs w:val="28"/>
        </w:rPr>
      </w:pPr>
      <w:r>
        <w:rPr>
          <w:rFonts w:ascii="宋体" w:hAnsi="宋体" w:cs="宋体" w:eastAsia="宋体" w:hint="default"/>
          <w:spacing w:val="-4"/>
          <w:sz w:val="28"/>
          <w:szCs w:val="28"/>
        </w:rPr>
        <w:t>见。我们按照中国注册会计师审计准则的规定执行了审计工作。中国</w:t>
      </w:r>
      <w:r>
        <w:rPr>
          <w:rFonts w:ascii="宋体" w:hAnsi="宋体" w:cs="宋体" w:eastAsia="宋体" w:hint="default"/>
          <w:spacing w:val="-126"/>
          <w:sz w:val="28"/>
          <w:szCs w:val="28"/>
        </w:rPr>
        <w:t> </w:t>
      </w:r>
      <w:r>
        <w:rPr>
          <w:rFonts w:ascii="宋体" w:hAnsi="宋体" w:cs="宋体" w:eastAsia="宋体" w:hint="default"/>
          <w:spacing w:val="-126"/>
          <w:sz w:val="28"/>
          <w:szCs w:val="28"/>
        </w:rPr>
      </w:r>
      <w:r>
        <w:rPr>
          <w:rFonts w:ascii="宋体" w:hAnsi="宋体" w:cs="宋体" w:eastAsia="宋体" w:hint="default"/>
          <w:spacing w:val="-4"/>
          <w:sz w:val="28"/>
          <w:szCs w:val="28"/>
        </w:rPr>
        <w:t>注册会计师审计准则要求我们遵守职业道德规范，计划和实施审计工</w:t>
      </w:r>
      <w:r>
        <w:rPr>
          <w:rFonts w:ascii="宋体" w:hAnsi="宋体" w:cs="宋体" w:eastAsia="宋体" w:hint="default"/>
          <w:spacing w:val="-128"/>
          <w:sz w:val="28"/>
          <w:szCs w:val="28"/>
        </w:rPr>
        <w:t> </w:t>
      </w:r>
      <w:r>
        <w:rPr>
          <w:rFonts w:ascii="宋体" w:hAnsi="宋体" w:cs="宋体" w:eastAsia="宋体" w:hint="default"/>
          <w:spacing w:val="-128"/>
          <w:sz w:val="28"/>
          <w:szCs w:val="28"/>
        </w:rPr>
      </w:r>
      <w:r>
        <w:rPr>
          <w:rFonts w:ascii="宋体" w:hAnsi="宋体" w:cs="宋体" w:eastAsia="宋体" w:hint="default"/>
          <w:sz w:val="28"/>
          <w:szCs w:val="28"/>
        </w:rPr>
        <w:t>作以对财务报表是否不存在重大错报获取合理保证。</w:t>
      </w:r>
    </w:p>
    <w:p>
      <w:pPr>
        <w:spacing w:line="240" w:lineRule="auto" w:before="3"/>
        <w:rPr>
          <w:rFonts w:ascii="宋体" w:hAnsi="宋体" w:cs="宋体" w:eastAsia="宋体" w:hint="default"/>
          <w:sz w:val="31"/>
          <w:szCs w:val="31"/>
        </w:rPr>
      </w:pPr>
    </w:p>
    <w:p>
      <w:pPr>
        <w:spacing w:line="261" w:lineRule="auto" w:before="0"/>
        <w:ind w:left="120" w:right="0" w:firstLine="560"/>
        <w:jc w:val="left"/>
        <w:rPr>
          <w:rFonts w:ascii="宋体" w:hAnsi="宋体" w:cs="宋体" w:eastAsia="宋体" w:hint="default"/>
          <w:sz w:val="28"/>
          <w:szCs w:val="28"/>
        </w:rPr>
      </w:pPr>
      <w:r>
        <w:rPr>
          <w:rFonts w:ascii="宋体" w:hAnsi="宋体" w:cs="宋体" w:eastAsia="宋体" w:hint="default"/>
          <w:spacing w:val="-4"/>
          <w:sz w:val="28"/>
          <w:szCs w:val="28"/>
        </w:rPr>
        <w:t>审计工作涉及实施审计程序，以获取有关财务报表金额和披露的</w:t>
      </w:r>
      <w:r>
        <w:rPr>
          <w:rFonts w:ascii="宋体" w:hAnsi="宋体" w:cs="宋体" w:eastAsia="宋体" w:hint="default"/>
          <w:w w:val="99"/>
          <w:sz w:val="28"/>
          <w:szCs w:val="28"/>
        </w:rPr>
        <w:t> </w:t>
      </w:r>
      <w:r>
        <w:rPr>
          <w:rFonts w:ascii="宋体" w:hAnsi="宋体" w:cs="宋体" w:eastAsia="宋体" w:hint="default"/>
          <w:spacing w:val="-4"/>
          <w:sz w:val="28"/>
          <w:szCs w:val="28"/>
        </w:rPr>
        <w:t>审计证据。选择的审计程序取决于注册会计师的判断，包括对由于舞</w:t>
      </w:r>
      <w:r>
        <w:rPr>
          <w:rFonts w:ascii="宋体" w:hAnsi="宋体" w:cs="宋体" w:eastAsia="宋体" w:hint="default"/>
          <w:spacing w:val="-126"/>
          <w:sz w:val="28"/>
          <w:szCs w:val="28"/>
        </w:rPr>
        <w:t> </w:t>
      </w:r>
      <w:r>
        <w:rPr>
          <w:rFonts w:ascii="宋体" w:hAnsi="宋体" w:cs="宋体" w:eastAsia="宋体" w:hint="default"/>
          <w:spacing w:val="-126"/>
          <w:sz w:val="28"/>
          <w:szCs w:val="28"/>
        </w:rPr>
      </w:r>
      <w:r>
        <w:rPr>
          <w:rFonts w:ascii="宋体" w:hAnsi="宋体" w:cs="宋体" w:eastAsia="宋体" w:hint="default"/>
          <w:w w:val="95"/>
          <w:sz w:val="28"/>
          <w:szCs w:val="28"/>
        </w:rPr>
        <w:t>弊或错误导致的财务报表重大错报风险的评估。在进行风险评估时，</w:t>
      </w:r>
      <w:r>
        <w:rPr>
          <w:rFonts w:ascii="宋体" w:hAnsi="宋体" w:cs="宋体" w:eastAsia="宋体" w:hint="default"/>
          <w:spacing w:val="10"/>
          <w:w w:val="95"/>
          <w:sz w:val="28"/>
          <w:szCs w:val="28"/>
        </w:rPr>
        <w:t> </w:t>
      </w:r>
      <w:r>
        <w:rPr>
          <w:rFonts w:ascii="宋体" w:hAnsi="宋体" w:cs="宋体" w:eastAsia="宋体" w:hint="default"/>
          <w:spacing w:val="10"/>
          <w:w w:val="95"/>
          <w:sz w:val="28"/>
          <w:szCs w:val="28"/>
        </w:rPr>
      </w:r>
      <w:r>
        <w:rPr>
          <w:rFonts w:ascii="宋体" w:hAnsi="宋体" w:cs="宋体" w:eastAsia="宋体" w:hint="default"/>
          <w:w w:val="95"/>
          <w:sz w:val="28"/>
          <w:szCs w:val="28"/>
        </w:rPr>
        <w:t>我们考虑与财务报表编制相关的内部控制，以设计恰当的审计程序，</w:t>
      </w:r>
      <w:r>
        <w:rPr>
          <w:rFonts w:ascii="宋体" w:hAnsi="宋体" w:cs="宋体" w:eastAsia="宋体" w:hint="default"/>
          <w:spacing w:val="10"/>
          <w:w w:val="95"/>
          <w:sz w:val="28"/>
          <w:szCs w:val="28"/>
        </w:rPr>
        <w:t> </w:t>
      </w:r>
      <w:r>
        <w:rPr>
          <w:rFonts w:ascii="宋体" w:hAnsi="宋体" w:cs="宋体" w:eastAsia="宋体" w:hint="default"/>
          <w:spacing w:val="10"/>
          <w:w w:val="95"/>
          <w:sz w:val="28"/>
          <w:szCs w:val="28"/>
        </w:rPr>
      </w:r>
      <w:r>
        <w:rPr>
          <w:rFonts w:ascii="宋体" w:hAnsi="宋体" w:cs="宋体" w:eastAsia="宋体" w:hint="default"/>
          <w:spacing w:val="-4"/>
          <w:sz w:val="28"/>
          <w:szCs w:val="28"/>
        </w:rPr>
        <w:t>但目的并非对内部控制的有效性发表意见。审计工作还包括评价管理</w:t>
      </w:r>
      <w:r>
        <w:rPr>
          <w:rFonts w:ascii="宋体" w:hAnsi="宋体" w:cs="宋体" w:eastAsia="宋体" w:hint="default"/>
          <w:spacing w:val="-127"/>
          <w:sz w:val="28"/>
          <w:szCs w:val="28"/>
        </w:rPr>
        <w:t> </w:t>
      </w:r>
      <w:r>
        <w:rPr>
          <w:rFonts w:ascii="宋体" w:hAnsi="宋体" w:cs="宋体" w:eastAsia="宋体" w:hint="default"/>
          <w:spacing w:val="-127"/>
          <w:sz w:val="28"/>
          <w:szCs w:val="28"/>
        </w:rPr>
      </w:r>
      <w:r>
        <w:rPr>
          <w:rFonts w:ascii="宋体" w:hAnsi="宋体" w:cs="宋体" w:eastAsia="宋体" w:hint="default"/>
          <w:spacing w:val="-4"/>
          <w:sz w:val="28"/>
          <w:szCs w:val="28"/>
        </w:rPr>
        <w:t>层选用会计政策的恰当性和作出会计估计的合理性，以及评价财务报</w:t>
      </w:r>
      <w:r>
        <w:rPr>
          <w:rFonts w:ascii="宋体" w:hAnsi="宋体" w:cs="宋体" w:eastAsia="宋体" w:hint="default"/>
          <w:spacing w:val="-127"/>
          <w:sz w:val="28"/>
          <w:szCs w:val="28"/>
        </w:rPr>
        <w:t> </w:t>
      </w:r>
      <w:r>
        <w:rPr>
          <w:rFonts w:ascii="宋体" w:hAnsi="宋体" w:cs="宋体" w:eastAsia="宋体" w:hint="default"/>
          <w:spacing w:val="-127"/>
          <w:sz w:val="28"/>
          <w:szCs w:val="28"/>
        </w:rPr>
      </w:r>
      <w:r>
        <w:rPr>
          <w:rFonts w:ascii="宋体" w:hAnsi="宋体" w:cs="宋体" w:eastAsia="宋体" w:hint="default"/>
          <w:sz w:val="28"/>
          <w:szCs w:val="28"/>
        </w:rPr>
        <w:t>表的总体列报。</w:t>
      </w:r>
    </w:p>
    <w:p>
      <w:pPr>
        <w:spacing w:after="0" w:line="261" w:lineRule="auto"/>
        <w:jc w:val="left"/>
        <w:rPr>
          <w:rFonts w:ascii="宋体" w:hAnsi="宋体" w:cs="宋体" w:eastAsia="宋体" w:hint="default"/>
          <w:sz w:val="28"/>
          <w:szCs w:val="28"/>
        </w:rPr>
        <w:sectPr>
          <w:headerReference w:type="default" r:id="rId15"/>
          <w:footerReference w:type="default" r:id="rId16"/>
          <w:pgSz w:w="11900" w:h="16840"/>
          <w:pgMar w:header="0" w:footer="1003" w:top="1600" w:bottom="1200" w:left="1680" w:right="1600"/>
          <w:pgNumType w:start="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pStyle w:val="Heading6"/>
        <w:spacing w:line="364" w:lineRule="exact" w:before="49"/>
        <w:ind w:right="192" w:firstLine="560"/>
        <w:jc w:val="left"/>
      </w:pPr>
      <w:r>
        <w:rPr>
          <w:spacing w:val="-4"/>
        </w:rPr>
        <w:t>我们相信，我们获取的审计证据是充分、适当的，为发表审计意</w:t>
      </w:r>
      <w:r>
        <w:rPr>
          <w:w w:val="99"/>
        </w:rPr>
        <w:t> </w:t>
      </w:r>
      <w:r>
        <w:rPr/>
        <w:t>见提供了基础。</w:t>
      </w:r>
    </w:p>
    <w:p>
      <w:pPr>
        <w:spacing w:line="724" w:lineRule="exact" w:before="70"/>
        <w:ind w:left="680" w:right="0" w:firstLine="1"/>
        <w:jc w:val="left"/>
        <w:rPr>
          <w:rFonts w:ascii="宋体" w:hAnsi="宋体" w:cs="宋体" w:eastAsia="宋体" w:hint="default"/>
          <w:sz w:val="28"/>
          <w:szCs w:val="28"/>
        </w:rPr>
      </w:pPr>
      <w:r>
        <w:rPr>
          <w:rFonts w:ascii="宋体" w:hAnsi="宋体" w:cs="宋体" w:eastAsia="宋体" w:hint="default"/>
          <w:sz w:val="28"/>
          <w:szCs w:val="28"/>
        </w:rPr>
        <w:t>三、</w:t>
      </w:r>
      <w:r>
        <w:rPr>
          <w:rFonts w:ascii="宋体" w:hAnsi="宋体" w:cs="宋体" w:eastAsia="宋体" w:hint="default"/>
          <w:spacing w:val="-2"/>
          <w:sz w:val="28"/>
          <w:szCs w:val="28"/>
        </w:rPr>
        <w:t> </w:t>
      </w:r>
      <w:r>
        <w:rPr>
          <w:rFonts w:ascii="宋体" w:hAnsi="宋体" w:cs="宋体" w:eastAsia="宋体" w:hint="default"/>
          <w:sz w:val="28"/>
          <w:szCs w:val="28"/>
        </w:rPr>
        <w:t>审计意见</w:t>
      </w:r>
      <w:r>
        <w:rPr>
          <w:rFonts w:ascii="宋体" w:hAnsi="宋体" w:cs="宋体" w:eastAsia="宋体" w:hint="default"/>
          <w:spacing w:val="1"/>
          <w:w w:val="99"/>
          <w:sz w:val="28"/>
          <w:szCs w:val="28"/>
        </w:rPr>
        <w:t> </w:t>
      </w:r>
      <w:r>
        <w:rPr>
          <w:rFonts w:ascii="宋体" w:hAnsi="宋体" w:cs="宋体" w:eastAsia="宋体" w:hint="default"/>
          <w:w w:val="95"/>
          <w:sz w:val="28"/>
          <w:szCs w:val="28"/>
        </w:rPr>
        <w:t>我们认为，贵公司财务报表已经按照企业会计准则的规定编制，</w:t>
      </w:r>
      <w:r>
        <w:rPr>
          <w:rFonts w:ascii="宋体" w:hAnsi="宋体" w:cs="宋体" w:eastAsia="宋体" w:hint="default"/>
          <w:sz w:val="28"/>
          <w:szCs w:val="28"/>
        </w:rPr>
      </w:r>
    </w:p>
    <w:p>
      <w:pPr>
        <w:spacing w:line="266" w:lineRule="exact" w:before="0"/>
        <w:ind w:left="120" w:right="0" w:firstLine="0"/>
        <w:jc w:val="left"/>
        <w:rPr>
          <w:rFonts w:ascii="宋体" w:hAnsi="宋体" w:cs="宋体" w:eastAsia="宋体" w:hint="default"/>
          <w:sz w:val="28"/>
          <w:szCs w:val="28"/>
        </w:rPr>
      </w:pPr>
      <w:r>
        <w:rPr>
          <w:rFonts w:ascii="宋体" w:hAnsi="宋体" w:cs="宋体" w:eastAsia="宋体" w:hint="default"/>
          <w:sz w:val="28"/>
          <w:szCs w:val="28"/>
        </w:rPr>
        <w:t>在所有重大方面公允反映了贵公司</w:t>
      </w:r>
      <w:r>
        <w:rPr>
          <w:rFonts w:ascii="宋体" w:hAnsi="宋体" w:cs="宋体" w:eastAsia="宋体" w:hint="default"/>
          <w:spacing w:val="-65"/>
          <w:sz w:val="28"/>
          <w:szCs w:val="28"/>
        </w:rPr>
        <w:t> </w:t>
      </w:r>
      <w:r>
        <w:rPr>
          <w:rFonts w:ascii="Times New Roman" w:hAnsi="Times New Roman" w:cs="Times New Roman" w:eastAsia="Times New Roman" w:hint="default"/>
          <w:sz w:val="28"/>
          <w:szCs w:val="28"/>
        </w:rPr>
        <w:t>2009</w:t>
      </w:r>
      <w:r>
        <w:rPr>
          <w:rFonts w:ascii="Times New Roman" w:hAnsi="Times New Roman" w:cs="Times New Roman" w:eastAsia="Times New Roman" w:hint="default"/>
          <w:spacing w:val="5"/>
          <w:sz w:val="28"/>
          <w:szCs w:val="28"/>
        </w:rPr>
        <w:t> </w:t>
      </w:r>
      <w:r>
        <w:rPr>
          <w:rFonts w:ascii="宋体" w:hAnsi="宋体" w:cs="宋体" w:eastAsia="宋体" w:hint="default"/>
          <w:sz w:val="28"/>
          <w:szCs w:val="28"/>
        </w:rPr>
        <w:t>年</w:t>
      </w:r>
      <w:r>
        <w:rPr>
          <w:rFonts w:ascii="宋体" w:hAnsi="宋体" w:cs="宋体" w:eastAsia="宋体" w:hint="default"/>
          <w:spacing w:val="-65"/>
          <w:sz w:val="28"/>
          <w:szCs w:val="28"/>
        </w:rPr>
        <w:t> </w:t>
      </w:r>
      <w:r>
        <w:rPr>
          <w:rFonts w:ascii="Times New Roman" w:hAnsi="Times New Roman" w:cs="Times New Roman" w:eastAsia="Times New Roman" w:hint="default"/>
          <w:sz w:val="28"/>
          <w:szCs w:val="28"/>
        </w:rPr>
        <w:t>12</w:t>
      </w:r>
      <w:r>
        <w:rPr>
          <w:rFonts w:ascii="Times New Roman" w:hAnsi="Times New Roman" w:cs="Times New Roman" w:eastAsia="Times New Roman" w:hint="default"/>
          <w:spacing w:val="4"/>
          <w:sz w:val="28"/>
          <w:szCs w:val="28"/>
        </w:rPr>
        <w:t> </w:t>
      </w:r>
      <w:r>
        <w:rPr>
          <w:rFonts w:ascii="宋体" w:hAnsi="宋体" w:cs="宋体" w:eastAsia="宋体" w:hint="default"/>
          <w:sz w:val="28"/>
          <w:szCs w:val="28"/>
        </w:rPr>
        <w:t>月</w:t>
      </w:r>
      <w:r>
        <w:rPr>
          <w:rFonts w:ascii="宋体" w:hAnsi="宋体" w:cs="宋体" w:eastAsia="宋体" w:hint="default"/>
          <w:spacing w:val="-65"/>
          <w:sz w:val="28"/>
          <w:szCs w:val="28"/>
        </w:rPr>
        <w:t> </w:t>
      </w:r>
      <w:r>
        <w:rPr>
          <w:rFonts w:ascii="Times New Roman" w:hAnsi="Times New Roman" w:cs="Times New Roman" w:eastAsia="Times New Roman" w:hint="default"/>
          <w:sz w:val="28"/>
          <w:szCs w:val="28"/>
        </w:rPr>
        <w:t>31</w:t>
      </w:r>
      <w:r>
        <w:rPr>
          <w:rFonts w:ascii="Times New Roman" w:hAnsi="Times New Roman" w:cs="Times New Roman" w:eastAsia="Times New Roman" w:hint="default"/>
          <w:spacing w:val="5"/>
          <w:sz w:val="28"/>
          <w:szCs w:val="28"/>
        </w:rPr>
        <w:t> </w:t>
      </w:r>
      <w:r>
        <w:rPr>
          <w:rFonts w:ascii="宋体" w:hAnsi="宋体" w:cs="宋体" w:eastAsia="宋体" w:hint="default"/>
          <w:sz w:val="28"/>
          <w:szCs w:val="28"/>
        </w:rPr>
        <w:t>日的财务状况以</w:t>
      </w:r>
    </w:p>
    <w:p>
      <w:pPr>
        <w:spacing w:line="376" w:lineRule="exact" w:before="0"/>
        <w:ind w:left="120" w:right="0" w:firstLine="0"/>
        <w:jc w:val="left"/>
        <w:rPr>
          <w:rFonts w:ascii="宋体" w:hAnsi="宋体" w:cs="宋体" w:eastAsia="宋体" w:hint="default"/>
          <w:sz w:val="28"/>
          <w:szCs w:val="28"/>
        </w:rPr>
      </w:pPr>
      <w:r>
        <w:rPr>
          <w:rFonts w:ascii="宋体" w:hAnsi="宋体" w:cs="宋体" w:eastAsia="宋体" w:hint="default"/>
          <w:sz w:val="28"/>
          <w:szCs w:val="28"/>
        </w:rPr>
        <w:t>及</w:t>
      </w:r>
      <w:r>
        <w:rPr>
          <w:rFonts w:ascii="宋体" w:hAnsi="宋体" w:cs="宋体" w:eastAsia="宋体" w:hint="default"/>
          <w:spacing w:val="-75"/>
          <w:sz w:val="28"/>
          <w:szCs w:val="28"/>
        </w:rPr>
        <w:t> </w:t>
      </w:r>
      <w:r>
        <w:rPr>
          <w:rFonts w:ascii="Times New Roman" w:hAnsi="Times New Roman" w:cs="Times New Roman" w:eastAsia="Times New Roman" w:hint="default"/>
          <w:sz w:val="28"/>
          <w:szCs w:val="28"/>
        </w:rPr>
        <w:t>2009</w:t>
      </w:r>
      <w:r>
        <w:rPr>
          <w:rFonts w:ascii="Times New Roman" w:hAnsi="Times New Roman" w:cs="Times New Roman" w:eastAsia="Times New Roman" w:hint="default"/>
          <w:spacing w:val="-4"/>
          <w:sz w:val="28"/>
          <w:szCs w:val="28"/>
        </w:rPr>
        <w:t> </w:t>
      </w:r>
      <w:r>
        <w:rPr>
          <w:rFonts w:ascii="宋体" w:hAnsi="宋体" w:cs="宋体" w:eastAsia="宋体" w:hint="default"/>
          <w:sz w:val="28"/>
          <w:szCs w:val="28"/>
        </w:rPr>
        <w:t>年度的经营成果和现金流量。</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9"/>
        <w:rPr>
          <w:rFonts w:ascii="宋体" w:hAnsi="宋体" w:cs="宋体" w:eastAsia="宋体" w:hint="default"/>
          <w:sz w:val="24"/>
          <w:szCs w:val="24"/>
        </w:rPr>
      </w:pPr>
    </w:p>
    <w:p>
      <w:pPr>
        <w:tabs>
          <w:tab w:pos="4979" w:val="left" w:leader="none"/>
        </w:tabs>
        <w:spacing w:before="0"/>
        <w:ind w:left="681" w:right="0" w:firstLine="0"/>
        <w:jc w:val="left"/>
        <w:rPr>
          <w:rFonts w:ascii="宋体" w:hAnsi="宋体" w:cs="宋体" w:eastAsia="宋体" w:hint="default"/>
          <w:sz w:val="28"/>
          <w:szCs w:val="28"/>
        </w:rPr>
      </w:pPr>
      <w:r>
        <w:rPr>
          <w:rFonts w:ascii="宋体" w:hAnsi="宋体" w:cs="宋体" w:eastAsia="宋体" w:hint="default"/>
          <w:sz w:val="28"/>
          <w:szCs w:val="28"/>
        </w:rPr>
        <w:t>立信会计师事务所有限公司</w:t>
        <w:tab/>
        <w:t>中国注册会计师：钱志昂</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10"/>
        <w:rPr>
          <w:rFonts w:ascii="宋体" w:hAnsi="宋体" w:cs="宋体" w:eastAsia="宋体" w:hint="default"/>
          <w:sz w:val="25"/>
          <w:szCs w:val="25"/>
        </w:rPr>
      </w:pPr>
    </w:p>
    <w:p>
      <w:pPr>
        <w:spacing w:before="0"/>
        <w:ind w:left="4980" w:right="0" w:firstLine="0"/>
        <w:jc w:val="left"/>
        <w:rPr>
          <w:rFonts w:ascii="宋体" w:hAnsi="宋体" w:cs="宋体" w:eastAsia="宋体" w:hint="default"/>
          <w:sz w:val="28"/>
          <w:szCs w:val="28"/>
        </w:rPr>
      </w:pPr>
      <w:r>
        <w:rPr>
          <w:rFonts w:ascii="宋体" w:hAnsi="宋体" w:cs="宋体" w:eastAsia="宋体" w:hint="default"/>
          <w:sz w:val="28"/>
          <w:szCs w:val="28"/>
        </w:rPr>
        <w:t>中国注册会计师：姜丽君</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11"/>
        <w:rPr>
          <w:rFonts w:ascii="宋体" w:hAnsi="宋体" w:cs="宋体" w:eastAsia="宋体" w:hint="default"/>
          <w:sz w:val="25"/>
          <w:szCs w:val="25"/>
        </w:rPr>
      </w:pPr>
    </w:p>
    <w:p>
      <w:pPr>
        <w:tabs>
          <w:tab w:pos="5108" w:val="left" w:leader="none"/>
        </w:tabs>
        <w:spacing w:before="0"/>
        <w:ind w:left="1525" w:right="0" w:firstLine="0"/>
        <w:jc w:val="left"/>
        <w:rPr>
          <w:rFonts w:ascii="宋体" w:hAnsi="宋体" w:cs="宋体" w:eastAsia="宋体" w:hint="default"/>
          <w:sz w:val="28"/>
          <w:szCs w:val="28"/>
        </w:rPr>
      </w:pPr>
      <w:r>
        <w:rPr>
          <w:rFonts w:ascii="宋体" w:hAnsi="宋体" w:cs="宋体" w:eastAsia="宋体" w:hint="default"/>
          <w:w w:val="95"/>
          <w:sz w:val="28"/>
          <w:szCs w:val="28"/>
        </w:rPr>
        <w:t>中国</w:t>
      </w:r>
      <w:r>
        <w:rPr>
          <w:rFonts w:ascii="Times New Roman" w:hAnsi="Times New Roman" w:cs="Times New Roman" w:eastAsia="Times New Roman" w:hint="default"/>
          <w:b/>
          <w:bCs/>
          <w:w w:val="95"/>
          <w:sz w:val="28"/>
          <w:szCs w:val="28"/>
        </w:rPr>
        <w:t>·</w:t>
      </w:r>
      <w:r>
        <w:rPr>
          <w:rFonts w:ascii="宋体" w:hAnsi="宋体" w:cs="宋体" w:eastAsia="宋体" w:hint="default"/>
          <w:w w:val="95"/>
          <w:sz w:val="28"/>
          <w:szCs w:val="28"/>
        </w:rPr>
        <w:t>上海</w:t>
        <w:tab/>
      </w:r>
      <w:r>
        <w:rPr>
          <w:rFonts w:ascii="宋体" w:hAnsi="宋体" w:cs="宋体" w:eastAsia="宋体" w:hint="default"/>
          <w:sz w:val="28"/>
          <w:szCs w:val="28"/>
        </w:rPr>
        <w:t>二〇一〇年三月二十四日</w:t>
      </w:r>
    </w:p>
    <w:p>
      <w:pPr>
        <w:spacing w:after="0"/>
        <w:jc w:val="left"/>
        <w:rPr>
          <w:rFonts w:ascii="宋体" w:hAnsi="宋体" w:cs="宋体" w:eastAsia="宋体" w:hint="default"/>
          <w:sz w:val="28"/>
          <w:szCs w:val="28"/>
        </w:rPr>
        <w:sectPr>
          <w:headerReference w:type="default" r:id="rId17"/>
          <w:footerReference w:type="default" r:id="rId18"/>
          <w:pgSz w:w="11900" w:h="16840"/>
          <w:pgMar w:header="0" w:footer="1003" w:top="1600" w:bottom="1200" w:left="1680" w:right="1600"/>
          <w:pgNumType w:start="2"/>
        </w:sectPr>
      </w:pPr>
    </w:p>
    <w:p>
      <w:pPr>
        <w:spacing w:before="86"/>
        <w:ind w:left="2191" w:right="2538" w:firstLine="0"/>
        <w:jc w:val="center"/>
        <w:rPr>
          <w:rFonts w:ascii="宋体" w:hAnsi="宋体" w:cs="宋体" w:eastAsia="宋体" w:hint="default"/>
          <w:sz w:val="21"/>
          <w:szCs w:val="21"/>
        </w:rPr>
      </w:pPr>
      <w:r>
        <w:rPr>
          <w:rFonts w:ascii="宋体" w:hAnsi="宋体" w:cs="宋体" w:eastAsia="宋体" w:hint="default"/>
          <w:sz w:val="21"/>
          <w:szCs w:val="21"/>
        </w:rPr>
        <w:t>资产负债表</w:t>
      </w:r>
    </w:p>
    <w:p>
      <w:pPr>
        <w:spacing w:before="52"/>
        <w:ind w:left="2192" w:right="2538"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sz w:val="21"/>
          <w:szCs w:val="21"/>
        </w:rPr>
        <w:t>日</w:t>
      </w:r>
    </w:p>
    <w:p>
      <w:pPr>
        <w:spacing w:before="43"/>
        <w:ind w:left="2469" w:right="0" w:firstLine="0"/>
        <w:jc w:val="left"/>
        <w:rPr>
          <w:rFonts w:ascii="宋体" w:hAnsi="宋体" w:cs="宋体" w:eastAsia="宋体" w:hint="default"/>
          <w:sz w:val="21"/>
          <w:szCs w:val="21"/>
        </w:rPr>
      </w:pPr>
      <w:r>
        <w:rPr>
          <w:rFonts w:ascii="宋体" w:hAnsi="宋体" w:cs="宋体" w:eastAsia="宋体" w:hint="default"/>
          <w:sz w:val="21"/>
          <w:szCs w:val="21"/>
        </w:rPr>
        <w:t>（除特别注明外，金额单位均为人民币元）</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tbl>
      <w:tblPr>
        <w:tblW w:w="0" w:type="auto"/>
        <w:jc w:val="left"/>
        <w:tblInd w:w="112" w:type="dxa"/>
        <w:tblLayout w:type="fixed"/>
        <w:tblCellMar>
          <w:top w:w="0" w:type="dxa"/>
          <w:left w:w="0" w:type="dxa"/>
          <w:bottom w:w="0" w:type="dxa"/>
          <w:right w:w="0" w:type="dxa"/>
        </w:tblCellMar>
        <w:tblLook w:val="01E0"/>
      </w:tblPr>
      <w:tblGrid>
        <w:gridCol w:w="3542"/>
        <w:gridCol w:w="1063"/>
        <w:gridCol w:w="1962"/>
        <w:gridCol w:w="1961"/>
      </w:tblGrid>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tabs>
                <w:tab w:pos="539" w:val="left" w:leader="none"/>
              </w:tabs>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资</w:t>
              <w:tab/>
              <w:t>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附注十三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5" w:right="0"/>
              <w:jc w:val="left"/>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992,075,818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817,531,416</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436,360</w:t>
            </w: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1,470,000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2,406,500</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（一）</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376,659,759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364,139,488</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33,492,941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25,807,204</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（二）</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542,934,541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355,006,706</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79,714,102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2"/>
                <w:sz w:val="18"/>
              </w:rPr>
              <w:t>111,951,235</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127,516,721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124,255,736</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b/>
                <w:spacing w:val="-1"/>
                <w:sz w:val="18"/>
              </w:rPr>
              <w:t>2,154,300,242</w:t>
            </w:r>
            <w:r>
              <w:rPr>
                <w:rFonts w:ascii="Times New Roman"/>
                <w:spacing w:val="-1"/>
                <w:sz w:val="18"/>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1,801,098,285</w:t>
            </w:r>
            <w:r>
              <w:rPr>
                <w:rFonts w:ascii="Times New Roman"/>
                <w:spacing w:val="-1"/>
                <w:sz w:val="18"/>
              </w:rPr>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80,171,609</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pacing w:val="-1"/>
                <w:sz w:val="18"/>
              </w:rPr>
              <w:t>1,374,162,211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1,175,350,377</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316,542,128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289,371,026</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693,875,493</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541,876,149</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1,313,679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151,705,751</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127,237,269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112,869,146</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pacing w:val="-1"/>
                <w:sz w:val="18"/>
              </w:rPr>
              <w:t>11,320,803</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6,597,940</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26,980,920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21,194,104</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90"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b/>
                <w:spacing w:val="-1"/>
                <w:sz w:val="18"/>
              </w:rPr>
              <w:t>2,551,432,503</w:t>
            </w:r>
            <w:r>
              <w:rPr>
                <w:rFonts w:ascii="Times New Roman"/>
                <w:spacing w:val="-1"/>
                <w:sz w:val="18"/>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2,379,136,102</w:t>
            </w:r>
            <w:r>
              <w:rPr>
                <w:rFonts w:ascii="Times New Roman"/>
                <w:spacing w:val="-1"/>
                <w:sz w:val="18"/>
              </w:rPr>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b/>
                <w:spacing w:val="-1"/>
                <w:sz w:val="18"/>
              </w:rPr>
              <w:t>4,705,732,745</w:t>
            </w:r>
            <w:r>
              <w:rPr>
                <w:rFonts w:ascii="Times New Roman"/>
                <w:spacing w:val="-1"/>
                <w:sz w:val="18"/>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4,180,234,387</w:t>
            </w:r>
            <w:r>
              <w:rPr>
                <w:rFonts w:ascii="Times New Roman"/>
                <w:spacing w:val="-1"/>
                <w:sz w:val="18"/>
              </w:rPr>
            </w:r>
          </w:p>
        </w:tc>
      </w:tr>
    </w:tbl>
    <w:p>
      <w:pPr>
        <w:spacing w:line="240" w:lineRule="auto" w:before="1"/>
        <w:rPr>
          <w:rFonts w:ascii="宋体" w:hAnsi="宋体" w:cs="宋体" w:eastAsia="宋体" w:hint="default"/>
          <w:sz w:val="11"/>
          <w:szCs w:val="11"/>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3087" w:val="left" w:leader="none"/>
          <w:tab w:pos="6327" w:val="left" w:leader="none"/>
        </w:tabs>
        <w:spacing w:before="92"/>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主管会计工作负责人：王莉</w:t>
        <w:tab/>
        <w:t>会计机构负责人：陈雷</w:t>
      </w:r>
    </w:p>
    <w:p>
      <w:pPr>
        <w:spacing w:after="0"/>
        <w:jc w:val="left"/>
        <w:rPr>
          <w:rFonts w:ascii="宋体" w:hAnsi="宋体" w:cs="宋体" w:eastAsia="宋体" w:hint="default"/>
          <w:sz w:val="18"/>
          <w:szCs w:val="18"/>
        </w:rPr>
        <w:sectPr>
          <w:headerReference w:type="default" r:id="rId19"/>
          <w:footerReference w:type="default" r:id="rId20"/>
          <w:pgSz w:w="11900" w:h="16840"/>
          <w:pgMar w:header="1165" w:footer="1003" w:top="1320" w:bottom="1200" w:left="1680" w:right="1460"/>
          <w:pgNumType w:start="1"/>
        </w:sectPr>
      </w:pPr>
    </w:p>
    <w:p>
      <w:pPr>
        <w:spacing w:before="51"/>
        <w:ind w:left="2192" w:right="2538" w:firstLine="0"/>
        <w:jc w:val="center"/>
        <w:rPr>
          <w:rFonts w:ascii="宋体" w:hAnsi="宋体" w:cs="宋体" w:eastAsia="宋体" w:hint="default"/>
          <w:sz w:val="21"/>
          <w:szCs w:val="21"/>
        </w:rPr>
      </w:pPr>
      <w:r>
        <w:rPr>
          <w:rFonts w:ascii="宋体" w:hAnsi="宋体" w:cs="宋体" w:eastAsia="宋体" w:hint="default"/>
          <w:sz w:val="21"/>
          <w:szCs w:val="21"/>
        </w:rPr>
        <w:t>资产负债表（续）</w:t>
      </w:r>
    </w:p>
    <w:p>
      <w:pPr>
        <w:spacing w:before="52"/>
        <w:ind w:left="2192" w:right="2538"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sz w:val="21"/>
          <w:szCs w:val="21"/>
        </w:rPr>
        <w:t>日</w:t>
      </w:r>
    </w:p>
    <w:p>
      <w:pPr>
        <w:spacing w:before="35"/>
        <w:ind w:left="2192" w:right="2538" w:firstLine="0"/>
        <w:jc w:val="center"/>
        <w:rPr>
          <w:rFonts w:ascii="宋体" w:hAnsi="宋体" w:cs="宋体" w:eastAsia="宋体" w:hint="default"/>
          <w:sz w:val="21"/>
          <w:szCs w:val="21"/>
        </w:rPr>
      </w:pPr>
      <w:r>
        <w:rPr>
          <w:rFonts w:ascii="宋体" w:hAnsi="宋体" w:cs="宋体" w:eastAsia="宋体" w:hint="default"/>
          <w:sz w:val="21"/>
          <w:szCs w:val="21"/>
        </w:rPr>
        <w:t>（除特别注明外，金额单位均为人民币元）</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tbl>
      <w:tblPr>
        <w:tblW w:w="0" w:type="auto"/>
        <w:jc w:val="left"/>
        <w:tblInd w:w="112" w:type="dxa"/>
        <w:tblLayout w:type="fixed"/>
        <w:tblCellMar>
          <w:top w:w="0" w:type="dxa"/>
          <w:left w:w="0" w:type="dxa"/>
          <w:bottom w:w="0" w:type="dxa"/>
          <w:right w:w="0" w:type="dxa"/>
        </w:tblCellMar>
        <w:tblLook w:val="01E0"/>
      </w:tblPr>
      <w:tblGrid>
        <w:gridCol w:w="3542"/>
        <w:gridCol w:w="1063"/>
        <w:gridCol w:w="1962"/>
        <w:gridCol w:w="1961"/>
      </w:tblGrid>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16"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附注十三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5" w:right="0"/>
              <w:jc w:val="left"/>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8,760,139</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127,940,447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98,323,137</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342,571,865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250,639,934</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230,967,022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317,289,303</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126,350,257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134,757,138</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25,078,008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5,455,947</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289,346,700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292,014,031</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b/>
                <w:spacing w:val="-1"/>
                <w:sz w:val="18"/>
              </w:rPr>
              <w:t>1,142,254,299</w:t>
            </w:r>
            <w:r>
              <w:rPr>
                <w:rFonts w:ascii="Times New Roman"/>
                <w:spacing w:val="-1"/>
                <w:sz w:val="18"/>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1,107,239,629</w:t>
            </w:r>
            <w:r>
              <w:rPr>
                <w:rFonts w:ascii="Times New Roman"/>
                <w:spacing w:val="-1"/>
                <w:sz w:val="18"/>
              </w:rPr>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134,501,075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134,501,075</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9,720,249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8,038,304</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43,636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5,091,701</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99,268,184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56,780,454</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90"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b/>
                <w:sz w:val="18"/>
              </w:rPr>
              <w:t>243,533,144</w:t>
            </w:r>
            <w:r>
              <w:rPr>
                <w:rFonts w:ascii="Times New Roman"/>
                <w:sz w:val="18"/>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204,411,534</w:t>
            </w:r>
            <w:r>
              <w:rPr>
                <w:rFonts w:ascii="Times New Roman"/>
                <w:spacing w:val="-1"/>
                <w:sz w:val="18"/>
              </w:rPr>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b/>
                <w:spacing w:val="-1"/>
                <w:sz w:val="18"/>
              </w:rPr>
              <w:t>1,385,787,443</w:t>
            </w:r>
            <w:r>
              <w:rPr>
                <w:rFonts w:ascii="Times New Roman"/>
                <w:spacing w:val="-1"/>
                <w:sz w:val="18"/>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1,311,651,163</w:t>
            </w:r>
            <w:r>
              <w:rPr>
                <w:rFonts w:ascii="Times New Roman"/>
                <w:spacing w:val="-1"/>
                <w:sz w:val="18"/>
              </w:rPr>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944,303,265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944,303,265</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636,352,865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682,178,177</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492,325,123</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417,747,014</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pacing w:val="-1"/>
                <w:sz w:val="18"/>
              </w:rPr>
              <w:t>1,246,964,049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824,354,768</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b/>
                <w:spacing w:val="-1"/>
                <w:sz w:val="18"/>
              </w:rPr>
              <w:t>3,319,945,302</w:t>
            </w:r>
            <w:r>
              <w:rPr>
                <w:rFonts w:ascii="Times New Roman"/>
                <w:spacing w:val="-1"/>
                <w:sz w:val="18"/>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2,868,583,224</w:t>
            </w:r>
            <w:r>
              <w:rPr>
                <w:rFonts w:ascii="Times New Roman"/>
                <w:spacing w:val="-1"/>
                <w:sz w:val="18"/>
              </w:rPr>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负债和所有者权益（或股东权益）总计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90" w:right="0"/>
              <w:jc w:val="center"/>
              <w:rPr>
                <w:rFonts w:ascii="宋体" w:hAnsi="宋体" w:cs="宋体" w:eastAsia="宋体" w:hint="default"/>
                <w:sz w:val="18"/>
                <w:szCs w:val="18"/>
              </w:rPr>
            </w:pPr>
            <w:r>
              <w:rPr>
                <w:rFonts w:ascii="宋体"/>
                <w:sz w:val="18"/>
              </w:rPr>
              <w:t> </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b/>
                <w:spacing w:val="-1"/>
                <w:sz w:val="18"/>
              </w:rPr>
              <w:t>4,705,732,745</w:t>
            </w:r>
            <w:r>
              <w:rPr>
                <w:rFonts w:ascii="Times New Roman"/>
                <w:spacing w:val="-1"/>
                <w:sz w:val="18"/>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4,180,234,387</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footerReference w:type="default" r:id="rId21"/>
          <w:pgSz w:w="11900" w:h="16840"/>
          <w:pgMar w:footer="2203" w:header="1165" w:top="1360" w:bottom="2400" w:left="1680" w:right="1460"/>
          <w:pgNumType w:start="2"/>
        </w:sectPr>
      </w:pPr>
    </w:p>
    <w:p>
      <w:pPr>
        <w:spacing w:line="250" w:lineRule="exact" w:before="0"/>
        <w:ind w:left="2191" w:right="2538" w:firstLine="0"/>
        <w:jc w:val="center"/>
        <w:rPr>
          <w:rFonts w:ascii="宋体" w:hAnsi="宋体" w:cs="宋体" w:eastAsia="宋体" w:hint="default"/>
          <w:sz w:val="21"/>
          <w:szCs w:val="21"/>
        </w:rPr>
      </w:pPr>
      <w:r>
        <w:rPr>
          <w:rFonts w:ascii="宋体" w:hAnsi="宋体" w:cs="宋体" w:eastAsia="宋体" w:hint="default"/>
          <w:sz w:val="21"/>
          <w:szCs w:val="21"/>
        </w:rPr>
        <w:t>合并资产负债表</w:t>
      </w:r>
    </w:p>
    <w:p>
      <w:pPr>
        <w:spacing w:line="288" w:lineRule="exact" w:before="0"/>
        <w:ind w:left="2191" w:right="2538"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宋体" w:hAnsi="宋体" w:cs="宋体" w:eastAsia="宋体" w:hint="default"/>
          <w:sz w:val="21"/>
          <w:szCs w:val="21"/>
        </w:rPr>
        <w:t>年</w:t>
      </w:r>
      <w:r>
        <w:rPr>
          <w:rFonts w:ascii="Times New Roman" w:hAnsi="Times New Roman" w:cs="Times New Roman" w:eastAsia="Times New Roman" w:hint="default"/>
          <w:b/>
          <w:bCs/>
          <w:sz w:val="21"/>
          <w:szCs w:val="21"/>
        </w:rPr>
        <w:t>12</w:t>
      </w:r>
      <w:r>
        <w:rPr>
          <w:rFonts w:ascii="宋体" w:hAnsi="宋体" w:cs="宋体" w:eastAsia="宋体" w:hint="default"/>
          <w:sz w:val="21"/>
          <w:szCs w:val="21"/>
        </w:rPr>
        <w:t>月</w:t>
      </w:r>
      <w:r>
        <w:rPr>
          <w:rFonts w:ascii="Times New Roman" w:hAnsi="Times New Roman" w:cs="Times New Roman" w:eastAsia="Times New Roman" w:hint="default"/>
          <w:b/>
          <w:bCs/>
          <w:sz w:val="21"/>
          <w:szCs w:val="21"/>
        </w:rPr>
        <w:t>31</w:t>
      </w:r>
      <w:r>
        <w:rPr>
          <w:rFonts w:ascii="宋体" w:hAnsi="宋体" w:cs="宋体" w:eastAsia="宋体" w:hint="default"/>
          <w:sz w:val="21"/>
          <w:szCs w:val="21"/>
        </w:rPr>
        <w:t>日</w:t>
      </w:r>
    </w:p>
    <w:p>
      <w:pPr>
        <w:spacing w:before="2"/>
        <w:ind w:left="2192" w:right="2538" w:firstLine="0"/>
        <w:jc w:val="center"/>
        <w:rPr>
          <w:rFonts w:ascii="宋体" w:hAnsi="宋体" w:cs="宋体" w:eastAsia="宋体" w:hint="default"/>
          <w:sz w:val="21"/>
          <w:szCs w:val="21"/>
        </w:rPr>
      </w:pPr>
      <w:r>
        <w:rPr>
          <w:rFonts w:ascii="宋体" w:hAnsi="宋体" w:cs="宋体" w:eastAsia="宋体" w:hint="default"/>
          <w:sz w:val="21"/>
          <w:szCs w:val="21"/>
        </w:rPr>
        <w:t>（除特别注明外，金额单位均为人民币元）</w:t>
      </w:r>
    </w:p>
    <w:p>
      <w:pPr>
        <w:spacing w:line="240" w:lineRule="auto" w:before="7"/>
        <w:rPr>
          <w:rFonts w:ascii="宋体" w:hAnsi="宋体" w:cs="宋体" w:eastAsia="宋体" w:hint="default"/>
          <w:sz w:val="22"/>
          <w:szCs w:val="22"/>
        </w:rPr>
      </w:pPr>
    </w:p>
    <w:tbl>
      <w:tblPr>
        <w:tblW w:w="0" w:type="auto"/>
        <w:jc w:val="left"/>
        <w:tblInd w:w="112" w:type="dxa"/>
        <w:tblLayout w:type="fixed"/>
        <w:tblCellMar>
          <w:top w:w="0" w:type="dxa"/>
          <w:left w:w="0" w:type="dxa"/>
          <w:bottom w:w="0" w:type="dxa"/>
          <w:right w:w="0" w:type="dxa"/>
        </w:tblCellMar>
        <w:tblLook w:val="01E0"/>
      </w:tblPr>
      <w:tblGrid>
        <w:gridCol w:w="2132"/>
        <w:gridCol w:w="2131"/>
        <w:gridCol w:w="2132"/>
        <w:gridCol w:w="2132"/>
      </w:tblGrid>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tabs>
                <w:tab w:pos="1240" w:val="left" w:leader="none"/>
              </w:tabs>
              <w:spacing w:line="240" w:lineRule="auto" w:before="5"/>
              <w:ind w:left="700" w:right="0"/>
              <w:jc w:val="left"/>
              <w:rPr>
                <w:rFonts w:ascii="宋体" w:hAnsi="宋体" w:cs="宋体" w:eastAsia="宋体" w:hint="default"/>
                <w:sz w:val="18"/>
                <w:szCs w:val="18"/>
              </w:rPr>
            </w:pPr>
            <w:r>
              <w:rPr>
                <w:rFonts w:ascii="宋体" w:hAnsi="宋体" w:cs="宋体" w:eastAsia="宋体" w:hint="default"/>
                <w:sz w:val="18"/>
                <w:szCs w:val="18"/>
              </w:rPr>
              <w:t>资</w:t>
              <w:tab/>
              <w:t>产</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附注五</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0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00" w:right="0"/>
              <w:jc w:val="left"/>
              <w:rPr>
                <w:rFonts w:ascii="宋体" w:hAnsi="宋体" w:cs="宋体" w:eastAsia="宋体" w:hint="default"/>
                <w:sz w:val="18"/>
                <w:szCs w:val="18"/>
              </w:rPr>
            </w:pPr>
            <w:r>
              <w:rPr>
                <w:rFonts w:ascii="宋体" w:hAnsi="宋体" w:cs="宋体" w:eastAsia="宋体" w:hint="default"/>
                <w:sz w:val="18"/>
                <w:szCs w:val="18"/>
              </w:rPr>
              <w:t>期初余额</w:t>
            </w:r>
          </w:p>
        </w:tc>
      </w:tr>
      <w:tr>
        <w:trPr>
          <w:trHeight w:val="281"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（一）</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pacing w:val="-1"/>
                <w:sz w:val="18"/>
              </w:rPr>
              <w:t>1,617,967,716</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pacing w:val="-1"/>
                <w:sz w:val="18"/>
              </w:rPr>
              <w:t>1,157,146,702</w:t>
            </w: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（二）</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436,360</w:t>
            </w: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（三）</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56,402,570</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29,721,864</w:t>
            </w:r>
          </w:p>
        </w:tc>
      </w:tr>
      <w:tr>
        <w:trPr>
          <w:trHeight w:val="281"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（四）</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729,987,044</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700,347,979</w:t>
            </w: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（六）</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37,435,226</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27,921,053</w:t>
            </w: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（五）</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99,322,526</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97,288,822</w:t>
            </w: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（七）</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297,282,431</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338,795,036</w:t>
            </w:r>
          </w:p>
        </w:tc>
      </w:tr>
      <w:tr>
        <w:trPr>
          <w:trHeight w:val="55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before="5"/>
              <w:ind w:left="103" w:right="89" w:firstLine="180"/>
              <w:jc w:val="left"/>
              <w:rPr>
                <w:rFonts w:ascii="宋体" w:hAnsi="宋体" w:cs="宋体" w:eastAsia="宋体" w:hint="default"/>
                <w:sz w:val="18"/>
                <w:szCs w:val="18"/>
              </w:rPr>
            </w:pPr>
            <w:r>
              <w:rPr>
                <w:rFonts w:ascii="宋体" w:hAnsi="宋体" w:cs="宋体" w:eastAsia="宋体" w:hint="default"/>
                <w:spacing w:val="14"/>
                <w:sz w:val="18"/>
                <w:szCs w:val="18"/>
              </w:rPr>
              <w:t>一年内到期的非流动 </w:t>
            </w:r>
            <w:r>
              <w:rPr>
                <w:rFonts w:ascii="宋体" w:hAnsi="宋体" w:cs="宋体" w:eastAsia="宋体" w:hint="default"/>
                <w:sz w:val="18"/>
                <w:szCs w:val="18"/>
              </w:rPr>
              <w:t>资产</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（八）</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pacing w:val="-1"/>
                <w:sz w:val="18"/>
              </w:rPr>
              <w:t>11,315,635</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10,067,916</w:t>
            </w:r>
          </w:p>
        </w:tc>
      </w:tr>
      <w:tr>
        <w:trPr>
          <w:trHeight w:val="281"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b/>
                <w:spacing w:val="-1"/>
                <w:sz w:val="18"/>
              </w:rPr>
              <w:t>2,850,149,508</w:t>
            </w:r>
            <w:r>
              <w:rPr>
                <w:rFonts w:ascii="Times New Roman"/>
                <w:spacing w:val="-1"/>
                <w:sz w:val="18"/>
              </w:rPr>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b/>
                <w:spacing w:val="-1"/>
                <w:sz w:val="18"/>
              </w:rPr>
              <w:t>2,361,289,372</w:t>
            </w:r>
            <w:r>
              <w:rPr>
                <w:rFonts w:ascii="Times New Roman"/>
                <w:spacing w:val="-1"/>
                <w:sz w:val="18"/>
              </w:rPr>
            </w: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93"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（九）</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80,171,609</w:t>
            </w: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（十）</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154,338,369</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254,967,168</w:t>
            </w:r>
          </w:p>
        </w:tc>
      </w:tr>
      <w:tr>
        <w:trPr>
          <w:trHeight w:val="281"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00" w:right="0"/>
              <w:jc w:val="left"/>
              <w:rPr>
                <w:rFonts w:ascii="宋体" w:hAnsi="宋体" w:cs="宋体" w:eastAsia="宋体" w:hint="default"/>
                <w:sz w:val="18"/>
                <w:szCs w:val="18"/>
              </w:rPr>
            </w:pPr>
            <w:r>
              <w:rPr>
                <w:rFonts w:ascii="宋体" w:hAnsi="宋体" w:cs="宋体" w:eastAsia="宋体" w:hint="default"/>
                <w:sz w:val="18"/>
                <w:szCs w:val="18"/>
              </w:rPr>
              <w:t>（十二）</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577,887,360</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573,463,670</w:t>
            </w: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00" w:right="0"/>
              <w:jc w:val="left"/>
              <w:rPr>
                <w:rFonts w:ascii="宋体" w:hAnsi="宋体" w:cs="宋体" w:eastAsia="宋体" w:hint="default"/>
                <w:sz w:val="18"/>
                <w:szCs w:val="18"/>
              </w:rPr>
            </w:pPr>
            <w:r>
              <w:rPr>
                <w:rFonts w:ascii="宋体" w:hAnsi="宋体" w:cs="宋体" w:eastAsia="宋体" w:hint="default"/>
                <w:sz w:val="18"/>
                <w:szCs w:val="18"/>
              </w:rPr>
              <w:t>（十三）</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561,655,794</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539,641,206</w:t>
            </w: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00" w:right="0"/>
              <w:jc w:val="left"/>
              <w:rPr>
                <w:rFonts w:ascii="宋体" w:hAnsi="宋体" w:cs="宋体" w:eastAsia="宋体" w:hint="default"/>
                <w:sz w:val="18"/>
                <w:szCs w:val="18"/>
              </w:rPr>
            </w:pPr>
            <w:r>
              <w:rPr>
                <w:rFonts w:ascii="宋体" w:hAnsi="宋体" w:cs="宋体" w:eastAsia="宋体" w:hint="default"/>
                <w:sz w:val="18"/>
                <w:szCs w:val="18"/>
              </w:rPr>
              <w:t>（十四）</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pacing w:val="-1"/>
                <w:sz w:val="18"/>
              </w:rPr>
              <w:t>1,475,833,486</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pacing w:val="-1"/>
                <w:sz w:val="18"/>
              </w:rPr>
              <w:t>1,162,364,043</w:t>
            </w:r>
          </w:p>
        </w:tc>
      </w:tr>
      <w:tr>
        <w:trPr>
          <w:trHeight w:val="281"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00" w:right="0"/>
              <w:jc w:val="left"/>
              <w:rPr>
                <w:rFonts w:ascii="宋体" w:hAnsi="宋体" w:cs="宋体" w:eastAsia="宋体" w:hint="default"/>
                <w:sz w:val="18"/>
                <w:szCs w:val="18"/>
              </w:rPr>
            </w:pPr>
            <w:r>
              <w:rPr>
                <w:rFonts w:ascii="宋体" w:hAnsi="宋体" w:cs="宋体" w:eastAsia="宋体" w:hint="default"/>
                <w:sz w:val="18"/>
                <w:szCs w:val="18"/>
              </w:rPr>
              <w:t>（十五）</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6,743,945</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223,268,190</w:t>
            </w: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00" w:right="0"/>
              <w:jc w:val="left"/>
              <w:rPr>
                <w:rFonts w:ascii="宋体" w:hAnsi="宋体" w:cs="宋体" w:eastAsia="宋体" w:hint="default"/>
                <w:sz w:val="18"/>
                <w:szCs w:val="18"/>
              </w:rPr>
            </w:pPr>
            <w:r>
              <w:rPr>
                <w:rFonts w:ascii="宋体" w:hAnsi="宋体" w:cs="宋体" w:eastAsia="宋体" w:hint="default"/>
                <w:sz w:val="18"/>
                <w:szCs w:val="18"/>
              </w:rPr>
              <w:t>（十六）</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395,903,268</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321,093,940</w:t>
            </w:r>
          </w:p>
        </w:tc>
      </w:tr>
      <w:tr>
        <w:trPr>
          <w:trHeight w:val="281"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00" w:right="0"/>
              <w:jc w:val="left"/>
              <w:rPr>
                <w:rFonts w:ascii="宋体" w:hAnsi="宋体" w:cs="宋体" w:eastAsia="宋体" w:hint="default"/>
                <w:sz w:val="18"/>
                <w:szCs w:val="18"/>
              </w:rPr>
            </w:pPr>
            <w:r>
              <w:rPr>
                <w:rFonts w:ascii="宋体" w:hAnsi="宋体" w:cs="宋体" w:eastAsia="宋体" w:hint="default"/>
                <w:sz w:val="18"/>
                <w:szCs w:val="18"/>
              </w:rPr>
              <w:t>（十七）</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101,619,083</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5,740,965</w:t>
            </w: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00" w:right="0"/>
              <w:jc w:val="left"/>
              <w:rPr>
                <w:rFonts w:ascii="宋体" w:hAnsi="宋体" w:cs="宋体" w:eastAsia="宋体" w:hint="default"/>
                <w:sz w:val="18"/>
                <w:szCs w:val="18"/>
              </w:rPr>
            </w:pPr>
            <w:r>
              <w:rPr>
                <w:rFonts w:ascii="宋体" w:hAnsi="宋体" w:cs="宋体" w:eastAsia="宋体" w:hint="default"/>
                <w:sz w:val="18"/>
                <w:szCs w:val="18"/>
              </w:rPr>
              <w:t>（十八）</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51,001,455</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45,985,685</w:t>
            </w:r>
          </w:p>
        </w:tc>
      </w:tr>
      <w:tr>
        <w:trPr>
          <w:trHeight w:val="281"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00" w:right="0"/>
              <w:jc w:val="left"/>
              <w:rPr>
                <w:rFonts w:ascii="宋体" w:hAnsi="宋体" w:cs="宋体" w:eastAsia="宋体" w:hint="default"/>
                <w:sz w:val="18"/>
                <w:szCs w:val="18"/>
              </w:rPr>
            </w:pPr>
            <w:r>
              <w:rPr>
                <w:rFonts w:ascii="宋体" w:hAnsi="宋体" w:cs="宋体" w:eastAsia="宋体" w:hint="default"/>
                <w:sz w:val="18"/>
                <w:szCs w:val="18"/>
              </w:rPr>
              <w:t>（十九）</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33,915,703</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z w:val="18"/>
              </w:rPr>
              <w:t>24,989,044</w:t>
            </w: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
        </w:tc>
        <w:tc>
          <w:tcPr>
            <w:tcW w:w="2132"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b/>
                <w:spacing w:val="-1"/>
                <w:sz w:val="18"/>
              </w:rPr>
              <w:t>3,358,898,463</w:t>
            </w:r>
            <w:r>
              <w:rPr>
                <w:rFonts w:ascii="Times New Roman"/>
                <w:spacing w:val="-1"/>
                <w:sz w:val="18"/>
              </w:rPr>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b/>
                <w:spacing w:val="-1"/>
                <w:sz w:val="18"/>
              </w:rPr>
              <w:t>3,231,685,520</w:t>
            </w:r>
            <w:r>
              <w:rPr>
                <w:rFonts w:ascii="Times New Roman"/>
                <w:spacing w:val="-1"/>
                <w:sz w:val="18"/>
              </w:rPr>
            </w:r>
          </w:p>
        </w:tc>
      </w:tr>
      <w:tr>
        <w:trPr>
          <w:trHeight w:val="281" w:hRule="exact"/>
        </w:trPr>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sz w:val="18"/>
              </w:rPr>
              <w:t> </w:t>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b/>
                <w:spacing w:val="-1"/>
                <w:sz w:val="18"/>
              </w:rPr>
              <w:t>6,209,047,971</w:t>
            </w:r>
            <w:r>
              <w:rPr>
                <w:rFonts w:ascii="Times New Roman"/>
                <w:spacing w:val="-1"/>
                <w:sz w:val="18"/>
              </w:rPr>
            </w:r>
          </w:p>
        </w:tc>
        <w:tc>
          <w:tcPr>
            <w:tcW w:w="2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b/>
                <w:spacing w:val="-1"/>
                <w:sz w:val="18"/>
              </w:rPr>
              <w:t>5,592,974,892</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00" w:h="16840"/>
          <w:pgMar w:header="1165" w:footer="2203" w:top="1360" w:bottom="2400" w:left="1680" w:right="1460"/>
        </w:sectPr>
      </w:pPr>
    </w:p>
    <w:p>
      <w:pPr>
        <w:spacing w:before="51"/>
        <w:ind w:left="2192" w:right="2538" w:firstLine="0"/>
        <w:jc w:val="center"/>
        <w:rPr>
          <w:rFonts w:ascii="宋体" w:hAnsi="宋体" w:cs="宋体" w:eastAsia="宋体" w:hint="default"/>
          <w:sz w:val="21"/>
          <w:szCs w:val="21"/>
        </w:rPr>
      </w:pPr>
      <w:r>
        <w:rPr>
          <w:rFonts w:ascii="宋体" w:hAnsi="宋体" w:cs="宋体" w:eastAsia="宋体" w:hint="default"/>
          <w:sz w:val="21"/>
          <w:szCs w:val="21"/>
        </w:rPr>
        <w:t>合并资产负债表（续）</w:t>
      </w:r>
    </w:p>
    <w:p>
      <w:pPr>
        <w:spacing w:before="52"/>
        <w:ind w:left="2192" w:right="2538"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sz w:val="21"/>
          <w:szCs w:val="21"/>
        </w:rPr>
        <w:t>日</w:t>
      </w:r>
    </w:p>
    <w:p>
      <w:pPr>
        <w:spacing w:before="55"/>
        <w:ind w:left="2192" w:right="2538" w:firstLine="0"/>
        <w:jc w:val="center"/>
        <w:rPr>
          <w:rFonts w:ascii="宋体" w:hAnsi="宋体" w:cs="宋体" w:eastAsia="宋体" w:hint="default"/>
          <w:sz w:val="21"/>
          <w:szCs w:val="21"/>
        </w:rPr>
      </w:pPr>
      <w:r>
        <w:rPr>
          <w:rFonts w:ascii="宋体" w:hAnsi="宋体" w:cs="宋体" w:eastAsia="宋体" w:hint="default"/>
          <w:sz w:val="21"/>
          <w:szCs w:val="21"/>
        </w:rPr>
        <w:t>（除特别注明外，金额单位均为人民币元）</w:t>
      </w:r>
    </w:p>
    <w:p>
      <w:pPr>
        <w:spacing w:line="240" w:lineRule="auto" w:before="4"/>
        <w:rPr>
          <w:rFonts w:ascii="宋体" w:hAnsi="宋体" w:cs="宋体" w:eastAsia="宋体" w:hint="default"/>
          <w:sz w:val="22"/>
          <w:szCs w:val="22"/>
        </w:rPr>
      </w:pPr>
    </w:p>
    <w:tbl>
      <w:tblPr>
        <w:tblW w:w="0" w:type="auto"/>
        <w:jc w:val="left"/>
        <w:tblInd w:w="112" w:type="dxa"/>
        <w:tblLayout w:type="fixed"/>
        <w:tblCellMar>
          <w:top w:w="0" w:type="dxa"/>
          <w:left w:w="0" w:type="dxa"/>
          <w:bottom w:w="0" w:type="dxa"/>
          <w:right w:w="0" w:type="dxa"/>
        </w:tblCellMar>
        <w:tblLook w:val="01E0"/>
      </w:tblPr>
      <w:tblGrid>
        <w:gridCol w:w="3542"/>
        <w:gridCol w:w="1063"/>
        <w:gridCol w:w="1962"/>
        <w:gridCol w:w="1961"/>
      </w:tblGrid>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16"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5" w:right="0"/>
              <w:jc w:val="left"/>
              <w:rPr>
                <w:rFonts w:ascii="宋体" w:hAnsi="宋体" w:cs="宋体" w:eastAsia="宋体" w:hint="default"/>
                <w:sz w:val="18"/>
                <w:szCs w:val="18"/>
              </w:rPr>
            </w:pPr>
            <w:r>
              <w:rPr>
                <w:rFonts w:ascii="宋体" w:hAnsi="宋体" w:cs="宋体" w:eastAsia="宋体" w:hint="default"/>
                <w:sz w:val="18"/>
                <w:szCs w:val="18"/>
              </w:rPr>
              <w:t>期初余额</w:t>
            </w:r>
          </w:p>
        </w:tc>
      </w:tr>
      <w:tr>
        <w:trPr>
          <w:trHeight w:val="3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（二十一）</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8,760,139</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（二十二）</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127,940,447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98,323,137</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（二十三）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483,804,916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373,325,540</w:t>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（二十四）</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297,682,595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364,598,887</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（二十五）</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183,095,407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153,550,020</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（二十六）</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40,490,287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27,147,013</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4"/>
              <w:jc w:val="right"/>
              <w:rPr>
                <w:rFonts w:ascii="Times New Roman" w:hAnsi="Times New Roman" w:cs="Times New Roman" w:eastAsia="Times New Roman" w:hint="default"/>
                <w:sz w:val="16"/>
                <w:szCs w:val="16"/>
              </w:rPr>
            </w:pPr>
            <w:r>
              <w:rPr>
                <w:rFonts w:ascii="Times New Roman"/>
                <w:spacing w:val="-1"/>
                <w:sz w:val="16"/>
              </w:rPr>
              <w:t>275,880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487,988</w:t>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（二十七）</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156,241,086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140,991,435</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30,000,000</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（二十九）</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8,929,270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21,989,144</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b/>
                <w:spacing w:val="-1"/>
                <w:sz w:val="16"/>
              </w:rPr>
              <w:t>1,298,459,888</w:t>
            </w:r>
            <w:r>
              <w:rPr>
                <w:rFonts w:ascii="Times New Roman"/>
                <w:spacing w:val="-1"/>
                <w:sz w:val="16"/>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b/>
                <w:spacing w:val="-1"/>
                <w:sz w:val="16"/>
              </w:rPr>
              <w:t>1,219,173,303</w:t>
            </w:r>
            <w:r>
              <w:rPr>
                <w:rFonts w:ascii="Times New Roman"/>
                <w:spacing w:val="-1"/>
                <w:sz w:val="16"/>
              </w:rPr>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（三十）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152,000,000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275,000,000</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（三十一）</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306,541,577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304,413,857</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（二十八）</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12,428,018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10,892,740</w:t>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（十九）</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4"/>
              <w:jc w:val="right"/>
              <w:rPr>
                <w:rFonts w:ascii="Times New Roman" w:hAnsi="Times New Roman" w:cs="Times New Roman" w:eastAsia="Times New Roman" w:hint="default"/>
                <w:sz w:val="16"/>
                <w:szCs w:val="16"/>
              </w:rPr>
            </w:pPr>
            <w:r>
              <w:rPr>
                <w:rFonts w:ascii="Times New Roman"/>
                <w:spacing w:val="-1"/>
                <w:sz w:val="16"/>
              </w:rPr>
              <w:t>2,642,684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7,899,285</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（三十二）</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164,085,078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w w:val="95"/>
                <w:sz w:val="16"/>
              </w:rPr>
              <w:t>112,369,458</w:t>
            </w:r>
            <w:r>
              <w:rPr>
                <w:rFonts w:ascii="Times New Roman"/>
                <w:spacing w:val="-1"/>
                <w:sz w:val="16"/>
              </w:rPr>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b/>
                <w:spacing w:val="-1"/>
                <w:sz w:val="16"/>
              </w:rPr>
              <w:t>637,697,357</w:t>
            </w:r>
            <w:r>
              <w:rPr>
                <w:rFonts w:ascii="Times New Roman"/>
                <w:spacing w:val="-1"/>
                <w:sz w:val="16"/>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b/>
                <w:spacing w:val="-1"/>
                <w:sz w:val="16"/>
              </w:rPr>
              <w:t>710,575,340</w:t>
            </w:r>
            <w:r>
              <w:rPr>
                <w:rFonts w:ascii="Times New Roman"/>
                <w:spacing w:val="-1"/>
                <w:sz w:val="16"/>
              </w:rPr>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b/>
                <w:spacing w:val="-1"/>
                <w:sz w:val="16"/>
              </w:rPr>
              <w:t>1,936,157,245</w:t>
            </w:r>
            <w:r>
              <w:rPr>
                <w:rFonts w:ascii="Times New Roman"/>
                <w:spacing w:val="-1"/>
                <w:sz w:val="16"/>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b/>
                <w:spacing w:val="-1"/>
                <w:sz w:val="16"/>
              </w:rPr>
              <w:t>1,929,748,643</w:t>
            </w:r>
            <w:r>
              <w:rPr>
                <w:rFonts w:ascii="Times New Roman"/>
                <w:spacing w:val="-1"/>
                <w:sz w:val="16"/>
              </w:rPr>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（三十三）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944,303,265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944,303,265</w:t>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（三十四）</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646,365,703</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w w:val="95"/>
                <w:sz w:val="16"/>
              </w:rPr>
              <w:t>692,119,071</w:t>
            </w:r>
            <w:r>
              <w:rPr>
                <w:rFonts w:ascii="Times New Roman"/>
                <w:spacing w:val="-1"/>
                <w:sz w:val="16"/>
              </w:rPr>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（三十五）</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500,615,375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417,747,014</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6"/>
                <w:szCs w:val="16"/>
              </w:rPr>
            </w:pPr>
            <w:r>
              <w:rPr>
                <w:rFonts w:ascii="宋体" w:hAnsi="宋体" w:cs="宋体" w:eastAsia="宋体" w:hint="default"/>
                <w:sz w:val="16"/>
                <w:szCs w:val="16"/>
              </w:rPr>
              <w:t>（三十六）</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1,925,100,542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1,367,404,869</w:t>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4"/>
              <w:jc w:val="right"/>
              <w:rPr>
                <w:rFonts w:ascii="Times New Roman" w:hAnsi="Times New Roman" w:cs="Times New Roman" w:eastAsia="Times New Roman" w:hint="default"/>
                <w:sz w:val="16"/>
                <w:szCs w:val="16"/>
              </w:rPr>
            </w:pPr>
            <w:r>
              <w:rPr>
                <w:rFonts w:ascii="Times New Roman"/>
                <w:spacing w:val="-1"/>
                <w:sz w:val="16"/>
              </w:rPr>
              <w:t>-18,822,208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-14,102,004</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3,997,562,677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3,407,472,215</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28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spacing w:val="-1"/>
                <w:sz w:val="16"/>
              </w:rPr>
              <w:t>275,328,049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spacing w:val="-1"/>
                <w:sz w:val="16"/>
              </w:rPr>
              <w:t>255,754,034</w:t>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b/>
                <w:spacing w:val="-1"/>
                <w:sz w:val="16"/>
              </w:rPr>
              <w:t>4,272,890,726</w:t>
            </w:r>
            <w:r>
              <w:rPr>
                <w:rFonts w:ascii="Times New Roman"/>
                <w:spacing w:val="-1"/>
                <w:sz w:val="16"/>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b/>
                <w:spacing w:val="-1"/>
                <w:sz w:val="16"/>
              </w:rPr>
              <w:t>3,663,226,249</w:t>
            </w:r>
            <w:r>
              <w:rPr>
                <w:rFonts w:ascii="Times New Roman"/>
                <w:spacing w:val="-1"/>
                <w:sz w:val="16"/>
              </w:rPr>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负债和所有者权益（或股东权益）总计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79" w:right="0"/>
              <w:jc w:val="center"/>
              <w:rPr>
                <w:rFonts w:ascii="宋体" w:hAnsi="宋体" w:cs="宋体" w:eastAsia="宋体" w:hint="default"/>
                <w:sz w:val="16"/>
                <w:szCs w:val="16"/>
              </w:rPr>
            </w:pPr>
            <w:r>
              <w:rPr>
                <w:rFonts w:ascii="宋体"/>
                <w:w w:val="99"/>
                <w:sz w:val="16"/>
              </w:rPr>
              <w:t> </w:t>
            </w:r>
            <w:r>
              <w:rPr>
                <w:rFonts w:ascii="宋体"/>
                <w:sz w:val="16"/>
              </w:rPr>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2"/>
              <w:jc w:val="right"/>
              <w:rPr>
                <w:rFonts w:ascii="Times New Roman" w:hAnsi="Times New Roman" w:cs="Times New Roman" w:eastAsia="Times New Roman" w:hint="default"/>
                <w:sz w:val="16"/>
                <w:szCs w:val="16"/>
              </w:rPr>
            </w:pPr>
            <w:r>
              <w:rPr>
                <w:rFonts w:ascii="Times New Roman"/>
                <w:b/>
                <w:spacing w:val="-1"/>
                <w:sz w:val="16"/>
              </w:rPr>
              <w:t>6,209,047,971</w:t>
            </w:r>
            <w:r>
              <w:rPr>
                <w:rFonts w:ascii="Times New Roman"/>
                <w:spacing w:val="-1"/>
                <w:sz w:val="16"/>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16"/>
                <w:szCs w:val="16"/>
              </w:rPr>
            </w:pPr>
            <w:r>
              <w:rPr>
                <w:rFonts w:ascii="Times New Roman"/>
                <w:b/>
                <w:spacing w:val="-1"/>
                <w:sz w:val="16"/>
              </w:rPr>
              <w:t>5,592,974,892</w:t>
            </w:r>
            <w:r>
              <w:rPr>
                <w:rFonts w:ascii="Times New Roman"/>
                <w:spacing w:val="-1"/>
                <w:sz w:val="16"/>
              </w:rPr>
            </w:r>
          </w:p>
        </w:tc>
      </w:tr>
    </w:tbl>
    <w:p>
      <w:pPr>
        <w:spacing w:line="240" w:lineRule="auto" w:before="7"/>
        <w:rPr>
          <w:rFonts w:ascii="宋体" w:hAnsi="宋体" w:cs="宋体" w:eastAsia="宋体" w:hint="default"/>
          <w:sz w:val="13"/>
          <w:szCs w:val="13"/>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after="0"/>
        <w:jc w:val="left"/>
        <w:rPr>
          <w:rFonts w:ascii="宋体" w:hAnsi="宋体" w:cs="宋体" w:eastAsia="宋体" w:hint="default"/>
          <w:sz w:val="18"/>
          <w:szCs w:val="18"/>
        </w:rPr>
        <w:sectPr>
          <w:footerReference w:type="default" r:id="rId22"/>
          <w:pgSz w:w="11900" w:h="16840"/>
          <w:pgMar w:footer="1562" w:header="1165" w:top="1360" w:bottom="1760" w:left="1680" w:right="1460"/>
        </w:sectPr>
      </w:pPr>
    </w:p>
    <w:p>
      <w:pPr>
        <w:spacing w:before="51"/>
        <w:ind w:left="2191" w:right="2538" w:firstLine="0"/>
        <w:jc w:val="center"/>
        <w:rPr>
          <w:rFonts w:ascii="宋体" w:hAnsi="宋体" w:cs="宋体" w:eastAsia="宋体" w:hint="default"/>
          <w:sz w:val="21"/>
          <w:szCs w:val="21"/>
        </w:rPr>
      </w:pPr>
      <w:r>
        <w:rPr>
          <w:rFonts w:ascii="宋体" w:hAnsi="宋体" w:cs="宋体" w:eastAsia="宋体" w:hint="default"/>
          <w:sz w:val="21"/>
          <w:szCs w:val="21"/>
        </w:rPr>
        <w:t>利润表</w:t>
      </w:r>
    </w:p>
    <w:p>
      <w:pPr>
        <w:spacing w:before="52"/>
        <w:ind w:left="2192" w:right="2536"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    </w:t>
      </w:r>
      <w:r>
        <w:rPr>
          <w:rFonts w:ascii="宋体" w:hAnsi="宋体" w:cs="宋体" w:eastAsia="宋体" w:hint="default"/>
          <w:sz w:val="21"/>
          <w:szCs w:val="21"/>
        </w:rPr>
        <w:t>年度</w:t>
      </w:r>
    </w:p>
    <w:p>
      <w:pPr>
        <w:spacing w:before="35"/>
        <w:ind w:left="2192" w:right="2538" w:firstLine="0"/>
        <w:jc w:val="center"/>
        <w:rPr>
          <w:rFonts w:ascii="宋体" w:hAnsi="宋体" w:cs="宋体" w:eastAsia="宋体" w:hint="default"/>
          <w:sz w:val="21"/>
          <w:szCs w:val="21"/>
        </w:rPr>
      </w:pPr>
      <w:r>
        <w:rPr>
          <w:rFonts w:ascii="宋体" w:hAnsi="宋体" w:cs="宋体" w:eastAsia="宋体" w:hint="default"/>
          <w:sz w:val="21"/>
          <w:szCs w:val="21"/>
        </w:rPr>
        <w:t>（除特别注明外，金额单位均为人民币元）</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2"/>
          <w:szCs w:val="12"/>
        </w:rPr>
      </w:pPr>
    </w:p>
    <w:tbl>
      <w:tblPr>
        <w:tblW w:w="0" w:type="auto"/>
        <w:jc w:val="left"/>
        <w:tblInd w:w="112" w:type="dxa"/>
        <w:tblLayout w:type="fixed"/>
        <w:tblCellMar>
          <w:top w:w="0" w:type="dxa"/>
          <w:left w:w="0" w:type="dxa"/>
          <w:bottom w:w="0" w:type="dxa"/>
          <w:right w:w="0" w:type="dxa"/>
        </w:tblCellMar>
        <w:tblLook w:val="01E0"/>
      </w:tblPr>
      <w:tblGrid>
        <w:gridCol w:w="4186"/>
        <w:gridCol w:w="980"/>
        <w:gridCol w:w="1679"/>
        <w:gridCol w:w="1680"/>
      </w:tblGrid>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
              <w:jc w:val="center"/>
              <w:rPr>
                <w:rFonts w:ascii="宋体" w:hAnsi="宋体" w:cs="宋体" w:eastAsia="宋体" w:hint="default"/>
                <w:sz w:val="18"/>
                <w:szCs w:val="18"/>
              </w:rPr>
            </w:pPr>
            <w:r>
              <w:rPr>
                <w:rFonts w:ascii="宋体" w:hAnsi="宋体" w:cs="宋体" w:eastAsia="宋体" w:hint="default"/>
                <w:sz w:val="18"/>
                <w:szCs w:val="18"/>
              </w:rPr>
              <w:t>附注十三</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7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74"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宋体" w:hAnsi="宋体" w:cs="宋体" w:eastAsia="宋体" w:hint="default"/>
                <w:sz w:val="18"/>
                <w:szCs w:val="18"/>
              </w:rPr>
            </w:pPr>
            <w:r>
              <w:rPr>
                <w:rFonts w:ascii="宋体" w:hAnsi="宋体" w:cs="宋体" w:eastAsia="宋体" w:hint="default"/>
                <w:sz w:val="18"/>
                <w:szCs w:val="18"/>
              </w:rPr>
              <w:t>（四）</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pacing w:val="-1"/>
                <w:sz w:val="18"/>
              </w:rPr>
              <w:t>2,722,818,174</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4"/>
              <w:jc w:val="right"/>
              <w:rPr>
                <w:rFonts w:ascii="Times New Roman" w:hAnsi="Times New Roman" w:cs="Times New Roman" w:eastAsia="Times New Roman" w:hint="default"/>
                <w:sz w:val="18"/>
                <w:szCs w:val="18"/>
              </w:rPr>
            </w:pPr>
            <w:r>
              <w:rPr>
                <w:rFonts w:ascii="Times New Roman"/>
                <w:spacing w:val="-1"/>
                <w:sz w:val="18"/>
              </w:rPr>
              <w:t>2,350,046,780</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63"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宋体" w:hAnsi="宋体" w:cs="宋体" w:eastAsia="宋体" w:hint="default"/>
                <w:sz w:val="18"/>
                <w:szCs w:val="18"/>
              </w:rPr>
            </w:pPr>
            <w:r>
              <w:rPr>
                <w:rFonts w:ascii="宋体" w:hAnsi="宋体" w:cs="宋体" w:eastAsia="宋体" w:hint="default"/>
                <w:sz w:val="18"/>
                <w:szCs w:val="18"/>
              </w:rPr>
              <w:t>（四）</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pacing w:val="-1"/>
                <w:sz w:val="18"/>
              </w:rPr>
              <w:t>1,885,383,988</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4"/>
              <w:jc w:val="right"/>
              <w:rPr>
                <w:rFonts w:ascii="Times New Roman" w:hAnsi="Times New Roman" w:cs="Times New Roman" w:eastAsia="Times New Roman" w:hint="default"/>
                <w:sz w:val="18"/>
                <w:szCs w:val="18"/>
              </w:rPr>
            </w:pPr>
            <w:r>
              <w:rPr>
                <w:rFonts w:ascii="Times New Roman"/>
                <w:spacing w:val="-1"/>
                <w:sz w:val="18"/>
              </w:rPr>
              <w:t>1,606,717,287</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tabs>
                <w:tab w:pos="823" w:val="left" w:leader="none"/>
              </w:tabs>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     </w:t>
              <w:tab/>
              <w:t>营业税金及附加</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z w:val="18"/>
              </w:rPr>
              <w:t>33,690,950</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z w:val="18"/>
              </w:rPr>
              <w:t>26,447,772</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tabs>
                <w:tab w:pos="823" w:val="left" w:leader="none"/>
              </w:tabs>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     </w:t>
              <w:tab/>
              <w:t>销售费用</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z w:val="18"/>
              </w:rPr>
              <w:t>85,965,870</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z w:val="18"/>
              </w:rPr>
              <w:t>81,093,299</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tabs>
                <w:tab w:pos="643" w:val="left" w:leader="none"/>
              </w:tabs>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   </w:t>
              <w:tab/>
              <w:t>  管理费用</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z w:val="18"/>
              </w:rPr>
              <w:t>284,467,389</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z w:val="18"/>
              </w:rPr>
              <w:t>276,195,978</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tabs>
                <w:tab w:pos="643" w:val="left" w:leader="none"/>
              </w:tabs>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   </w:t>
              <w:tab/>
              <w:t>  财务费用</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w w:val="95"/>
                <w:sz w:val="18"/>
              </w:rPr>
              <w:t>-3,282,103</w:t>
            </w:r>
            <w:r>
              <w:rPr>
                <w:rFonts w:ascii="Times New Roman"/>
                <w:sz w:val="18"/>
              </w:rPr>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w w:val="95"/>
                <w:sz w:val="18"/>
              </w:rPr>
              <w:t>-10,551,027</w:t>
            </w:r>
            <w:r>
              <w:rPr>
                <w:rFonts w:ascii="Times New Roman"/>
                <w:sz w:val="18"/>
              </w:rPr>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tabs>
                <w:tab w:pos="643" w:val="left" w:leader="none"/>
              </w:tabs>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   </w:t>
              <w:tab/>
              <w:t>  资产减值损失</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z w:val="18"/>
              </w:rPr>
              <w:t>21,095,205</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w w:val="95"/>
                <w:sz w:val="18"/>
              </w:rPr>
              <w:t>-780,671</w:t>
            </w:r>
            <w:r>
              <w:rPr>
                <w:rFonts w:ascii="Times New Roman"/>
                <w:sz w:val="18"/>
              </w:rPr>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63"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z w:val="18"/>
              </w:rPr>
              <w:t>9,196,499</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w w:val="95"/>
                <w:sz w:val="18"/>
              </w:rPr>
              <w:t>-8,760,139</w:t>
            </w:r>
            <w:r>
              <w:rPr>
                <w:rFonts w:ascii="Times New Roman"/>
                <w:sz w:val="18"/>
              </w:rPr>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tabs>
                <w:tab w:pos="823" w:val="left" w:leader="none"/>
              </w:tabs>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   </w:t>
              <w:tab/>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宋体" w:hAnsi="宋体" w:cs="宋体" w:eastAsia="宋体" w:hint="default"/>
                <w:sz w:val="18"/>
                <w:szCs w:val="18"/>
              </w:rPr>
            </w:pPr>
            <w:r>
              <w:rPr>
                <w:rFonts w:ascii="宋体" w:hAnsi="宋体" w:cs="宋体" w:eastAsia="宋体" w:hint="default"/>
                <w:sz w:val="18"/>
                <w:szCs w:val="18"/>
              </w:rPr>
              <w:t>（五）</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z w:val="18"/>
              </w:rPr>
              <w:t>90,095,154</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z w:val="18"/>
              </w:rPr>
              <w:t>6,483,237</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tabs>
                <w:tab w:pos="643" w:val="left" w:leader="none"/>
              </w:tabs>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 </w:t>
              <w:tab/>
              <w:t>  其中：对联营企业和合营企业的投资收益</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w w:val="95"/>
                <w:sz w:val="18"/>
              </w:rPr>
              <w:t>-434,299</w:t>
            </w:r>
            <w:r>
              <w:rPr>
                <w:rFonts w:ascii="Times New Roman"/>
                <w:sz w:val="18"/>
              </w:rPr>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z w:val="18"/>
              </w:rPr>
              <w:t>3,981,763</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z w:val="18"/>
              </w:rPr>
              <w:t>514,788,528</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z w:val="18"/>
              </w:rPr>
              <w:t>368,647,240</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    加：营业外收入</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z w:val="18"/>
              </w:rPr>
              <w:t>42,154,704</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z w:val="18"/>
              </w:rPr>
              <w:t>50,033,429</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    减：营业外支出</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pacing w:val="-1"/>
                <w:sz w:val="18"/>
              </w:rPr>
              <w:t>10,734,211</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z w:val="18"/>
              </w:rPr>
              <w:t>2,661,417</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        其中：非流动资产处置损失</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pacing w:val="-1"/>
                <w:sz w:val="18"/>
              </w:rPr>
              <w:t>10,734,211</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z w:val="18"/>
              </w:rPr>
              <w:t>516,906</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z w:val="18"/>
              </w:rPr>
              <w:t>546,209,021</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z w:val="18"/>
              </w:rPr>
              <w:t>416,019,252</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    减：所得税费用</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z w:val="18"/>
              </w:rPr>
              <w:t>49,021,631</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z w:val="18"/>
              </w:rPr>
              <w:t>33,603,641</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z w:val="18"/>
              </w:rPr>
              <w:t>497,187,390</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pacing w:val="-1"/>
                <w:sz w:val="18"/>
              </w:rPr>
              <w:t>382,415,611</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五、每股收益：</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1"/>
              <w:jc w:val="right"/>
              <w:rPr>
                <w:rFonts w:ascii="宋体" w:hAnsi="宋体" w:cs="宋体" w:eastAsia="宋体" w:hint="default"/>
                <w:sz w:val="18"/>
                <w:szCs w:val="18"/>
              </w:rPr>
            </w:pPr>
            <w:r>
              <w:rPr>
                <w:rFonts w:ascii="宋体"/>
                <w:sz w:val="18"/>
              </w:rPr>
              <w:t> </w:t>
            </w:r>
          </w:p>
        </w:tc>
        <w:tc>
          <w:tcPr>
            <w:tcW w:w="1680" w:type="dxa"/>
            <w:tcBorders>
              <w:top w:val="single" w:sz="4" w:space="0" w:color="000000"/>
              <w:left w:val="single" w:sz="4" w:space="0" w:color="000000"/>
              <w:bottom w:val="single" w:sz="4" w:space="0" w:color="000000"/>
              <w:right w:val="single" w:sz="4" w:space="0" w:color="000000"/>
            </w:tcBorders>
          </w:tcPr>
          <w:p>
            <w:pP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    （一）基本每股收益</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    （二）稀释每股收益</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六、其他综合收益</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w w:val="95"/>
                <w:sz w:val="18"/>
              </w:rPr>
              <w:t>-45,825,312</w:t>
            </w:r>
            <w:r>
              <w:rPr>
                <w:rFonts w:ascii="Times New Roman"/>
                <w:sz w:val="18"/>
              </w:rPr>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w w:val="95"/>
                <w:sz w:val="18"/>
              </w:rPr>
              <w:t>-87,231,562</w:t>
            </w:r>
            <w:r>
              <w:rPr>
                <w:rFonts w:ascii="Times New Roman"/>
                <w:sz w:val="18"/>
              </w:rPr>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88" w:right="0"/>
              <w:jc w:val="center"/>
              <w:rPr>
                <w:rFonts w:ascii="宋体" w:hAnsi="宋体" w:cs="宋体" w:eastAsia="宋体" w:hint="default"/>
                <w:sz w:val="18"/>
                <w:szCs w:val="18"/>
              </w:rPr>
            </w:pPr>
            <w:r>
              <w:rPr>
                <w:rFonts w:ascii="宋体"/>
                <w:sz w:val="18"/>
              </w:rPr>
              <w:t> </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z w:val="18"/>
              </w:rPr>
              <w:t>451,362,078</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2"/>
              <w:jc w:val="right"/>
              <w:rPr>
                <w:rFonts w:ascii="Times New Roman" w:hAnsi="Times New Roman" w:cs="Times New Roman" w:eastAsia="Times New Roman" w:hint="default"/>
                <w:sz w:val="18"/>
                <w:szCs w:val="18"/>
              </w:rPr>
            </w:pPr>
            <w:r>
              <w:rPr>
                <w:rFonts w:ascii="Times New Roman"/>
                <w:sz w:val="18"/>
              </w:rPr>
              <w:t>295,184,049</w:t>
            </w:r>
          </w:p>
        </w:tc>
      </w:tr>
    </w:tbl>
    <w:p>
      <w:pPr>
        <w:spacing w:line="240" w:lineRule="auto" w:before="3"/>
        <w:rPr>
          <w:rFonts w:ascii="宋体" w:hAnsi="宋体" w:cs="宋体" w:eastAsia="宋体" w:hint="default"/>
          <w:sz w:val="21"/>
          <w:szCs w:val="21"/>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3087" w:val="left" w:leader="none"/>
          <w:tab w:pos="6327" w:val="left" w:leader="none"/>
        </w:tabs>
        <w:spacing w:before="126"/>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主管会计工作负责人：王莉</w:t>
        <w:tab/>
        <w:t>会计机构负责人：陈雷</w:t>
      </w:r>
    </w:p>
    <w:p>
      <w:pPr>
        <w:spacing w:after="0"/>
        <w:jc w:val="left"/>
        <w:rPr>
          <w:rFonts w:ascii="宋体" w:hAnsi="宋体" w:cs="宋体" w:eastAsia="宋体" w:hint="default"/>
          <w:sz w:val="18"/>
          <w:szCs w:val="18"/>
        </w:rPr>
        <w:sectPr>
          <w:footerReference w:type="default" r:id="rId23"/>
          <w:pgSz w:w="11900" w:h="16840"/>
          <w:pgMar w:footer="1003" w:header="1165" w:top="1360" w:bottom="1200" w:left="1680" w:right="1460"/>
          <w:pgNumType w:start="5"/>
        </w:sectPr>
      </w:pPr>
    </w:p>
    <w:p>
      <w:pPr>
        <w:spacing w:before="51"/>
        <w:ind w:left="2191" w:right="2538" w:firstLine="0"/>
        <w:jc w:val="center"/>
        <w:rPr>
          <w:rFonts w:ascii="宋体" w:hAnsi="宋体" w:cs="宋体" w:eastAsia="宋体" w:hint="default"/>
          <w:sz w:val="21"/>
          <w:szCs w:val="21"/>
        </w:rPr>
      </w:pPr>
      <w:r>
        <w:rPr>
          <w:rFonts w:ascii="宋体" w:hAnsi="宋体" w:cs="宋体" w:eastAsia="宋体" w:hint="default"/>
          <w:sz w:val="21"/>
          <w:szCs w:val="21"/>
        </w:rPr>
        <w:t>合并利润表</w:t>
      </w:r>
    </w:p>
    <w:p>
      <w:pPr>
        <w:spacing w:before="52"/>
        <w:ind w:left="2192" w:right="2536"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    </w:t>
      </w:r>
      <w:r>
        <w:rPr>
          <w:rFonts w:ascii="宋体" w:hAnsi="宋体" w:cs="宋体" w:eastAsia="宋体" w:hint="default"/>
          <w:sz w:val="21"/>
          <w:szCs w:val="21"/>
        </w:rPr>
        <w:t>年度</w:t>
      </w:r>
    </w:p>
    <w:p>
      <w:pPr>
        <w:spacing w:before="35"/>
        <w:ind w:left="2192" w:right="2538" w:firstLine="0"/>
        <w:jc w:val="center"/>
        <w:rPr>
          <w:rFonts w:ascii="宋体" w:hAnsi="宋体" w:cs="宋体" w:eastAsia="宋体" w:hint="default"/>
          <w:sz w:val="21"/>
          <w:szCs w:val="21"/>
        </w:rPr>
      </w:pPr>
      <w:r>
        <w:rPr>
          <w:rFonts w:ascii="宋体" w:hAnsi="宋体" w:cs="宋体" w:eastAsia="宋体" w:hint="default"/>
          <w:sz w:val="21"/>
          <w:szCs w:val="21"/>
        </w:rPr>
        <w:t>（除特别注明外，金额单位均为人民币元）</w:t>
      </w:r>
    </w:p>
    <w:p>
      <w:pPr>
        <w:spacing w:line="240" w:lineRule="auto" w:before="9"/>
        <w:rPr>
          <w:rFonts w:ascii="宋体" w:hAnsi="宋体" w:cs="宋体" w:eastAsia="宋体" w:hint="default"/>
          <w:sz w:val="25"/>
          <w:szCs w:val="25"/>
        </w:rPr>
      </w:pPr>
    </w:p>
    <w:tbl>
      <w:tblPr>
        <w:tblW w:w="0" w:type="auto"/>
        <w:jc w:val="left"/>
        <w:tblInd w:w="112" w:type="dxa"/>
        <w:tblLayout w:type="fixed"/>
        <w:tblCellMar>
          <w:top w:w="0" w:type="dxa"/>
          <w:left w:w="0" w:type="dxa"/>
          <w:bottom w:w="0" w:type="dxa"/>
          <w:right w:w="0" w:type="dxa"/>
        </w:tblCellMar>
        <w:tblLook w:val="01E0"/>
      </w:tblPr>
      <w:tblGrid>
        <w:gridCol w:w="4186"/>
        <w:gridCol w:w="966"/>
        <w:gridCol w:w="1686"/>
        <w:gridCol w:w="1687"/>
      </w:tblGrid>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right="1"/>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77"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78"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4,166,055,393</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3,711,345,600</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（三十七）</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4,166,055,393</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3,711,345,600</w:t>
            </w: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3,615,779,017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3,234,629,584</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（三十七）</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2,711,973,065</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2,355,303,276</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（三十八）</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w w:val="95"/>
                <w:sz w:val="16"/>
              </w:rPr>
              <w:t>54,114,018</w:t>
            </w:r>
            <w:r>
              <w:rPr>
                <w:rFonts w:ascii="Times New Roman"/>
                <w:spacing w:val="-1"/>
                <w:sz w:val="16"/>
              </w:rPr>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45,460,075</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284,584,529</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287,493,149</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534,807,495</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517,098,197</w:t>
            </w: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（四十二）</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17,522,498</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4,500,257</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（四十一）</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12,777,412</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24,774,630</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463"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（三十九）</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9,196,499</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-8,760,139</w:t>
            </w: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82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11" w:right="0"/>
              <w:jc w:val="center"/>
              <w:rPr>
                <w:rFonts w:ascii="宋体" w:hAnsi="宋体" w:cs="宋体" w:eastAsia="宋体" w:hint="default"/>
                <w:sz w:val="16"/>
                <w:szCs w:val="16"/>
              </w:rPr>
            </w:pPr>
            <w:r>
              <w:rPr>
                <w:rFonts w:ascii="宋体" w:hAnsi="宋体" w:cs="宋体" w:eastAsia="宋体" w:hint="default"/>
                <w:sz w:val="16"/>
                <w:szCs w:val="16"/>
              </w:rPr>
              <w:t>（四十）</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w w:val="95"/>
                <w:sz w:val="16"/>
              </w:rPr>
              <w:t>112,214,666</w:t>
            </w:r>
            <w:r>
              <w:rPr>
                <w:rFonts w:ascii="Times New Roman"/>
                <w:spacing w:val="-1"/>
                <w:sz w:val="16"/>
              </w:rPr>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34,640,063</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82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37,615,099</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w w:val="95"/>
                <w:sz w:val="16"/>
              </w:rPr>
              <w:t>32,421,110</w:t>
            </w:r>
            <w:r>
              <w:rPr>
                <w:rFonts w:ascii="Times New Roman"/>
                <w:spacing w:val="-1"/>
                <w:sz w:val="16"/>
              </w:rPr>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03"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671,687,541</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502,595,940</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（四十三）</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67,342,297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w w:val="95"/>
                <w:sz w:val="16"/>
              </w:rPr>
              <w:t>68,612,511</w:t>
            </w:r>
            <w:r>
              <w:rPr>
                <w:rFonts w:ascii="Times New Roman"/>
                <w:spacing w:val="-1"/>
                <w:sz w:val="16"/>
              </w:rPr>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（四十四）</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w w:val="95"/>
                <w:sz w:val="16"/>
              </w:rPr>
              <w:t>11,273,121</w:t>
            </w:r>
            <w:r>
              <w:rPr>
                <w:rFonts w:ascii="Times New Roman"/>
                <w:spacing w:val="-1"/>
                <w:sz w:val="16"/>
              </w:rPr>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34,039,065</w:t>
            </w: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82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w w:val="95"/>
                <w:sz w:val="16"/>
              </w:rPr>
              <w:t>11,179,727</w:t>
            </w:r>
            <w:r>
              <w:rPr>
                <w:rFonts w:ascii="Times New Roman"/>
                <w:spacing w:val="-1"/>
                <w:sz w:val="16"/>
              </w:rPr>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1,048,715</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727,756,717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537,169,386</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（四十五）</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76,678,770</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64,858,258</w:t>
            </w: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651,077,947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w w:val="95"/>
                <w:sz w:val="16"/>
              </w:rPr>
              <w:t>472,311,128</w:t>
            </w:r>
            <w:r>
              <w:rPr>
                <w:rFonts w:ascii="Times New Roman"/>
                <w:spacing w:val="-1"/>
                <w:sz w:val="16"/>
              </w:rPr>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其中：被合并方在合并前实现的净利润</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640,564,034</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490,778,900</w:t>
            </w: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10,513,913</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-18,467,772</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（四十六）</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0.68</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0.52</w:t>
            </w: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（四十六）</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0.68</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0.52</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（四十七）</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-50,545,516</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-90,821,303</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600,532,431</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381,489,825</w:t>
            </w: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590,018,518</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399,567,367</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    归属于少数股东的综合收益总额</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10,513,913</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-18,077,542</w:t>
            </w:r>
          </w:p>
        </w:tc>
      </w:tr>
    </w:tbl>
    <w:p>
      <w:pPr>
        <w:spacing w:line="240" w:lineRule="auto" w:before="0"/>
        <w:rPr>
          <w:rFonts w:ascii="宋体" w:hAnsi="宋体" w:cs="宋体" w:eastAsia="宋体" w:hint="default"/>
          <w:sz w:val="15"/>
          <w:szCs w:val="15"/>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2"/>
        <w:rPr>
          <w:rFonts w:ascii="宋体" w:hAnsi="宋体" w:cs="宋体" w:eastAsia="宋体" w:hint="default"/>
          <w:sz w:val="22"/>
          <w:szCs w:val="22"/>
        </w:rPr>
      </w:pPr>
    </w:p>
    <w:p>
      <w:pPr>
        <w:tabs>
          <w:tab w:pos="3087" w:val="left" w:leader="none"/>
          <w:tab w:pos="6327" w:val="left" w:leader="none"/>
        </w:tabs>
        <w:spacing w:before="0"/>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主管会计工作负责人：王莉</w:t>
        <w:tab/>
        <w:t>会计机构负责人：陈雷</w:t>
      </w:r>
    </w:p>
    <w:p>
      <w:pPr>
        <w:spacing w:after="0"/>
        <w:jc w:val="left"/>
        <w:rPr>
          <w:rFonts w:ascii="宋体" w:hAnsi="宋体" w:cs="宋体" w:eastAsia="宋体" w:hint="default"/>
          <w:sz w:val="18"/>
          <w:szCs w:val="18"/>
        </w:rPr>
        <w:sectPr>
          <w:pgSz w:w="11900" w:h="16840"/>
          <w:pgMar w:header="1165" w:footer="1003" w:top="1360" w:bottom="1200" w:left="1680" w:right="1460"/>
        </w:sectPr>
      </w:pPr>
    </w:p>
    <w:p>
      <w:pPr>
        <w:spacing w:before="36"/>
        <w:ind w:left="2191" w:right="2418" w:firstLine="0"/>
        <w:jc w:val="center"/>
        <w:rPr>
          <w:rFonts w:ascii="宋体" w:hAnsi="宋体" w:cs="宋体" w:eastAsia="宋体" w:hint="default"/>
          <w:sz w:val="21"/>
          <w:szCs w:val="21"/>
        </w:rPr>
      </w:pPr>
      <w:r>
        <w:rPr>
          <w:rFonts w:ascii="宋体" w:hAnsi="宋体" w:cs="宋体" w:eastAsia="宋体" w:hint="default"/>
          <w:sz w:val="21"/>
          <w:szCs w:val="21"/>
        </w:rPr>
        <w:t>现金流量表</w:t>
      </w:r>
    </w:p>
    <w:p>
      <w:pPr>
        <w:spacing w:line="291" w:lineRule="exact" w:before="14"/>
        <w:ind w:left="2192" w:right="2416"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    </w:t>
      </w:r>
      <w:r>
        <w:rPr>
          <w:rFonts w:ascii="宋体" w:hAnsi="宋体" w:cs="宋体" w:eastAsia="宋体" w:hint="default"/>
          <w:sz w:val="21"/>
          <w:szCs w:val="21"/>
        </w:rPr>
        <w:t>年度</w:t>
      </w:r>
    </w:p>
    <w:p>
      <w:pPr>
        <w:spacing w:before="0"/>
        <w:ind w:left="2192" w:right="2418" w:firstLine="0"/>
        <w:jc w:val="center"/>
        <w:rPr>
          <w:rFonts w:ascii="宋体" w:hAnsi="宋体" w:cs="宋体" w:eastAsia="宋体" w:hint="default"/>
          <w:sz w:val="21"/>
          <w:szCs w:val="21"/>
        </w:rPr>
      </w:pPr>
      <w:r>
        <w:rPr>
          <w:rFonts w:ascii="宋体" w:hAnsi="宋体" w:cs="宋体" w:eastAsia="宋体" w:hint="default"/>
          <w:sz w:val="21"/>
          <w:szCs w:val="21"/>
        </w:rPr>
        <w:t>（除特别注明外，金额单位均为人民币元）</w:t>
      </w:r>
    </w:p>
    <w:p>
      <w:pPr>
        <w:spacing w:line="240" w:lineRule="auto" w:before="3"/>
        <w:rPr>
          <w:rFonts w:ascii="宋体" w:hAnsi="宋体" w:cs="宋体" w:eastAsia="宋体" w:hint="default"/>
          <w:sz w:val="2"/>
          <w:szCs w:val="2"/>
        </w:rPr>
      </w:pPr>
    </w:p>
    <w:tbl>
      <w:tblPr>
        <w:tblW w:w="0" w:type="auto"/>
        <w:jc w:val="left"/>
        <w:tblInd w:w="112" w:type="dxa"/>
        <w:tblLayout w:type="fixed"/>
        <w:tblCellMar>
          <w:top w:w="0" w:type="dxa"/>
          <w:left w:w="0" w:type="dxa"/>
          <w:bottom w:w="0" w:type="dxa"/>
          <w:right w:w="0" w:type="dxa"/>
        </w:tblCellMar>
        <w:tblLook w:val="01E0"/>
      </w:tblPr>
      <w:tblGrid>
        <w:gridCol w:w="4541"/>
        <w:gridCol w:w="1969"/>
        <w:gridCol w:w="1890"/>
      </w:tblGrid>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宋体" w:hAnsi="宋体" w:cs="宋体" w:eastAsia="宋体" w:hint="default"/>
                <w:sz w:val="16"/>
                <w:szCs w:val="16"/>
              </w:rPr>
            </w:pPr>
            <w:r>
              <w:rPr>
                <w:rFonts w:ascii="宋体" w:hAnsi="宋体" w:cs="宋体" w:eastAsia="宋体" w:hint="default"/>
                <w:sz w:val="16"/>
                <w:szCs w:val="16"/>
              </w:rPr>
              <w:t>项</w:t>
            </w:r>
            <w:r>
              <w:rPr>
                <w:rFonts w:ascii="宋体" w:hAnsi="宋体" w:cs="宋体" w:eastAsia="宋体" w:hint="default"/>
                <w:spacing w:val="78"/>
                <w:sz w:val="16"/>
                <w:szCs w:val="16"/>
              </w:rPr>
              <w:t> </w:t>
            </w:r>
            <w:r>
              <w:rPr>
                <w:rFonts w:ascii="宋体" w:hAnsi="宋体" w:cs="宋体" w:eastAsia="宋体" w:hint="default"/>
                <w:sz w:val="16"/>
                <w:szCs w:val="16"/>
              </w:rPr>
              <w:t>目</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宋体" w:hAnsi="宋体" w:cs="宋体" w:eastAsia="宋体" w:hint="default"/>
                <w:sz w:val="16"/>
                <w:szCs w:val="16"/>
              </w:rPr>
            </w:pPr>
            <w:r>
              <w:rPr>
                <w:rFonts w:ascii="宋体" w:hAnsi="宋体" w:cs="宋体" w:eastAsia="宋体" w:hint="default"/>
                <w:sz w:val="16"/>
                <w:szCs w:val="16"/>
              </w:rPr>
              <w:t>本期金额</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620" w:right="0"/>
              <w:jc w:val="left"/>
              <w:rPr>
                <w:rFonts w:ascii="宋体" w:hAnsi="宋体" w:cs="宋体" w:eastAsia="宋体" w:hint="default"/>
                <w:sz w:val="16"/>
                <w:szCs w:val="16"/>
              </w:rPr>
            </w:pPr>
            <w:r>
              <w:rPr>
                <w:rFonts w:ascii="宋体" w:hAnsi="宋体" w:cs="宋体" w:eastAsia="宋体" w:hint="default"/>
                <w:sz w:val="16"/>
                <w:szCs w:val="16"/>
              </w:rPr>
              <w:t>上期金额</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sz w:val="16"/>
                <w:szCs w:val="16"/>
              </w:rPr>
              <w:t>一、经营活动产生的现金流量</w:t>
            </w:r>
          </w:p>
        </w:tc>
        <w:tc>
          <w:tcPr>
            <w:tcW w:w="1969"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22" w:right="0"/>
              <w:jc w:val="left"/>
              <w:rPr>
                <w:rFonts w:ascii="宋体" w:hAnsi="宋体" w:cs="宋体" w:eastAsia="宋体" w:hint="default"/>
                <w:sz w:val="16"/>
                <w:szCs w:val="16"/>
              </w:rPr>
            </w:pPr>
            <w:r>
              <w:rPr>
                <w:rFonts w:ascii="宋体" w:hAnsi="宋体" w:cs="宋体" w:eastAsia="宋体" w:hint="default"/>
                <w:sz w:val="16"/>
                <w:szCs w:val="16"/>
              </w:rPr>
              <w:t>销售商品、提供劳务收到的现金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2,815,645,780</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2,633,076,028</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收到的税费返还</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30,478,877</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38,079,393</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22" w:right="0"/>
              <w:jc w:val="left"/>
              <w:rPr>
                <w:rFonts w:ascii="宋体" w:hAnsi="宋体" w:cs="宋体" w:eastAsia="宋体" w:hint="default"/>
                <w:sz w:val="16"/>
                <w:szCs w:val="16"/>
              </w:rPr>
            </w:pPr>
            <w:r>
              <w:rPr>
                <w:rFonts w:ascii="宋体" w:hAnsi="宋体" w:cs="宋体" w:eastAsia="宋体" w:hint="default"/>
                <w:sz w:val="16"/>
                <w:szCs w:val="16"/>
              </w:rPr>
              <w:t>收到其他与经营活动有关的现金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405,131,332</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416,729,305</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sz w:val="16"/>
                <w:szCs w:val="16"/>
              </w:rPr>
              <w:t>经营活动现金流入小计</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3,251,255,989</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3,087,884,726</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购买商品、接受劳务支付的现金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1,868,286,758</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1,354,315,383</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支付给职工以及为职工支付的现金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649,903,479</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567,036,281</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支付的各项税费</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167,195,483</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161,953,394</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支付其他与经营活动有关的现金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169,188,347</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174,912,022</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sz w:val="16"/>
                <w:szCs w:val="16"/>
              </w:rPr>
              <w:t>经营活动现金流出小计</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2,854,574,067</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2,258,217,080</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sz w:val="16"/>
                <w:szCs w:val="16"/>
              </w:rPr>
              <w:t>经营活动产生的现金流量净额</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b/>
                <w:spacing w:val="-1"/>
                <w:sz w:val="16"/>
              </w:rPr>
              <w:t>396,681,922</w:t>
            </w:r>
            <w:r>
              <w:rPr>
                <w:rFonts w:ascii="Times New Roman"/>
                <w:spacing w:val="-1"/>
                <w:sz w:val="16"/>
              </w:rPr>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b/>
                <w:spacing w:val="-1"/>
                <w:sz w:val="16"/>
              </w:rPr>
              <w:t>829,667,646</w:t>
            </w:r>
            <w:r>
              <w:rPr>
                <w:rFonts w:ascii="Times New Roman"/>
                <w:spacing w:val="-1"/>
                <w:sz w:val="16"/>
              </w:rPr>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sz w:val="16"/>
                <w:szCs w:val="16"/>
              </w:rPr>
              <w:t>二、投资活动产生的现金流量</w:t>
            </w:r>
          </w:p>
        </w:tc>
        <w:tc>
          <w:tcPr>
            <w:tcW w:w="1969"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收回投资收到的现金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w w:val="95"/>
                <w:sz w:val="16"/>
              </w:rPr>
              <w:t>103,713,118</w:t>
            </w:r>
            <w:r>
              <w:rPr>
                <w:rFonts w:ascii="Times New Roman"/>
                <w:spacing w:val="-1"/>
                <w:sz w:val="16"/>
              </w:rPr>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332,442</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取得投资收益所收到的现金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34,320,885</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2,688,850</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tabs>
                <w:tab w:pos="422" w:val="left" w:leader="none"/>
              </w:tabs>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z w:val="16"/>
                <w:szCs w:val="16"/>
              </w:rPr>
              <w:tab/>
              <w:t>处置固定资产、无形资产和其他长期资产收回的现金净额</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19,385,179</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2,742,236</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22" w:right="0"/>
              <w:jc w:val="left"/>
              <w:rPr>
                <w:rFonts w:ascii="宋体" w:hAnsi="宋体" w:cs="宋体" w:eastAsia="宋体" w:hint="default"/>
                <w:sz w:val="16"/>
                <w:szCs w:val="16"/>
              </w:rPr>
            </w:pPr>
            <w:r>
              <w:rPr>
                <w:rFonts w:ascii="宋体" w:hAnsi="宋体" w:cs="宋体" w:eastAsia="宋体" w:hint="default"/>
                <w:sz w:val="16"/>
                <w:szCs w:val="16"/>
              </w:rPr>
              <w:t>处置子公司及其他营业单位收到的现金净额</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8,400,000</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1,641,313</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22" w:right="0"/>
              <w:jc w:val="left"/>
              <w:rPr>
                <w:rFonts w:ascii="宋体" w:hAnsi="宋体" w:cs="宋体" w:eastAsia="宋体" w:hint="default"/>
                <w:sz w:val="16"/>
                <w:szCs w:val="16"/>
              </w:rPr>
            </w:pPr>
            <w:r>
              <w:rPr>
                <w:rFonts w:ascii="宋体" w:hAnsi="宋体" w:cs="宋体" w:eastAsia="宋体" w:hint="default"/>
                <w:sz w:val="16"/>
                <w:szCs w:val="16"/>
              </w:rPr>
              <w:t>收到其他与投资活动有关的现金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21,990,224</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145,620,050</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sz w:val="16"/>
                <w:szCs w:val="16"/>
              </w:rPr>
              <w:t>投资活动现金流入小计</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187,809,406</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153,024,891</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购建固定资产、无形资产和其他长期资产支付的现金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132,420,192</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217,955,203</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投资支付的现金</w:t>
            </w:r>
          </w:p>
        </w:tc>
        <w:tc>
          <w:tcPr>
            <w:tcW w:w="1969"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取得子公司及其他营业单位支付的现金净额</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215,596,087</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291,498,829</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支付其他与投资活动有关的现金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57,130,730</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257,746,182</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sz w:val="16"/>
                <w:szCs w:val="16"/>
              </w:rPr>
              <w:t>投资活动现金流出小计</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405,147,009</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767,200,214</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sz w:val="16"/>
                <w:szCs w:val="16"/>
              </w:rPr>
              <w:t>投资活动产生的现金流量净额</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b/>
                <w:spacing w:val="-1"/>
                <w:sz w:val="16"/>
              </w:rPr>
              <w:t>-217,337,603</w:t>
            </w:r>
            <w:r>
              <w:rPr>
                <w:rFonts w:ascii="Times New Roman"/>
                <w:spacing w:val="-1"/>
                <w:sz w:val="16"/>
              </w:rPr>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b/>
                <w:spacing w:val="-1"/>
                <w:sz w:val="16"/>
              </w:rPr>
              <w:t>-614,175,323</w:t>
            </w:r>
            <w:r>
              <w:rPr>
                <w:rFonts w:ascii="Times New Roman"/>
                <w:spacing w:val="-1"/>
                <w:sz w:val="16"/>
              </w:rPr>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sz w:val="16"/>
                <w:szCs w:val="16"/>
              </w:rPr>
              <w:t>三、筹资活动产生的现金流量</w:t>
            </w:r>
          </w:p>
        </w:tc>
        <w:tc>
          <w:tcPr>
            <w:tcW w:w="1969"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22" w:right="0"/>
              <w:jc w:val="left"/>
              <w:rPr>
                <w:rFonts w:ascii="宋体" w:hAnsi="宋体" w:cs="宋体" w:eastAsia="宋体" w:hint="default"/>
                <w:sz w:val="16"/>
                <w:szCs w:val="16"/>
              </w:rPr>
            </w:pPr>
            <w:r>
              <w:rPr>
                <w:rFonts w:ascii="宋体" w:hAnsi="宋体" w:cs="宋体" w:eastAsia="宋体" w:hint="default"/>
                <w:sz w:val="16"/>
                <w:szCs w:val="16"/>
              </w:rPr>
              <w:t>吸收投资收到的现金</w:t>
            </w:r>
          </w:p>
        </w:tc>
        <w:tc>
          <w:tcPr>
            <w:tcW w:w="1969"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337,595,030</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取得借款收到的现金</w:t>
            </w:r>
          </w:p>
        </w:tc>
        <w:tc>
          <w:tcPr>
            <w:tcW w:w="1969"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125,000,000</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收到其他与筹资活动有关的现金</w:t>
            </w:r>
          </w:p>
        </w:tc>
        <w:tc>
          <w:tcPr>
            <w:tcW w:w="1969"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60,000,000</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sz w:val="16"/>
                <w:szCs w:val="16"/>
              </w:rPr>
              <w:t>筹资活动现金流入小计</w:t>
            </w:r>
          </w:p>
        </w:tc>
        <w:tc>
          <w:tcPr>
            <w:tcW w:w="1969"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522,595,030</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偿还债务支付的现金</w:t>
            </w:r>
          </w:p>
        </w:tc>
        <w:tc>
          <w:tcPr>
            <w:tcW w:w="1969"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505,000,000</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分配股利、利润或偿付利息支付的现金</w:t>
            </w:r>
          </w:p>
        </w:tc>
        <w:tc>
          <w:tcPr>
            <w:tcW w:w="1969"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18,547,983</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支付其他与筹资活动有关的现金</w:t>
            </w:r>
          </w:p>
        </w:tc>
        <w:tc>
          <w:tcPr>
            <w:tcW w:w="1969"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12,000,000</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sz w:val="16"/>
                <w:szCs w:val="16"/>
              </w:rPr>
              <w:t>筹资活动现金流出小计</w:t>
            </w:r>
          </w:p>
        </w:tc>
        <w:tc>
          <w:tcPr>
            <w:tcW w:w="1969"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535,547,983</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sz w:val="16"/>
                <w:szCs w:val="16"/>
              </w:rPr>
              <w:t>筹资活动产生的现金流量净额</w:t>
            </w:r>
          </w:p>
        </w:tc>
        <w:tc>
          <w:tcPr>
            <w:tcW w:w="1969"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b/>
                <w:spacing w:val="-1"/>
                <w:sz w:val="16"/>
              </w:rPr>
              <w:t>-12,952,953</w:t>
            </w:r>
            <w:r>
              <w:rPr>
                <w:rFonts w:ascii="Times New Roman"/>
                <w:spacing w:val="-1"/>
                <w:sz w:val="16"/>
              </w:rPr>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sz w:val="16"/>
                <w:szCs w:val="16"/>
              </w:rPr>
              <w:t>四、汇率变动对现金及现金等价物的影响</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b/>
                <w:spacing w:val="-1"/>
                <w:sz w:val="16"/>
              </w:rPr>
              <w:t>-4,799,917</w:t>
            </w:r>
            <w:r>
              <w:rPr>
                <w:rFonts w:ascii="Times New Roman"/>
                <w:spacing w:val="-1"/>
                <w:sz w:val="16"/>
              </w:rPr>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b/>
                <w:spacing w:val="-1"/>
                <w:sz w:val="16"/>
              </w:rPr>
              <w:t>4,407,438</w:t>
            </w:r>
            <w:r>
              <w:rPr>
                <w:rFonts w:ascii="Times New Roman"/>
                <w:spacing w:val="-1"/>
                <w:sz w:val="16"/>
              </w:rPr>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sz w:val="16"/>
                <w:szCs w:val="16"/>
              </w:rPr>
              <w:t>五、现金及现金等价物净增加额</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b/>
                <w:spacing w:val="-1"/>
                <w:sz w:val="16"/>
              </w:rPr>
              <w:t>174,544,402</w:t>
            </w:r>
            <w:r>
              <w:rPr>
                <w:rFonts w:ascii="Times New Roman"/>
                <w:spacing w:val="-1"/>
                <w:sz w:val="16"/>
              </w:rPr>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b/>
                <w:spacing w:val="-1"/>
                <w:sz w:val="16"/>
              </w:rPr>
              <w:t>206,946,808</w:t>
            </w:r>
            <w:r>
              <w:rPr>
                <w:rFonts w:ascii="Times New Roman"/>
                <w:spacing w:val="-1"/>
                <w:sz w:val="16"/>
              </w:rPr>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w w:val="99"/>
                <w:sz w:val="16"/>
                <w:szCs w:val="16"/>
              </w:rPr>
              <w:t> </w:t>
            </w:r>
            <w:r>
              <w:rPr>
                <w:rFonts w:ascii="宋体" w:hAnsi="宋体" w:cs="宋体" w:eastAsia="宋体" w:hint="default"/>
                <w:spacing w:val="-1"/>
                <w:sz w:val="16"/>
                <w:szCs w:val="16"/>
              </w:rPr>
              <w:t> </w:t>
            </w:r>
            <w:r>
              <w:rPr>
                <w:rFonts w:ascii="宋体" w:hAnsi="宋体" w:cs="宋体" w:eastAsia="宋体" w:hint="default"/>
                <w:sz w:val="16"/>
                <w:szCs w:val="16"/>
              </w:rPr>
              <w:t>加：年初现金及现金等价物余额</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817,531,416</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spacing w:val="-1"/>
                <w:sz w:val="16"/>
              </w:rPr>
              <w:t>610,584,608</w:t>
            </w:r>
          </w:p>
        </w:tc>
      </w:tr>
      <w:tr>
        <w:trPr>
          <w:trHeight w:val="300"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6"/>
                <w:szCs w:val="16"/>
              </w:rPr>
            </w:pPr>
            <w:r>
              <w:rPr>
                <w:rFonts w:ascii="宋体" w:hAnsi="宋体" w:cs="宋体" w:eastAsia="宋体" w:hint="default"/>
                <w:sz w:val="16"/>
                <w:szCs w:val="16"/>
              </w:rPr>
              <w:t>六、期末现金及现金等价物余额</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b/>
                <w:spacing w:val="-1"/>
                <w:sz w:val="16"/>
              </w:rPr>
              <w:t>992,075,818</w:t>
            </w:r>
            <w:r>
              <w:rPr>
                <w:rFonts w:ascii="Times New Roman"/>
                <w:spacing w:val="-1"/>
                <w:sz w:val="16"/>
              </w:rPr>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6"/>
                <w:szCs w:val="16"/>
              </w:rPr>
            </w:pPr>
            <w:r>
              <w:rPr>
                <w:rFonts w:ascii="Times New Roman"/>
                <w:b/>
                <w:spacing w:val="-1"/>
                <w:sz w:val="16"/>
              </w:rPr>
              <w:t>817,531,416</w:t>
            </w:r>
            <w:r>
              <w:rPr>
                <w:rFonts w:ascii="Times New Roman"/>
                <w:spacing w:val="-1"/>
                <w:sz w:val="16"/>
              </w:rPr>
            </w:r>
          </w:p>
        </w:tc>
      </w:tr>
    </w:tbl>
    <w:p>
      <w:pPr>
        <w:spacing w:before="21"/>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3087" w:val="left" w:leader="none"/>
          <w:tab w:pos="6327" w:val="left" w:leader="none"/>
        </w:tabs>
        <w:spacing w:before="50"/>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主管会计工作负责人：王莉</w:t>
        <w:tab/>
        <w:t>会计机构负责人：陈雷</w:t>
      </w:r>
    </w:p>
    <w:p>
      <w:pPr>
        <w:spacing w:after="0"/>
        <w:jc w:val="left"/>
        <w:rPr>
          <w:rFonts w:ascii="宋体" w:hAnsi="宋体" w:cs="宋体" w:eastAsia="宋体" w:hint="default"/>
          <w:sz w:val="18"/>
          <w:szCs w:val="18"/>
        </w:rPr>
        <w:sectPr>
          <w:pgSz w:w="11900" w:h="16840"/>
          <w:pgMar w:header="1165" w:footer="1003" w:top="1360" w:bottom="1200" w:left="1680" w:right="1580"/>
        </w:sectPr>
      </w:pPr>
    </w:p>
    <w:p>
      <w:pPr>
        <w:spacing w:line="174" w:lineRule="exact" w:before="0"/>
        <w:ind w:left="2286" w:right="2873" w:firstLine="0"/>
        <w:jc w:val="center"/>
        <w:rPr>
          <w:rFonts w:ascii="宋体" w:hAnsi="宋体" w:cs="宋体" w:eastAsia="宋体" w:hint="default"/>
          <w:sz w:val="20"/>
          <w:szCs w:val="20"/>
        </w:rPr>
      </w:pPr>
      <w:r>
        <w:rPr>
          <w:rFonts w:ascii="宋体" w:hAnsi="宋体" w:cs="宋体" w:eastAsia="宋体" w:hint="default"/>
          <w:sz w:val="20"/>
          <w:szCs w:val="20"/>
        </w:rPr>
        <w:t>合并现金流量表</w:t>
      </w:r>
    </w:p>
    <w:p>
      <w:pPr>
        <w:spacing w:line="218" w:lineRule="exact" w:before="0"/>
        <w:ind w:left="2286" w:right="2873" w:firstLine="0"/>
        <w:jc w:val="center"/>
        <w:rPr>
          <w:rFonts w:ascii="宋体" w:hAnsi="宋体" w:cs="宋体" w:eastAsia="宋体" w:hint="default"/>
          <w:sz w:val="20"/>
          <w:szCs w:val="20"/>
        </w:rPr>
      </w:pPr>
      <w:r>
        <w:rPr>
          <w:rFonts w:ascii="Times New Roman" w:hAnsi="Times New Roman" w:cs="Times New Roman" w:eastAsia="Times New Roman" w:hint="default"/>
          <w:b/>
          <w:bCs/>
          <w:sz w:val="20"/>
          <w:szCs w:val="20"/>
        </w:rPr>
        <w:t>2009  </w:t>
      </w:r>
      <w:r>
        <w:rPr>
          <w:rFonts w:ascii="Times New Roman" w:hAnsi="Times New Roman" w:cs="Times New Roman" w:eastAsia="Times New Roman" w:hint="default"/>
          <w:b/>
          <w:bCs/>
          <w:spacing w:val="49"/>
          <w:sz w:val="20"/>
          <w:szCs w:val="20"/>
        </w:rPr>
        <w:t> </w:t>
      </w:r>
      <w:r>
        <w:rPr>
          <w:rFonts w:ascii="宋体" w:hAnsi="宋体" w:cs="宋体" w:eastAsia="宋体" w:hint="default"/>
          <w:spacing w:val="49"/>
          <w:sz w:val="20"/>
          <w:szCs w:val="20"/>
        </w:rPr>
      </w:r>
      <w:r>
        <w:rPr>
          <w:rFonts w:ascii="宋体" w:hAnsi="宋体" w:cs="宋体" w:eastAsia="宋体" w:hint="default"/>
          <w:sz w:val="20"/>
          <w:szCs w:val="20"/>
        </w:rPr>
        <w:t>年度</w:t>
      </w:r>
    </w:p>
    <w:p>
      <w:pPr>
        <w:spacing w:line="228" w:lineRule="exact" w:before="0"/>
        <w:ind w:left="2286" w:right="2873" w:firstLine="0"/>
        <w:jc w:val="center"/>
        <w:rPr>
          <w:rFonts w:ascii="宋体" w:hAnsi="宋体" w:cs="宋体" w:eastAsia="宋体" w:hint="default"/>
          <w:sz w:val="20"/>
          <w:szCs w:val="20"/>
        </w:rPr>
      </w:pPr>
      <w:r>
        <w:rPr>
          <w:rFonts w:ascii="宋体" w:hAnsi="宋体" w:cs="宋体" w:eastAsia="宋体" w:hint="default"/>
          <w:sz w:val="20"/>
          <w:szCs w:val="20"/>
        </w:rPr>
        <w:t>（除特别注明外，金额单位均为人民币元）</w:t>
      </w:r>
    </w:p>
    <w:p>
      <w:pPr>
        <w:spacing w:line="240" w:lineRule="auto" w:before="5"/>
        <w:rPr>
          <w:rFonts w:ascii="宋体" w:hAnsi="宋体" w:cs="宋体" w:eastAsia="宋体" w:hint="default"/>
          <w:sz w:val="16"/>
          <w:szCs w:val="16"/>
        </w:rPr>
      </w:pPr>
    </w:p>
    <w:tbl>
      <w:tblPr>
        <w:tblW w:w="0" w:type="auto"/>
        <w:jc w:val="left"/>
        <w:tblInd w:w="112" w:type="dxa"/>
        <w:tblLayout w:type="fixed"/>
        <w:tblCellMar>
          <w:top w:w="0" w:type="dxa"/>
          <w:left w:w="0" w:type="dxa"/>
          <w:bottom w:w="0" w:type="dxa"/>
          <w:right w:w="0" w:type="dxa"/>
        </w:tblCellMar>
        <w:tblLook w:val="01E0"/>
      </w:tblPr>
      <w:tblGrid>
        <w:gridCol w:w="4256"/>
        <w:gridCol w:w="1020"/>
        <w:gridCol w:w="1805"/>
        <w:gridCol w:w="1682"/>
      </w:tblGrid>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right="1"/>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73"/>
                <w:sz w:val="15"/>
                <w:szCs w:val="15"/>
              </w:rPr>
              <w:t> </w:t>
            </w:r>
            <w:r>
              <w:rPr>
                <w:rFonts w:ascii="宋体" w:hAnsi="宋体" w:cs="宋体" w:eastAsia="宋体" w:hint="default"/>
                <w:sz w:val="15"/>
                <w:szCs w:val="15"/>
              </w:rPr>
              <w:t>目</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right="1"/>
              <w:jc w:val="center"/>
              <w:rPr>
                <w:rFonts w:ascii="宋体" w:hAnsi="宋体" w:cs="宋体" w:eastAsia="宋体" w:hint="default"/>
                <w:sz w:val="15"/>
                <w:szCs w:val="15"/>
              </w:rPr>
            </w:pPr>
            <w:r>
              <w:rPr>
                <w:rFonts w:ascii="宋体" w:hAnsi="宋体" w:cs="宋体" w:eastAsia="宋体" w:hint="default"/>
                <w:sz w:val="15"/>
                <w:szCs w:val="15"/>
              </w:rPr>
              <w:t>附注五</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597" w:right="0"/>
              <w:jc w:val="left"/>
              <w:rPr>
                <w:rFonts w:ascii="宋体" w:hAnsi="宋体" w:cs="宋体" w:eastAsia="宋体" w:hint="default"/>
                <w:sz w:val="15"/>
                <w:szCs w:val="15"/>
              </w:rPr>
            </w:pPr>
            <w:r>
              <w:rPr>
                <w:rFonts w:ascii="宋体" w:hAnsi="宋体" w:cs="宋体" w:eastAsia="宋体" w:hint="default"/>
                <w:sz w:val="15"/>
                <w:szCs w:val="15"/>
              </w:rPr>
              <w:t>本期金额</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536" w:right="0"/>
              <w:jc w:val="left"/>
              <w:rPr>
                <w:rFonts w:ascii="宋体" w:hAnsi="宋体" w:cs="宋体" w:eastAsia="宋体" w:hint="default"/>
                <w:sz w:val="15"/>
                <w:szCs w:val="15"/>
              </w:rPr>
            </w:pPr>
            <w:r>
              <w:rPr>
                <w:rFonts w:ascii="宋体" w:hAnsi="宋体" w:cs="宋体" w:eastAsia="宋体" w:hint="default"/>
                <w:sz w:val="15"/>
                <w:szCs w:val="15"/>
              </w:rPr>
              <w:t>上期金额</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一、经营活动产生的现金流量</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销售商品、提供劳务收到的现金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4,352,280,815</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4,107,305,015</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客户存款和同业存放款项净增加额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向中央银行借款净增加额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向其他金融机构拆入资金净增加额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收到原保险合同保费取得的现金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收到再保险业务现金净额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保户储金及投资款净增加额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处置交易性金融资产净增加额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收取利息、手续费及佣金的现金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拆入资金净增加额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回购业务资金净增加额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收到的税费返还</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49,857,238</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1"/>
                <w:sz w:val="16"/>
              </w:rPr>
              <w:t>64,068,242</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收到其他与经营活动有关的现金</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 w:right="0"/>
              <w:jc w:val="center"/>
              <w:rPr>
                <w:rFonts w:ascii="宋体" w:hAnsi="宋体" w:cs="宋体" w:eastAsia="宋体" w:hint="default"/>
                <w:sz w:val="16"/>
                <w:szCs w:val="16"/>
              </w:rPr>
            </w:pPr>
            <w:r>
              <w:rPr>
                <w:rFonts w:ascii="宋体" w:hAnsi="宋体" w:cs="宋体" w:eastAsia="宋体" w:hint="default"/>
                <w:sz w:val="16"/>
                <w:szCs w:val="16"/>
              </w:rPr>
              <w:t>（四十八）</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107,212,045</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1"/>
                <w:sz w:val="16"/>
              </w:rPr>
              <w:t>77,287,504</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经营活动现金流入小计</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4,509,350,098</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4,248,660,761</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购买商品、接受劳务支付的现金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1,740,691,371</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1,724,317,928</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客户贷款及垫款净增加额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存放中央银行和同业款项净增加额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支付原保险合同赔付款项的现金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支付利息、手续费及佣金的现金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支付保单红利的现金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支付给职工以及为职工支付的现金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1,321,847,153</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1,108,022,274</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支付的各项税费</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316,395,385</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305,613,038</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支付其他与经营活动有关的现金</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 w:right="0"/>
              <w:jc w:val="center"/>
              <w:rPr>
                <w:rFonts w:ascii="宋体" w:hAnsi="宋体" w:cs="宋体" w:eastAsia="宋体" w:hint="default"/>
                <w:sz w:val="16"/>
                <w:szCs w:val="16"/>
              </w:rPr>
            </w:pPr>
            <w:r>
              <w:rPr>
                <w:rFonts w:ascii="宋体" w:hAnsi="宋体" w:cs="宋体" w:eastAsia="宋体" w:hint="default"/>
                <w:sz w:val="16"/>
                <w:szCs w:val="16"/>
              </w:rPr>
              <w:t>（四十八）</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357,851,707</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378,347,123</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经营活动现金流出小计</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3,736,785,616</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3,516,300,363</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经营活动产生的现金流量净额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b/>
                <w:spacing w:val="-1"/>
                <w:sz w:val="16"/>
              </w:rPr>
              <w:t>772,564,482</w:t>
            </w:r>
            <w:r>
              <w:rPr>
                <w:rFonts w:ascii="Times New Roman"/>
                <w:spacing w:val="-1"/>
                <w:sz w:val="16"/>
              </w:rPr>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b/>
                <w:spacing w:val="-1"/>
                <w:sz w:val="16"/>
              </w:rPr>
              <w:t>732,360,398</w:t>
            </w:r>
            <w:r>
              <w:rPr>
                <w:rFonts w:ascii="Times New Roman"/>
                <w:spacing w:val="-1"/>
                <w:sz w:val="16"/>
              </w:rPr>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二、投资活动产生的现金流量</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收回投资收到的现金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103,628,264</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1"/>
                <w:sz w:val="16"/>
              </w:rPr>
              <w:t>962,603</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取得投资收益所收到的现金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35,323,582</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1"/>
                <w:sz w:val="16"/>
              </w:rPr>
              <w:t>1,374,838</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处置固定资产、无形资产和其他长期资产收回的现金净额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w w:val="95"/>
                <w:sz w:val="16"/>
              </w:rPr>
              <w:t>117,527,788</w:t>
            </w:r>
            <w:r>
              <w:rPr>
                <w:rFonts w:ascii="Times New Roman"/>
                <w:spacing w:val="-1"/>
                <w:sz w:val="16"/>
              </w:rPr>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140,833,980</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处置子公司及其他营业单位收到的现金净额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10,390,000</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1"/>
                <w:sz w:val="16"/>
              </w:rPr>
              <w:t>8,869,713</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收到其他与投资活动有关的现金</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 w:right="0"/>
              <w:jc w:val="center"/>
              <w:rPr>
                <w:rFonts w:ascii="宋体" w:hAnsi="宋体" w:cs="宋体" w:eastAsia="宋体" w:hint="default"/>
                <w:sz w:val="16"/>
                <w:szCs w:val="16"/>
              </w:rPr>
            </w:pPr>
            <w:r>
              <w:rPr>
                <w:rFonts w:ascii="宋体" w:hAnsi="宋体" w:cs="宋体" w:eastAsia="宋体" w:hint="default"/>
                <w:sz w:val="16"/>
                <w:szCs w:val="16"/>
              </w:rPr>
              <w:t>（四十八）</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15,083,567</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66,817</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投资活动现金流入小计</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281,953,201</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152,107,951</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购建固定资产、无形资产和其他长期资产支付的现金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351,304,462</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601,057,661</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投资支付的现金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1"/>
                <w:sz w:val="16"/>
              </w:rPr>
              <w:t>534,625</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质押贷款净增加额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取得子公司及其他营业单位支付的现金净额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66,982,751</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1"/>
                <w:sz w:val="16"/>
              </w:rPr>
              <w:t>100,000</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支付其他与投资活动有关的现金</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 w:right="0"/>
              <w:jc w:val="center"/>
              <w:rPr>
                <w:rFonts w:ascii="宋体" w:hAnsi="宋体" w:cs="宋体" w:eastAsia="宋体" w:hint="default"/>
                <w:sz w:val="16"/>
                <w:szCs w:val="16"/>
              </w:rPr>
            </w:pPr>
            <w:r>
              <w:rPr>
                <w:rFonts w:ascii="宋体" w:hAnsi="宋体" w:cs="宋体" w:eastAsia="宋体" w:hint="default"/>
                <w:sz w:val="16"/>
                <w:szCs w:val="16"/>
              </w:rPr>
              <w:t>（四十八）</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395,138</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1"/>
                <w:sz w:val="16"/>
              </w:rPr>
              <w:t>7,770,465</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投资活动现金流出小计</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418,682,351</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609,462,751</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投资活动产生的现金流量净额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b/>
                <w:spacing w:val="-1"/>
                <w:sz w:val="16"/>
              </w:rPr>
              <w:t>-136,729,150</w:t>
            </w:r>
            <w:r>
              <w:rPr>
                <w:rFonts w:ascii="Times New Roman"/>
                <w:spacing w:val="-1"/>
                <w:sz w:val="16"/>
              </w:rPr>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b/>
                <w:spacing w:val="-1"/>
                <w:sz w:val="16"/>
              </w:rPr>
              <w:t>-457,354,800</w:t>
            </w:r>
            <w:r>
              <w:rPr>
                <w:rFonts w:ascii="Times New Roman"/>
                <w:spacing w:val="-1"/>
                <w:sz w:val="16"/>
              </w:rPr>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三、筹资活动产生的现金流量</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吸收投资收到的现金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40,000</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1"/>
                <w:sz w:val="16"/>
              </w:rPr>
              <w:t>3,400,000</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其中：子公司吸收少数股东投资收到的现金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40,000</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1"/>
                <w:sz w:val="16"/>
              </w:rPr>
              <w:t>3,400,000</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取得借款收到的现金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165,000,000</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发行债券收到的现金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收到其他与筹资活动有关的现金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1"/>
                <w:sz w:val="16"/>
              </w:rPr>
              <w:t>60,000,000</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筹资活动现金流入小计</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40,000</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228,400,000</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偿还债务支付的现金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153,000,000</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675,000,000</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分配股利、利润或偿付利息支付的现金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15,259,567</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1"/>
                <w:sz w:val="16"/>
              </w:rPr>
              <w:t>51,984,438</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其中：子公司支付给少数股东的股利、利润</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1,760,000</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1"/>
                <w:sz w:val="16"/>
              </w:rPr>
              <w:t>1,160,000</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支付其他与筹资活动有关的现金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spacing w:val="-1"/>
                <w:sz w:val="16"/>
              </w:rPr>
              <w:t>12,000,000</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筹资活动现金流出小计</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168,259,567</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738,984,438</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筹资活动产生的现金流量净额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b/>
                <w:spacing w:val="-1"/>
                <w:sz w:val="16"/>
              </w:rPr>
              <w:t>-168,219,567</w:t>
            </w:r>
            <w:r>
              <w:rPr>
                <w:rFonts w:ascii="Times New Roman"/>
                <w:spacing w:val="-1"/>
                <w:sz w:val="16"/>
              </w:rPr>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b/>
                <w:spacing w:val="-1"/>
                <w:sz w:val="16"/>
              </w:rPr>
              <w:t>-510,584,438</w:t>
            </w:r>
            <w:r>
              <w:rPr>
                <w:rFonts w:ascii="Times New Roman"/>
                <w:spacing w:val="-1"/>
                <w:sz w:val="16"/>
              </w:rPr>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四、汇率变动对现金及现金等价物的影响</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b/>
                <w:spacing w:val="-1"/>
                <w:sz w:val="16"/>
              </w:rPr>
              <w:t>-6,794,751</w:t>
            </w:r>
            <w:r>
              <w:rPr>
                <w:rFonts w:ascii="Times New Roman"/>
                <w:spacing w:val="-1"/>
                <w:sz w:val="16"/>
              </w:rPr>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b/>
                <w:spacing w:val="-1"/>
                <w:sz w:val="16"/>
              </w:rPr>
              <w:t>21,781,587</w:t>
            </w:r>
            <w:r>
              <w:rPr>
                <w:rFonts w:ascii="Times New Roman"/>
                <w:spacing w:val="-1"/>
                <w:sz w:val="16"/>
              </w:rPr>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五、现金及现金等价物净增加额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b/>
                <w:spacing w:val="-1"/>
                <w:sz w:val="16"/>
              </w:rPr>
              <w:t>460,821,014</w:t>
            </w:r>
            <w:r>
              <w:rPr>
                <w:rFonts w:ascii="Times New Roman"/>
                <w:spacing w:val="-1"/>
                <w:sz w:val="16"/>
              </w:rPr>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Times New Roman" w:hAnsi="Times New Roman" w:cs="Times New Roman" w:eastAsia="Times New Roman" w:hint="default"/>
                <w:sz w:val="16"/>
                <w:szCs w:val="16"/>
              </w:rPr>
            </w:pPr>
            <w:r>
              <w:rPr>
                <w:rFonts w:ascii="Times New Roman"/>
                <w:b/>
                <w:spacing w:val="-1"/>
                <w:sz w:val="16"/>
              </w:rPr>
              <w:t>-213,797,253</w:t>
            </w:r>
            <w:r>
              <w:rPr>
                <w:rFonts w:ascii="Times New Roman"/>
                <w:spacing w:val="-1"/>
                <w:sz w:val="16"/>
              </w:rPr>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    加：年初现金及现金等价物余额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spacing w:val="-1"/>
                <w:sz w:val="16"/>
              </w:rPr>
              <w:t>1,155,168,032</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spacing w:val="-1"/>
                <w:sz w:val="16"/>
              </w:rPr>
              <w:t>1,368,965,285</w:t>
            </w:r>
          </w:p>
        </w:tc>
      </w:tr>
      <w:tr>
        <w:trPr>
          <w:trHeight w:val="210" w:hRule="exact"/>
        </w:trPr>
        <w:tc>
          <w:tcPr>
            <w:tcW w:w="425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六、期末现金及现金等价物余额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16"/>
                <w:szCs w:val="16"/>
              </w:rPr>
            </w:pPr>
            <w:r>
              <w:rPr>
                <w:rFonts w:ascii="Times New Roman"/>
                <w:b/>
                <w:spacing w:val="-1"/>
                <w:sz w:val="16"/>
              </w:rPr>
              <w:t>1,615,989,046</w:t>
            </w:r>
            <w:r>
              <w:rPr>
                <w:rFonts w:ascii="Times New Roman"/>
                <w:spacing w:val="-1"/>
                <w:sz w:val="16"/>
              </w:rPr>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16"/>
                <w:szCs w:val="16"/>
              </w:rPr>
            </w:pPr>
            <w:r>
              <w:rPr>
                <w:rFonts w:ascii="Times New Roman"/>
                <w:b/>
                <w:spacing w:val="-1"/>
                <w:sz w:val="16"/>
              </w:rPr>
              <w:t>1,155,168,032</w:t>
            </w:r>
            <w:r>
              <w:rPr>
                <w:rFonts w:ascii="Times New Roman"/>
                <w:spacing w:val="-1"/>
                <w:sz w:val="16"/>
              </w:rPr>
            </w:r>
          </w:p>
        </w:tc>
      </w:tr>
    </w:tbl>
    <w:p>
      <w:pPr>
        <w:spacing w:line="240" w:lineRule="auto" w:before="1"/>
        <w:rPr>
          <w:rFonts w:ascii="宋体" w:hAnsi="宋体" w:cs="宋体" w:eastAsia="宋体" w:hint="default"/>
          <w:sz w:val="8"/>
          <w:szCs w:val="8"/>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3087" w:val="left" w:leader="none"/>
          <w:tab w:pos="6327" w:val="left" w:leader="none"/>
        </w:tabs>
        <w:spacing w:before="31"/>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主管会计工作负责人：王莉</w:t>
        <w:tab/>
        <w:t>会计机构负责人：陈雷</w:t>
      </w:r>
    </w:p>
    <w:p>
      <w:pPr>
        <w:spacing w:after="0"/>
        <w:jc w:val="left"/>
        <w:rPr>
          <w:rFonts w:ascii="宋体" w:hAnsi="宋体" w:cs="宋体" w:eastAsia="宋体" w:hint="default"/>
          <w:sz w:val="18"/>
          <w:szCs w:val="18"/>
        </w:rPr>
        <w:sectPr>
          <w:pgSz w:w="11900" w:h="16840"/>
          <w:pgMar w:header="1165" w:footer="1003" w:top="1320" w:bottom="1200" w:left="1680" w:right="1220"/>
        </w:sectPr>
      </w:pPr>
    </w:p>
    <w:p>
      <w:pPr>
        <w:spacing w:before="51"/>
        <w:ind w:left="5184" w:right="5525" w:firstLine="0"/>
        <w:jc w:val="center"/>
        <w:rPr>
          <w:rFonts w:ascii="宋体" w:hAnsi="宋体" w:cs="宋体" w:eastAsia="宋体" w:hint="default"/>
          <w:sz w:val="21"/>
          <w:szCs w:val="21"/>
        </w:rPr>
      </w:pPr>
      <w:r>
        <w:rPr>
          <w:rFonts w:ascii="宋体" w:hAnsi="宋体" w:cs="宋体" w:eastAsia="宋体" w:hint="default"/>
          <w:sz w:val="21"/>
          <w:szCs w:val="21"/>
        </w:rPr>
        <w:t>所有者权益变动表</w:t>
      </w:r>
    </w:p>
    <w:p>
      <w:pPr>
        <w:spacing w:line="260" w:lineRule="exact" w:before="51"/>
        <w:ind w:left="5184" w:right="5525"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    </w:t>
      </w:r>
      <w:r>
        <w:rPr>
          <w:rFonts w:ascii="宋体" w:hAnsi="宋体" w:cs="宋体" w:eastAsia="宋体" w:hint="default"/>
          <w:sz w:val="21"/>
          <w:szCs w:val="21"/>
        </w:rPr>
        <w:t>年度</w:t>
      </w:r>
    </w:p>
    <w:p>
      <w:pPr>
        <w:spacing w:line="244" w:lineRule="exact" w:before="0"/>
        <w:ind w:left="5185" w:right="5525" w:firstLine="0"/>
        <w:jc w:val="center"/>
        <w:rPr>
          <w:rFonts w:ascii="宋体" w:hAnsi="宋体" w:cs="宋体" w:eastAsia="宋体" w:hint="default"/>
          <w:sz w:val="21"/>
          <w:szCs w:val="21"/>
        </w:rPr>
      </w:pPr>
      <w:r>
        <w:rPr>
          <w:rFonts w:ascii="宋体" w:hAnsi="宋体" w:cs="宋体" w:eastAsia="宋体" w:hint="default"/>
          <w:sz w:val="21"/>
          <w:szCs w:val="21"/>
        </w:rPr>
        <w:t>（除特别注明外，金额单位均为人民币元）</w:t>
      </w:r>
    </w:p>
    <w:p>
      <w:pPr>
        <w:spacing w:line="240" w:lineRule="auto" w:before="1"/>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3876"/>
        <w:gridCol w:w="1516"/>
        <w:gridCol w:w="1304"/>
        <w:gridCol w:w="1204"/>
        <w:gridCol w:w="955"/>
        <w:gridCol w:w="1376"/>
        <w:gridCol w:w="1397"/>
        <w:gridCol w:w="1260"/>
        <w:gridCol w:w="1620"/>
      </w:tblGrid>
      <w:tr>
        <w:trPr>
          <w:trHeight w:val="250" w:hRule="exact"/>
        </w:trPr>
        <w:tc>
          <w:tcPr>
            <w:tcW w:w="3876" w:type="dxa"/>
            <w:vMerge w:val="restart"/>
            <w:tcBorders>
              <w:top w:val="single" w:sz="4" w:space="0" w:color="000000"/>
              <w:left w:val="single" w:sz="4" w:space="0" w:color="000000"/>
              <w:right w:val="single" w:sz="4" w:space="0" w:color="000000"/>
            </w:tcBorders>
          </w:tcPr>
          <w:p>
            <w:pPr>
              <w:pStyle w:val="TableParagraph"/>
              <w:spacing w:line="240" w:lineRule="auto" w:before="113"/>
              <w:ind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0632" w:type="dxa"/>
            <w:gridSpan w:val="8"/>
            <w:tcBorders>
              <w:top w:val="single" w:sz="4" w:space="0" w:color="000000"/>
              <w:left w:val="single" w:sz="4" w:space="0" w:color="000000"/>
              <w:bottom w:val="single" w:sz="4" w:space="0" w:color="000000"/>
              <w:right w:val="single" w:sz="4" w:space="0" w:color="000000"/>
            </w:tcBorders>
          </w:tcPr>
          <w:p>
            <w:pPr>
              <w:pStyle w:val="TableParagraph"/>
              <w:spacing w:line="189" w:lineRule="exact"/>
              <w:ind w:right="0"/>
              <w:jc w:val="center"/>
              <w:rPr>
                <w:rFonts w:ascii="宋体" w:hAnsi="宋体" w:cs="宋体" w:eastAsia="宋体" w:hint="default"/>
                <w:sz w:val="15"/>
                <w:szCs w:val="15"/>
              </w:rPr>
            </w:pPr>
            <w:r>
              <w:rPr>
                <w:rFonts w:ascii="宋体" w:hAnsi="宋体" w:cs="宋体" w:eastAsia="宋体" w:hint="default"/>
                <w:sz w:val="15"/>
                <w:szCs w:val="15"/>
              </w:rPr>
              <w:t>本期金额</w:t>
            </w:r>
          </w:p>
        </w:tc>
      </w:tr>
      <w:tr>
        <w:trPr>
          <w:trHeight w:val="251" w:hRule="exact"/>
        </w:trPr>
        <w:tc>
          <w:tcPr>
            <w:tcW w:w="3876" w:type="dxa"/>
            <w:vMerge/>
            <w:tcBorders>
              <w:left w:val="single" w:sz="4" w:space="0" w:color="000000"/>
              <w:bottom w:val="single" w:sz="4" w:space="0" w:color="000000"/>
              <w:right w:val="single" w:sz="4" w:space="0" w:color="000000"/>
            </w:tcBorders>
          </w:tcPr>
          <w:p>
            <w:pP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或股本</w:t>
            </w:r>
            <w:r>
              <w:rPr>
                <w:rFonts w:ascii="Times New Roman" w:hAnsi="Times New Roman" w:cs="Times New Roman" w:eastAsia="Times New Roman" w:hint="default"/>
                <w:sz w:val="15"/>
                <w:szCs w:val="15"/>
              </w:rPr>
              <w:t>)</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46"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21"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72"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82"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43"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49"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79"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944,303,265</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682,178,177</w:t>
            </w: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417,747,014</w:t>
            </w: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824,354,768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2,868,583,224</w:t>
            </w: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5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5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944,303,265</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682,178,177</w:t>
            </w: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417,747,014</w:t>
            </w: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824,354,768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2,868,583,224</w:t>
            </w:r>
          </w:p>
        </w:tc>
      </w:tr>
      <w:tr>
        <w:trPr>
          <w:trHeight w:val="251"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-45,825,312</w:t>
            </w: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74,578,109</w:t>
            </w: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422,609,281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451,362,078</w:t>
            </w: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497,187,390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497,187,390</w:t>
            </w: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-45,825,312</w:t>
            </w: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-45,825,312</w:t>
            </w:r>
          </w:p>
        </w:tc>
      </w:tr>
      <w:tr>
        <w:trPr>
          <w:trHeight w:val="251"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-45,825,312</w:t>
            </w: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497,187,390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451,362,078</w:t>
            </w: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74,578,109</w:t>
            </w: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-74,578,109</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74,578,109</w:t>
            </w: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-74,578,109</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87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944,303,265</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636,352,865</w:t>
            </w:r>
          </w:p>
        </w:tc>
        <w:tc>
          <w:tcPr>
            <w:tcW w:w="1204"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492,325,123</w:t>
            </w:r>
          </w:p>
        </w:tc>
        <w:tc>
          <w:tcPr>
            <w:tcW w:w="13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1,246,964,049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6"/>
                <w:szCs w:val="16"/>
              </w:rPr>
            </w:pPr>
            <w:r>
              <w:rPr>
                <w:rFonts w:ascii="Times New Roman"/>
                <w:spacing w:val="-1"/>
                <w:sz w:val="16"/>
              </w:rPr>
              <w:t>3,319,945,302</w:t>
            </w:r>
          </w:p>
        </w:tc>
      </w:tr>
    </w:tbl>
    <w:p>
      <w:pPr>
        <w:spacing w:line="192" w:lineRule="exact" w:before="0"/>
        <w:ind w:left="219"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2469" w:val="left" w:leader="none"/>
          <w:tab w:pos="3009" w:val="left" w:leader="none"/>
          <w:tab w:pos="5439" w:val="left" w:leader="none"/>
          <w:tab w:pos="9219" w:val="left" w:leader="none"/>
          <w:tab w:pos="10029" w:val="left" w:leader="none"/>
        </w:tabs>
        <w:spacing w:before="69"/>
        <w:ind w:left="219"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ab/>
        <w:tab/>
        <w:t>主管会计工作负责人：王莉</w:t>
        <w:tab/>
        <w:tab/>
        <w:t>会计机构负责人：陈雷</w:t>
      </w:r>
    </w:p>
    <w:p>
      <w:pPr>
        <w:spacing w:after="0"/>
        <w:jc w:val="left"/>
        <w:rPr>
          <w:rFonts w:ascii="宋体" w:hAnsi="宋体" w:cs="宋体" w:eastAsia="宋体" w:hint="default"/>
          <w:sz w:val="18"/>
          <w:szCs w:val="18"/>
        </w:rPr>
        <w:sectPr>
          <w:headerReference w:type="default" r:id="rId24"/>
          <w:footerReference w:type="default" r:id="rId25"/>
          <w:pgSz w:w="16840" w:h="11900" w:orient="landscape"/>
          <w:pgMar w:header="1471" w:footer="995" w:top="1680" w:bottom="1180" w:left="1220" w:right="880"/>
          <w:pgNumType w:start="9"/>
        </w:sectPr>
      </w:pPr>
    </w:p>
    <w:p>
      <w:pPr>
        <w:spacing w:before="51"/>
        <w:ind w:left="5182" w:right="5066" w:firstLine="0"/>
        <w:jc w:val="center"/>
        <w:rPr>
          <w:rFonts w:ascii="宋体" w:hAnsi="宋体" w:cs="宋体" w:eastAsia="宋体" w:hint="default"/>
          <w:sz w:val="21"/>
          <w:szCs w:val="21"/>
        </w:rPr>
      </w:pPr>
      <w:r>
        <w:rPr>
          <w:rFonts w:ascii="宋体" w:hAnsi="宋体" w:cs="宋体" w:eastAsia="宋体" w:hint="default"/>
          <w:sz w:val="21"/>
          <w:szCs w:val="21"/>
        </w:rPr>
        <w:t>所有者权益变动表（续）</w:t>
      </w:r>
    </w:p>
    <w:p>
      <w:pPr>
        <w:spacing w:line="287" w:lineRule="exact" w:before="52"/>
        <w:ind w:left="5182" w:right="5066"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    </w:t>
      </w:r>
      <w:r>
        <w:rPr>
          <w:rFonts w:ascii="宋体" w:hAnsi="宋体" w:cs="宋体" w:eastAsia="宋体" w:hint="default"/>
          <w:sz w:val="21"/>
          <w:szCs w:val="21"/>
        </w:rPr>
        <w:t>年度</w:t>
      </w:r>
    </w:p>
    <w:p>
      <w:pPr>
        <w:spacing w:line="271" w:lineRule="exact" w:before="0"/>
        <w:ind w:left="5183" w:right="5066" w:firstLine="0"/>
        <w:jc w:val="center"/>
        <w:rPr>
          <w:rFonts w:ascii="宋体" w:hAnsi="宋体" w:cs="宋体" w:eastAsia="宋体" w:hint="default"/>
          <w:sz w:val="21"/>
          <w:szCs w:val="21"/>
        </w:rPr>
      </w:pPr>
      <w:r>
        <w:rPr>
          <w:rFonts w:ascii="宋体" w:hAnsi="宋体" w:cs="宋体" w:eastAsia="宋体" w:hint="default"/>
          <w:sz w:val="21"/>
          <w:szCs w:val="21"/>
        </w:rPr>
        <w:t>（除特别注明外，金额单位均为人民币元）</w:t>
      </w:r>
    </w:p>
    <w:tbl>
      <w:tblPr>
        <w:tblW w:w="0" w:type="auto"/>
        <w:jc w:val="left"/>
        <w:tblInd w:w="107" w:type="dxa"/>
        <w:tblLayout w:type="fixed"/>
        <w:tblCellMar>
          <w:top w:w="0" w:type="dxa"/>
          <w:left w:w="0" w:type="dxa"/>
          <w:bottom w:w="0" w:type="dxa"/>
          <w:right w:w="0" w:type="dxa"/>
        </w:tblCellMar>
        <w:tblLook w:val="01E0"/>
      </w:tblPr>
      <w:tblGrid>
        <w:gridCol w:w="3455"/>
        <w:gridCol w:w="1517"/>
        <w:gridCol w:w="1429"/>
        <w:gridCol w:w="1100"/>
        <w:gridCol w:w="882"/>
        <w:gridCol w:w="1376"/>
        <w:gridCol w:w="1314"/>
        <w:gridCol w:w="1430"/>
        <w:gridCol w:w="1540"/>
      </w:tblGrid>
      <w:tr>
        <w:trPr>
          <w:trHeight w:val="238" w:hRule="exact"/>
        </w:trPr>
        <w:tc>
          <w:tcPr>
            <w:tcW w:w="3455" w:type="dxa"/>
            <w:vMerge w:val="restart"/>
            <w:tcBorders>
              <w:top w:val="single" w:sz="4" w:space="0" w:color="000000"/>
              <w:left w:val="single" w:sz="4" w:space="0" w:color="000000"/>
              <w:right w:val="single" w:sz="4" w:space="0" w:color="000000"/>
            </w:tcBorders>
          </w:tcPr>
          <w:p>
            <w:pPr>
              <w:pStyle w:val="TableParagraph"/>
              <w:spacing w:line="240" w:lineRule="auto" w:before="115"/>
              <w:ind w:right="1"/>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0589"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宋体" w:hAnsi="宋体" w:cs="宋体" w:eastAsia="宋体" w:hint="default"/>
                <w:sz w:val="15"/>
                <w:szCs w:val="15"/>
              </w:rPr>
            </w:pPr>
            <w:r>
              <w:rPr>
                <w:rFonts w:ascii="宋体" w:hAnsi="宋体" w:cs="宋体" w:eastAsia="宋体" w:hint="default"/>
                <w:sz w:val="15"/>
                <w:szCs w:val="15"/>
              </w:rPr>
              <w:t>上年同期金额</w:t>
            </w:r>
          </w:p>
        </w:tc>
      </w:tr>
      <w:tr>
        <w:trPr>
          <w:trHeight w:val="236" w:hRule="exact"/>
        </w:trPr>
        <w:tc>
          <w:tcPr>
            <w:tcW w:w="3455" w:type="dxa"/>
            <w:vMerge/>
            <w:tcBorders>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7"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或股本</w:t>
            </w:r>
            <w:r>
              <w:rPr>
                <w:rFonts w:ascii="Times New Roman" w:hAnsi="Times New Roman" w:cs="Times New Roman" w:eastAsia="Times New Roman" w:hint="default"/>
                <w:sz w:val="15"/>
                <w:szCs w:val="15"/>
              </w:rPr>
              <w:t>)</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10"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0"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35"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82"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202"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34"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238"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38"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281,451,690</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99"/>
              <w:jc w:val="right"/>
              <w:rPr>
                <w:rFonts w:ascii="Times New Roman" w:hAnsi="Times New Roman" w:cs="Times New Roman" w:eastAsia="Times New Roman" w:hint="default"/>
                <w:sz w:val="16"/>
                <w:szCs w:val="16"/>
              </w:rPr>
            </w:pPr>
            <w:r>
              <w:rPr>
                <w:rFonts w:ascii="Times New Roman"/>
                <w:spacing w:val="-1"/>
                <w:sz w:val="16"/>
              </w:rPr>
              <w:t>585,827,259</w:t>
            </w: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sz w:val="16"/>
              </w:rPr>
              <w:t>239,078,776</w:t>
            </w: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sz w:val="16"/>
              </w:rPr>
              <w:t>228,846,388</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1,335,204,113</w:t>
            </w:r>
          </w:p>
        </w:tc>
      </w:tr>
      <w:tr>
        <w:trPr>
          <w:trHeight w:val="236"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2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2"/>
              <w:jc w:val="right"/>
              <w:rPr>
                <w:rFonts w:ascii="宋体" w:hAnsi="宋体" w:cs="宋体" w:eastAsia="宋体" w:hint="default"/>
                <w:sz w:val="16"/>
                <w:szCs w:val="16"/>
              </w:rPr>
            </w:pPr>
            <w:r>
              <w:rPr>
                <w:rFonts w:ascii="宋体"/>
                <w:w w:val="99"/>
                <w:sz w:val="16"/>
              </w:rPr>
              <w:t> </w:t>
            </w:r>
            <w:r>
              <w:rPr>
                <w:rFonts w:ascii="宋体"/>
                <w:sz w:val="16"/>
              </w:rPr>
            </w:r>
          </w:p>
        </w:tc>
      </w:tr>
      <w:tr>
        <w:trPr>
          <w:trHeight w:val="238"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5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2"/>
              <w:jc w:val="right"/>
              <w:rPr>
                <w:rFonts w:ascii="宋体" w:hAnsi="宋体" w:cs="宋体" w:eastAsia="宋体" w:hint="default"/>
                <w:sz w:val="16"/>
                <w:szCs w:val="16"/>
              </w:rPr>
            </w:pPr>
            <w:r>
              <w:rPr>
                <w:rFonts w:ascii="宋体"/>
                <w:w w:val="99"/>
                <w:sz w:val="16"/>
              </w:rPr>
              <w:t> </w:t>
            </w:r>
            <w:r>
              <w:rPr>
                <w:rFonts w:ascii="宋体"/>
                <w:sz w:val="16"/>
              </w:rPr>
            </w:r>
          </w:p>
        </w:tc>
      </w:tr>
      <w:tr>
        <w:trPr>
          <w:trHeight w:val="236"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5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2"/>
              <w:jc w:val="right"/>
              <w:rPr>
                <w:rFonts w:ascii="宋体" w:hAnsi="宋体" w:cs="宋体" w:eastAsia="宋体" w:hint="default"/>
                <w:sz w:val="16"/>
                <w:szCs w:val="16"/>
              </w:rPr>
            </w:pPr>
            <w:r>
              <w:rPr>
                <w:rFonts w:ascii="宋体"/>
                <w:w w:val="99"/>
                <w:sz w:val="16"/>
              </w:rPr>
              <w:t> </w:t>
            </w:r>
            <w:r>
              <w:rPr>
                <w:rFonts w:ascii="宋体"/>
                <w:sz w:val="16"/>
              </w:rPr>
            </w:r>
          </w:p>
        </w:tc>
      </w:tr>
      <w:tr>
        <w:trPr>
          <w:trHeight w:val="238"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281,451,690</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99"/>
              <w:jc w:val="right"/>
              <w:rPr>
                <w:rFonts w:ascii="Times New Roman" w:hAnsi="Times New Roman" w:cs="Times New Roman" w:eastAsia="Times New Roman" w:hint="default"/>
                <w:sz w:val="16"/>
                <w:szCs w:val="16"/>
              </w:rPr>
            </w:pPr>
            <w:r>
              <w:rPr>
                <w:rFonts w:ascii="Times New Roman"/>
                <w:spacing w:val="-1"/>
                <w:sz w:val="16"/>
              </w:rPr>
              <w:t>585,827,259</w:t>
            </w: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sz w:val="16"/>
              </w:rPr>
              <w:t>239,078,776</w:t>
            </w: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sz w:val="16"/>
              </w:rPr>
              <w:t>228,846,388</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1,335,204,113</w:t>
            </w:r>
          </w:p>
        </w:tc>
      </w:tr>
      <w:tr>
        <w:trPr>
          <w:trHeight w:val="236"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662,851,575</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Times New Roman" w:hAnsi="Times New Roman" w:cs="Times New Roman" w:eastAsia="Times New Roman" w:hint="default"/>
                <w:sz w:val="16"/>
                <w:szCs w:val="16"/>
              </w:rPr>
            </w:pPr>
            <w:r>
              <w:rPr>
                <w:rFonts w:ascii="Times New Roman"/>
                <w:spacing w:val="-1"/>
                <w:sz w:val="16"/>
              </w:rPr>
              <w:t>96,350,918</w:t>
            </w: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sz w:val="16"/>
              </w:rPr>
              <w:t>178,668,238</w:t>
            </w: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sz w:val="16"/>
              </w:rPr>
              <w:t>595,508,380</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2"/>
                <w:sz w:val="16"/>
              </w:rPr>
              <w:t>1,533,379,111</w:t>
            </w:r>
          </w:p>
        </w:tc>
      </w:tr>
      <w:tr>
        <w:trPr>
          <w:trHeight w:val="238"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w w:val="95"/>
                <w:sz w:val="16"/>
              </w:rPr>
              <w:t>382,415,611</w:t>
            </w:r>
            <w:r>
              <w:rPr>
                <w:rFonts w:ascii="Times New Roman"/>
                <w:spacing w:val="-1"/>
                <w:sz w:val="16"/>
              </w:rPr>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w w:val="95"/>
                <w:sz w:val="16"/>
              </w:rPr>
              <w:t>382,415,611</w:t>
            </w:r>
            <w:r>
              <w:rPr>
                <w:rFonts w:ascii="Times New Roman"/>
                <w:spacing w:val="-1"/>
                <w:sz w:val="16"/>
              </w:rPr>
            </w:r>
          </w:p>
        </w:tc>
      </w:tr>
      <w:tr>
        <w:trPr>
          <w:trHeight w:val="236"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Times New Roman" w:hAnsi="Times New Roman" w:cs="Times New Roman" w:eastAsia="Times New Roman" w:hint="default"/>
                <w:sz w:val="16"/>
                <w:szCs w:val="16"/>
              </w:rPr>
            </w:pPr>
            <w:r>
              <w:rPr>
                <w:rFonts w:ascii="Times New Roman"/>
                <w:spacing w:val="-1"/>
                <w:sz w:val="16"/>
              </w:rPr>
              <w:t>-87,231,562</w:t>
            </w: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4"/>
              <w:jc w:val="right"/>
              <w:rPr>
                <w:rFonts w:ascii="Times New Roman" w:hAnsi="Times New Roman" w:cs="Times New Roman" w:eastAsia="Times New Roman" w:hint="default"/>
                <w:sz w:val="16"/>
                <w:szCs w:val="16"/>
              </w:rPr>
            </w:pPr>
            <w:r>
              <w:rPr>
                <w:rFonts w:ascii="Times New Roman"/>
                <w:spacing w:val="-1"/>
                <w:sz w:val="16"/>
              </w:rPr>
              <w:t>-87,231,562</w:t>
            </w:r>
          </w:p>
        </w:tc>
      </w:tr>
      <w:tr>
        <w:trPr>
          <w:trHeight w:val="238"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Times New Roman" w:hAnsi="Times New Roman" w:cs="Times New Roman" w:eastAsia="Times New Roman" w:hint="default"/>
                <w:sz w:val="16"/>
                <w:szCs w:val="16"/>
              </w:rPr>
            </w:pPr>
            <w:r>
              <w:rPr>
                <w:rFonts w:ascii="Times New Roman"/>
                <w:spacing w:val="-1"/>
                <w:sz w:val="16"/>
              </w:rPr>
              <w:t>-87,231,562</w:t>
            </w: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w w:val="95"/>
                <w:sz w:val="16"/>
              </w:rPr>
              <w:t>382,415,611</w:t>
            </w:r>
            <w:r>
              <w:rPr>
                <w:rFonts w:ascii="Times New Roman"/>
                <w:spacing w:val="-1"/>
                <w:sz w:val="16"/>
              </w:rPr>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295,184,049</w:t>
            </w:r>
          </w:p>
        </w:tc>
      </w:tr>
      <w:tr>
        <w:trPr>
          <w:trHeight w:val="236"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243,161,235</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99"/>
              <w:jc w:val="right"/>
              <w:rPr>
                <w:rFonts w:ascii="Times New Roman" w:hAnsi="Times New Roman" w:cs="Times New Roman" w:eastAsia="Times New Roman" w:hint="default"/>
                <w:sz w:val="16"/>
                <w:szCs w:val="16"/>
              </w:rPr>
            </w:pPr>
            <w:r>
              <w:rPr>
                <w:rFonts w:ascii="Times New Roman"/>
                <w:spacing w:val="-1"/>
                <w:sz w:val="16"/>
              </w:rPr>
              <w:t>498,350,235</w:t>
            </w: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w w:val="95"/>
                <w:sz w:val="16"/>
              </w:rPr>
              <w:t>119,625,805</w:t>
            </w:r>
            <w:r>
              <w:rPr>
                <w:rFonts w:ascii="Times New Roman"/>
                <w:spacing w:val="-1"/>
                <w:sz w:val="16"/>
              </w:rPr>
            </w: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w w:val="95"/>
                <w:sz w:val="16"/>
              </w:rPr>
              <w:t>390,173,110</w:t>
            </w:r>
            <w:r>
              <w:rPr>
                <w:rFonts w:ascii="Times New Roman"/>
                <w:spacing w:val="-1"/>
                <w:sz w:val="16"/>
              </w:rPr>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1,251,310,385</w:t>
            </w:r>
          </w:p>
        </w:tc>
      </w:tr>
      <w:tr>
        <w:trPr>
          <w:trHeight w:val="238"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243,161,235</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99"/>
              <w:jc w:val="right"/>
              <w:rPr>
                <w:rFonts w:ascii="Times New Roman" w:hAnsi="Times New Roman" w:cs="Times New Roman" w:eastAsia="Times New Roman" w:hint="default"/>
                <w:sz w:val="16"/>
                <w:szCs w:val="16"/>
              </w:rPr>
            </w:pPr>
            <w:r>
              <w:rPr>
                <w:rFonts w:ascii="Times New Roman"/>
                <w:spacing w:val="-1"/>
                <w:sz w:val="16"/>
              </w:rPr>
              <w:t>498,350,235</w:t>
            </w: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w w:val="95"/>
                <w:sz w:val="16"/>
              </w:rPr>
              <w:t>119,625,805</w:t>
            </w:r>
            <w:r>
              <w:rPr>
                <w:rFonts w:ascii="Times New Roman"/>
                <w:spacing w:val="-1"/>
                <w:sz w:val="16"/>
              </w:rPr>
            </w: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w w:val="95"/>
                <w:sz w:val="16"/>
              </w:rPr>
              <w:t>390,173,110</w:t>
            </w:r>
            <w:r>
              <w:rPr>
                <w:rFonts w:ascii="Times New Roman"/>
                <w:spacing w:val="-1"/>
                <w:sz w:val="16"/>
              </w:rPr>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1,251,310,385</w:t>
            </w:r>
          </w:p>
        </w:tc>
      </w:tr>
      <w:tr>
        <w:trPr>
          <w:trHeight w:val="236"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
        </w:tc>
        <w:tc>
          <w:tcPr>
            <w:tcW w:w="154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
        </w:tc>
        <w:tc>
          <w:tcPr>
            <w:tcW w:w="154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104,922,585</w:t>
            </w: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sz w:val="16"/>
              </w:rPr>
              <w:t>59,042,433</w:t>
            </w: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sz w:val="16"/>
              </w:rPr>
              <w:t>-177,080,341</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4"/>
              <w:jc w:val="right"/>
              <w:rPr>
                <w:rFonts w:ascii="Times New Roman" w:hAnsi="Times New Roman" w:cs="Times New Roman" w:eastAsia="Times New Roman" w:hint="default"/>
                <w:sz w:val="16"/>
                <w:szCs w:val="16"/>
              </w:rPr>
            </w:pPr>
            <w:r>
              <w:rPr>
                <w:rFonts w:ascii="Times New Roman"/>
                <w:spacing w:val="-1"/>
                <w:w w:val="95"/>
                <w:sz w:val="16"/>
              </w:rPr>
              <w:t>-13,115,323</w:t>
            </w:r>
            <w:r>
              <w:rPr>
                <w:rFonts w:ascii="Times New Roman"/>
                <w:spacing w:val="-1"/>
                <w:sz w:val="16"/>
              </w:rPr>
            </w:r>
          </w:p>
        </w:tc>
      </w:tr>
      <w:tr>
        <w:trPr>
          <w:trHeight w:val="220"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1"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1"/>
              <w:jc w:val="right"/>
              <w:rPr>
                <w:rFonts w:ascii="Times New Roman" w:hAnsi="Times New Roman" w:cs="Times New Roman" w:eastAsia="Times New Roman" w:hint="default"/>
                <w:sz w:val="16"/>
                <w:szCs w:val="16"/>
              </w:rPr>
            </w:pPr>
            <w:r>
              <w:rPr>
                <w:rFonts w:ascii="Times New Roman"/>
                <w:spacing w:val="-1"/>
                <w:sz w:val="16"/>
              </w:rPr>
              <w:t>59,042,433</w:t>
            </w: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1"/>
              <w:jc w:val="right"/>
              <w:rPr>
                <w:rFonts w:ascii="Times New Roman" w:hAnsi="Times New Roman" w:cs="Times New Roman" w:eastAsia="Times New Roman" w:hint="default"/>
                <w:sz w:val="16"/>
                <w:szCs w:val="16"/>
              </w:rPr>
            </w:pPr>
            <w:r>
              <w:rPr>
                <w:rFonts w:ascii="Times New Roman"/>
                <w:spacing w:val="-1"/>
                <w:sz w:val="16"/>
              </w:rPr>
              <w:t>-59,042,433</w:t>
            </w:r>
          </w:p>
        </w:tc>
        <w:tc>
          <w:tcPr>
            <w:tcW w:w="154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
        </w:tc>
        <w:tc>
          <w:tcPr>
            <w:tcW w:w="154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104,922,585</w:t>
            </w: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w w:val="95"/>
                <w:sz w:val="16"/>
              </w:rPr>
              <w:t>-118,037,908</w:t>
            </w:r>
            <w:r>
              <w:rPr>
                <w:rFonts w:ascii="Times New Roman"/>
                <w:spacing w:val="-1"/>
                <w:sz w:val="16"/>
              </w:rPr>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4"/>
              <w:jc w:val="right"/>
              <w:rPr>
                <w:rFonts w:ascii="Times New Roman" w:hAnsi="Times New Roman" w:cs="Times New Roman" w:eastAsia="Times New Roman" w:hint="default"/>
                <w:sz w:val="16"/>
                <w:szCs w:val="16"/>
              </w:rPr>
            </w:pPr>
            <w:r>
              <w:rPr>
                <w:rFonts w:ascii="Times New Roman"/>
                <w:spacing w:val="-1"/>
                <w:w w:val="95"/>
                <w:sz w:val="16"/>
              </w:rPr>
              <w:t>-13,115,323</w:t>
            </w:r>
            <w:r>
              <w:rPr>
                <w:rFonts w:ascii="Times New Roman"/>
                <w:spacing w:val="-1"/>
                <w:sz w:val="16"/>
              </w:rPr>
            </w:r>
          </w:p>
        </w:tc>
      </w:tr>
      <w:tr>
        <w:trPr>
          <w:trHeight w:val="238"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
        </w:tc>
        <w:tc>
          <w:tcPr>
            <w:tcW w:w="154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314,767,755</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Times New Roman" w:hAnsi="Times New Roman" w:cs="Times New Roman" w:eastAsia="Times New Roman" w:hint="default"/>
                <w:sz w:val="16"/>
                <w:szCs w:val="16"/>
              </w:rPr>
            </w:pPr>
            <w:r>
              <w:rPr>
                <w:rFonts w:ascii="Times New Roman"/>
                <w:spacing w:val="-1"/>
                <w:sz w:val="16"/>
              </w:rPr>
              <w:t>-314,767,755</w:t>
            </w: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
        </w:tc>
        <w:tc>
          <w:tcPr>
            <w:tcW w:w="154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314,767,755</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Times New Roman" w:hAnsi="Times New Roman" w:cs="Times New Roman" w:eastAsia="Times New Roman" w:hint="default"/>
                <w:sz w:val="16"/>
                <w:szCs w:val="16"/>
              </w:rPr>
            </w:pPr>
            <w:r>
              <w:rPr>
                <w:rFonts w:ascii="Times New Roman"/>
                <w:spacing w:val="-1"/>
                <w:sz w:val="16"/>
              </w:rPr>
              <w:t>-314,767,755</w:t>
            </w: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
        </w:tc>
        <w:tc>
          <w:tcPr>
            <w:tcW w:w="154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
        </w:tc>
        <w:tc>
          <w:tcPr>
            <w:tcW w:w="154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
        </w:tc>
        <w:tc>
          <w:tcPr>
            <w:tcW w:w="154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
        </w:tc>
        <w:tc>
          <w:tcPr>
            <w:tcW w:w="154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
        </w:tc>
        <w:tc>
          <w:tcPr>
            <w:tcW w:w="154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2"/>
              <w:jc w:val="right"/>
              <w:rPr>
                <w:rFonts w:ascii="宋体" w:hAnsi="宋体" w:cs="宋体" w:eastAsia="宋体" w:hint="default"/>
                <w:sz w:val="16"/>
                <w:szCs w:val="16"/>
              </w:rPr>
            </w:pPr>
            <w:r>
              <w:rPr>
                <w:rFonts w:ascii="宋体"/>
                <w:w w:val="99"/>
                <w:sz w:val="16"/>
              </w:rPr>
              <w:t> </w:t>
            </w:r>
            <w:r>
              <w:rPr>
                <w:rFonts w:ascii="宋体"/>
                <w:sz w:val="16"/>
              </w:rPr>
            </w:r>
          </w:p>
        </w:tc>
      </w:tr>
      <w:tr>
        <w:trPr>
          <w:trHeight w:val="238"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517"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2"/>
              <w:jc w:val="right"/>
              <w:rPr>
                <w:rFonts w:ascii="宋体" w:hAnsi="宋体" w:cs="宋体" w:eastAsia="宋体" w:hint="default"/>
                <w:sz w:val="16"/>
                <w:szCs w:val="16"/>
              </w:rPr>
            </w:pPr>
            <w:r>
              <w:rPr>
                <w:rFonts w:ascii="宋体"/>
                <w:w w:val="99"/>
                <w:sz w:val="16"/>
              </w:rPr>
              <w:t> </w:t>
            </w:r>
            <w:r>
              <w:rPr>
                <w:rFonts w:ascii="宋体"/>
                <w:sz w:val="16"/>
              </w:rPr>
            </w:r>
          </w:p>
        </w:tc>
      </w:tr>
      <w:tr>
        <w:trPr>
          <w:trHeight w:val="238" w:hRule="exact"/>
        </w:trPr>
        <w:tc>
          <w:tcPr>
            <w:tcW w:w="3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944,303,265</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99"/>
              <w:jc w:val="right"/>
              <w:rPr>
                <w:rFonts w:ascii="Times New Roman" w:hAnsi="Times New Roman" w:cs="Times New Roman" w:eastAsia="Times New Roman" w:hint="default"/>
                <w:sz w:val="16"/>
                <w:szCs w:val="16"/>
              </w:rPr>
            </w:pPr>
            <w:r>
              <w:rPr>
                <w:rFonts w:ascii="Times New Roman"/>
                <w:spacing w:val="-1"/>
                <w:sz w:val="16"/>
              </w:rPr>
              <w:t>682,178,177</w:t>
            </w:r>
          </w:p>
        </w:tc>
        <w:tc>
          <w:tcPr>
            <w:tcW w:w="1100" w:type="dxa"/>
            <w:tcBorders>
              <w:top w:val="single" w:sz="4" w:space="0" w:color="000000"/>
              <w:left w:val="single" w:sz="4" w:space="0" w:color="000000"/>
              <w:bottom w:val="single" w:sz="4" w:space="0" w:color="000000"/>
              <w:right w:val="single" w:sz="4" w:space="0" w:color="000000"/>
            </w:tcBorders>
          </w:tcPr>
          <w:p>
            <w:pP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21"/>
              <w:jc w:val="right"/>
              <w:rPr>
                <w:rFonts w:ascii="宋体" w:hAnsi="宋体" w:cs="宋体" w:eastAsia="宋体" w:hint="default"/>
                <w:sz w:val="16"/>
                <w:szCs w:val="16"/>
              </w:rPr>
            </w:pPr>
            <w:r>
              <w:rPr>
                <w:rFonts w:ascii="宋体"/>
                <w:w w:val="99"/>
                <w:sz w:val="16"/>
              </w:rPr>
              <w:t> </w:t>
            </w:r>
            <w:r>
              <w:rPr>
                <w:rFonts w:ascii="宋体"/>
                <w:sz w:val="16"/>
              </w:rPr>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sz w:val="16"/>
              </w:rPr>
              <w:t>417,747,014</w:t>
            </w:r>
          </w:p>
        </w:tc>
        <w:tc>
          <w:tcPr>
            <w:tcW w:w="1314" w:type="dxa"/>
            <w:tcBorders>
              <w:top w:val="single" w:sz="4" w:space="0" w:color="000000"/>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sz w:val="16"/>
              </w:rPr>
              <w:t>824,354,768</w:t>
            </w:r>
          </w:p>
        </w:tc>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2,868,583,224</w:t>
            </w:r>
          </w:p>
        </w:tc>
      </w:tr>
    </w:tbl>
    <w:p>
      <w:pPr>
        <w:spacing w:line="206" w:lineRule="exact" w:before="0"/>
        <w:ind w:left="219"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1"/>
        <w:rPr>
          <w:rFonts w:ascii="宋体" w:hAnsi="宋体" w:cs="宋体" w:eastAsia="宋体" w:hint="default"/>
          <w:sz w:val="14"/>
          <w:szCs w:val="14"/>
        </w:rPr>
      </w:pPr>
    </w:p>
    <w:p>
      <w:pPr>
        <w:tabs>
          <w:tab w:pos="2469" w:val="left" w:leader="none"/>
          <w:tab w:pos="3009" w:val="left" w:leader="none"/>
          <w:tab w:pos="5439" w:val="left" w:leader="none"/>
          <w:tab w:pos="9219" w:val="left" w:leader="none"/>
          <w:tab w:pos="10029" w:val="left" w:leader="none"/>
        </w:tabs>
        <w:spacing w:before="0"/>
        <w:ind w:left="219"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ab/>
        <w:tab/>
        <w:t>主管会计工作负责人：王莉</w:t>
        <w:tab/>
        <w:tab/>
        <w:t>会计机构负责人：陈雷</w:t>
      </w:r>
    </w:p>
    <w:p>
      <w:pPr>
        <w:spacing w:after="0"/>
        <w:jc w:val="left"/>
        <w:rPr>
          <w:rFonts w:ascii="宋体" w:hAnsi="宋体" w:cs="宋体" w:eastAsia="宋体" w:hint="default"/>
          <w:sz w:val="18"/>
          <w:szCs w:val="18"/>
        </w:rPr>
        <w:sectPr>
          <w:pgSz w:w="16840" w:h="11900" w:orient="landscape"/>
          <w:pgMar w:header="1471" w:footer="995" w:top="1680" w:bottom="1180" w:left="1220" w:right="1340"/>
        </w:sectPr>
      </w:pPr>
    </w:p>
    <w:p>
      <w:pPr>
        <w:spacing w:before="51"/>
        <w:ind w:left="5444" w:right="5945" w:firstLine="0"/>
        <w:jc w:val="center"/>
        <w:rPr>
          <w:rFonts w:ascii="宋体" w:hAnsi="宋体" w:cs="宋体" w:eastAsia="宋体" w:hint="default"/>
          <w:sz w:val="21"/>
          <w:szCs w:val="21"/>
        </w:rPr>
      </w:pPr>
      <w:r>
        <w:rPr>
          <w:rFonts w:ascii="宋体" w:hAnsi="宋体" w:cs="宋体" w:eastAsia="宋体" w:hint="default"/>
          <w:sz w:val="21"/>
          <w:szCs w:val="21"/>
        </w:rPr>
        <w:t>合并所有者权益变动表</w:t>
      </w:r>
    </w:p>
    <w:p>
      <w:pPr>
        <w:spacing w:line="260" w:lineRule="exact" w:before="51"/>
        <w:ind w:left="5444" w:right="5945"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    </w:t>
      </w:r>
      <w:r>
        <w:rPr>
          <w:rFonts w:ascii="宋体" w:hAnsi="宋体" w:cs="宋体" w:eastAsia="宋体" w:hint="default"/>
          <w:sz w:val="21"/>
          <w:szCs w:val="21"/>
        </w:rPr>
        <w:t>年度</w:t>
      </w:r>
    </w:p>
    <w:p>
      <w:pPr>
        <w:spacing w:line="244" w:lineRule="exact" w:before="0"/>
        <w:ind w:left="5445" w:right="5945" w:firstLine="0"/>
        <w:jc w:val="center"/>
        <w:rPr>
          <w:rFonts w:ascii="宋体" w:hAnsi="宋体" w:cs="宋体" w:eastAsia="宋体" w:hint="default"/>
          <w:sz w:val="21"/>
          <w:szCs w:val="21"/>
        </w:rPr>
      </w:pPr>
      <w:r>
        <w:rPr>
          <w:rFonts w:ascii="宋体" w:hAnsi="宋体" w:cs="宋体" w:eastAsia="宋体" w:hint="default"/>
          <w:sz w:val="21"/>
          <w:szCs w:val="21"/>
        </w:rPr>
        <w:t>（除特别注明外，金额单位均为人民币元）</w:t>
      </w:r>
    </w:p>
    <w:p>
      <w:pPr>
        <w:spacing w:line="240" w:lineRule="auto" w:before="1"/>
        <w:rPr>
          <w:rFonts w:ascii="宋体" w:hAnsi="宋体" w:cs="宋体" w:eastAsia="宋体" w:hint="default"/>
          <w:sz w:val="8"/>
          <w:szCs w:val="8"/>
        </w:rPr>
      </w:pPr>
    </w:p>
    <w:tbl>
      <w:tblPr>
        <w:tblW w:w="0" w:type="auto"/>
        <w:jc w:val="left"/>
        <w:tblInd w:w="115" w:type="dxa"/>
        <w:tblLayout w:type="fixed"/>
        <w:tblCellMar>
          <w:top w:w="0" w:type="dxa"/>
          <w:left w:w="0" w:type="dxa"/>
          <w:bottom w:w="0" w:type="dxa"/>
          <w:right w:w="0" w:type="dxa"/>
        </w:tblCellMar>
        <w:tblLook w:val="01E0"/>
      </w:tblPr>
      <w:tblGrid>
        <w:gridCol w:w="3250"/>
        <w:gridCol w:w="1430"/>
        <w:gridCol w:w="1258"/>
        <w:gridCol w:w="1116"/>
        <w:gridCol w:w="936"/>
        <w:gridCol w:w="1172"/>
        <w:gridCol w:w="1172"/>
        <w:gridCol w:w="1296"/>
        <w:gridCol w:w="1048"/>
        <w:gridCol w:w="1266"/>
        <w:gridCol w:w="1232"/>
      </w:tblGrid>
      <w:tr>
        <w:trPr>
          <w:trHeight w:val="250" w:hRule="exact"/>
        </w:trPr>
        <w:tc>
          <w:tcPr>
            <w:tcW w:w="3250"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1927" w:type="dxa"/>
            <w:gridSpan w:val="10"/>
            <w:tcBorders>
              <w:top w:val="single" w:sz="4" w:space="0" w:color="000000"/>
              <w:left w:val="single" w:sz="4" w:space="0" w:color="000000"/>
              <w:bottom w:val="single" w:sz="4" w:space="0" w:color="000000"/>
              <w:right w:val="single" w:sz="4" w:space="0" w:color="000000"/>
            </w:tcBorders>
          </w:tcPr>
          <w:p>
            <w:pPr>
              <w:pStyle w:val="TableParagraph"/>
              <w:spacing w:line="189" w:lineRule="exact"/>
              <w:ind w:right="1"/>
              <w:jc w:val="center"/>
              <w:rPr>
                <w:rFonts w:ascii="宋体" w:hAnsi="宋体" w:cs="宋体" w:eastAsia="宋体" w:hint="default"/>
                <w:sz w:val="15"/>
                <w:szCs w:val="15"/>
              </w:rPr>
            </w:pPr>
            <w:r>
              <w:rPr>
                <w:rFonts w:ascii="宋体" w:hAnsi="宋体" w:cs="宋体" w:eastAsia="宋体" w:hint="default"/>
                <w:sz w:val="15"/>
                <w:szCs w:val="15"/>
              </w:rPr>
              <w:t>本期金额</w:t>
            </w:r>
          </w:p>
        </w:tc>
      </w:tr>
      <w:tr>
        <w:trPr>
          <w:trHeight w:val="251" w:hRule="exact"/>
        </w:trPr>
        <w:tc>
          <w:tcPr>
            <w:tcW w:w="3250" w:type="dxa"/>
            <w:vMerge/>
            <w:tcBorders>
              <w:left w:val="single" w:sz="4" w:space="0" w:color="000000"/>
              <w:right w:val="single" w:sz="4" w:space="0" w:color="000000"/>
            </w:tcBorders>
          </w:tcPr>
          <w:p>
            <w:pPr/>
          </w:p>
        </w:tc>
        <w:tc>
          <w:tcPr>
            <w:tcW w:w="9428" w:type="dxa"/>
            <w:gridSpan w:val="8"/>
            <w:tcBorders>
              <w:top w:val="single" w:sz="4" w:space="0" w:color="000000"/>
              <w:left w:val="single" w:sz="4" w:space="0" w:color="000000"/>
              <w:bottom w:val="single" w:sz="4" w:space="0" w:color="000000"/>
              <w:right w:val="single" w:sz="4" w:space="0" w:color="000000"/>
            </w:tcBorders>
          </w:tcPr>
          <w:p>
            <w:pPr>
              <w:pStyle w:val="TableParagraph"/>
              <w:spacing w:line="189" w:lineRule="exact"/>
              <w:ind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266" w:type="dxa"/>
            <w:vMerge w:val="restart"/>
            <w:tcBorders>
              <w:top w:val="single" w:sz="4" w:space="0" w:color="000000"/>
              <w:left w:val="single" w:sz="4" w:space="0" w:color="000000"/>
              <w:right w:val="single" w:sz="4" w:space="0" w:color="000000"/>
            </w:tcBorders>
          </w:tcPr>
          <w:p>
            <w:pPr>
              <w:pStyle w:val="TableParagraph"/>
              <w:spacing w:line="240" w:lineRule="auto" w:before="113"/>
              <w:ind w:left="177"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232" w:type="dxa"/>
            <w:vMerge w:val="restart"/>
            <w:tcBorders>
              <w:top w:val="single" w:sz="4" w:space="0" w:color="000000"/>
              <w:left w:val="single" w:sz="4" w:space="0" w:color="000000"/>
              <w:right w:val="single" w:sz="4" w:space="0" w:color="000000"/>
            </w:tcBorders>
          </w:tcPr>
          <w:p>
            <w:pPr>
              <w:pStyle w:val="TableParagraph"/>
              <w:spacing w:line="256" w:lineRule="auto" w:before="7"/>
              <w:ind w:left="536" w:right="160" w:hanging="376"/>
              <w:jc w:val="left"/>
              <w:rPr>
                <w:rFonts w:ascii="宋体" w:hAnsi="宋体" w:cs="宋体" w:eastAsia="宋体" w:hint="default"/>
                <w:sz w:val="15"/>
                <w:szCs w:val="15"/>
              </w:rPr>
            </w:pPr>
            <w:r>
              <w:rPr>
                <w:rFonts w:ascii="宋体" w:hAnsi="宋体" w:cs="宋体" w:eastAsia="宋体" w:hint="default"/>
                <w:sz w:val="15"/>
                <w:szCs w:val="15"/>
              </w:rPr>
              <w:t>所有者权益合 计</w:t>
            </w:r>
          </w:p>
        </w:tc>
      </w:tr>
      <w:tr>
        <w:trPr>
          <w:trHeight w:val="250" w:hRule="exact"/>
        </w:trPr>
        <w:tc>
          <w:tcPr>
            <w:tcW w:w="3250" w:type="dxa"/>
            <w:vMerge/>
            <w:tcBorders>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right="132"/>
              <w:jc w:val="right"/>
              <w:rPr>
                <w:rFonts w:ascii="Times New Roman" w:hAnsi="Times New Roman" w:cs="Times New Roman" w:eastAsia="Times New Roman"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或股本</w:t>
            </w:r>
            <w:r>
              <w:rPr>
                <w:rFonts w:ascii="Times New Roman" w:hAnsi="Times New Roman" w:cs="Times New Roman" w:eastAsia="Times New Roman" w:hint="default"/>
                <w:sz w:val="15"/>
                <w:szCs w:val="15"/>
              </w:rPr>
              <w:t>)</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23"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77"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63"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80"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30"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67"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right="1"/>
              <w:jc w:val="center"/>
              <w:rPr>
                <w:rFonts w:ascii="宋体" w:hAnsi="宋体" w:cs="宋体" w:eastAsia="宋体" w:hint="default"/>
                <w:sz w:val="15"/>
                <w:szCs w:val="15"/>
              </w:rPr>
            </w:pPr>
            <w:r>
              <w:rPr>
                <w:rFonts w:ascii="宋体" w:hAnsi="宋体" w:cs="宋体" w:eastAsia="宋体" w:hint="default"/>
                <w:sz w:val="15"/>
                <w:szCs w:val="15"/>
              </w:rPr>
              <w:t>其他</w:t>
            </w:r>
          </w:p>
        </w:tc>
        <w:tc>
          <w:tcPr>
            <w:tcW w:w="1266" w:type="dxa"/>
            <w:vMerge/>
            <w:tcBorders>
              <w:left w:val="single" w:sz="4" w:space="0" w:color="000000"/>
              <w:bottom w:val="single" w:sz="4" w:space="0" w:color="000000"/>
              <w:right w:val="single" w:sz="4" w:space="0" w:color="000000"/>
            </w:tcBorders>
          </w:tcPr>
          <w:p>
            <w:pPr/>
          </w:p>
        </w:tc>
        <w:tc>
          <w:tcPr>
            <w:tcW w:w="1232" w:type="dxa"/>
            <w:vMerge/>
            <w:tcBorders>
              <w:left w:val="single" w:sz="4" w:space="0" w:color="000000"/>
              <w:bottom w:val="single" w:sz="4" w:space="0" w:color="000000"/>
              <w:right w:val="single" w:sz="4" w:space="0" w:color="000000"/>
            </w:tcBorders>
          </w:tcPr>
          <w:p>
            <w:pP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944,303,265</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w w:val="95"/>
                <w:sz w:val="16"/>
              </w:rPr>
              <w:t>692,119,071</w:t>
            </w:r>
            <w:r>
              <w:rPr>
                <w:rFonts w:ascii="Times New Roman"/>
                <w:spacing w:val="-1"/>
                <w:sz w:val="16"/>
              </w:rPr>
            </w: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417,747,014</w:t>
            </w: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1,367,404,869</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-14,102,004</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255,754,034</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3,663,226,249</w:t>
            </w:r>
          </w:p>
        </w:tc>
      </w:tr>
      <w:tr>
        <w:trPr>
          <w:trHeight w:val="251"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5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5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944,303,265</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w w:val="95"/>
                <w:sz w:val="16"/>
              </w:rPr>
              <w:t>692,119,071</w:t>
            </w:r>
            <w:r>
              <w:rPr>
                <w:rFonts w:ascii="Times New Roman"/>
                <w:spacing w:val="-1"/>
                <w:sz w:val="16"/>
              </w:rPr>
            </w: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417,747,014</w:t>
            </w: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1,367,404,869</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-14,102,004</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255,754,034</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3,663,226,249</w:t>
            </w: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-45,753,368</w:t>
            </w: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82,868,361</w:t>
            </w: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557,695,673</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-4,720,204</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19,574,015</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609,664,477</w:t>
            </w: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640,564,034</w:t>
            </w: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10,513,913</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651,077,947</w:t>
            </w:r>
          </w:p>
        </w:tc>
      </w:tr>
      <w:tr>
        <w:trPr>
          <w:trHeight w:val="251"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-45,825,312</w:t>
            </w: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-4,720,204</w:t>
            </w:r>
          </w:p>
        </w:tc>
        <w:tc>
          <w:tcPr>
            <w:tcW w:w="1266"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-50,545,516</w:t>
            </w: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-45,825,312</w:t>
            </w: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640,564,034</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-4,720,204</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10,513,913</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600,532,431</w:t>
            </w: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71,944</w:t>
            </w: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10,820,102</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10,892,046</w:t>
            </w:r>
          </w:p>
        </w:tc>
      </w:tr>
      <w:tr>
        <w:trPr>
          <w:trHeight w:val="251"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71,944</w:t>
            </w: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10,833,353</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10,905,297</w:t>
            </w: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-13,251</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-13,251</w:t>
            </w:r>
          </w:p>
        </w:tc>
      </w:tr>
      <w:tr>
        <w:trPr>
          <w:trHeight w:val="251"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82,868,361</w:t>
            </w: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-82,868,361</w:t>
            </w: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-1,760,000</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-1,760,000</w:t>
            </w: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82,868,361</w:t>
            </w: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-82,868,361</w:t>
            </w: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-1,760,000</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-1,760,000</w:t>
            </w: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430" w:type="dxa"/>
            <w:tcBorders>
              <w:top w:val="single" w:sz="4" w:space="0" w:color="000000"/>
              <w:left w:val="single" w:sz="4" w:space="0" w:color="000000"/>
              <w:bottom w:val="single" w:sz="4" w:space="0" w:color="000000"/>
              <w:right w:val="single" w:sz="4" w:space="0" w:color="000000"/>
            </w:tcBorders>
          </w:tcPr>
          <w:p>
            <w:pPr/>
          </w:p>
        </w:tc>
        <w:tc>
          <w:tcPr>
            <w:tcW w:w="1258"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232"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944,303,265</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646,365,703</w:t>
            </w:r>
          </w:p>
        </w:tc>
        <w:tc>
          <w:tcPr>
            <w:tcW w:w="1116"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500,615,375</w:t>
            </w:r>
          </w:p>
        </w:tc>
        <w:tc>
          <w:tcPr>
            <w:tcW w:w="1172"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1,925,100,542</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-18,822,208</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275,328,049</w:t>
            </w:r>
          </w:p>
        </w:tc>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16"/>
                <w:szCs w:val="16"/>
              </w:rPr>
            </w:pPr>
            <w:r>
              <w:rPr>
                <w:rFonts w:ascii="Times New Roman"/>
                <w:spacing w:val="-1"/>
                <w:sz w:val="16"/>
              </w:rPr>
              <w:t>4,272,890,726</w:t>
            </w:r>
          </w:p>
        </w:tc>
      </w:tr>
    </w:tbl>
    <w:p>
      <w:pPr>
        <w:spacing w:after="0" w:line="240" w:lineRule="auto"/>
        <w:jc w:val="right"/>
        <w:rPr>
          <w:rFonts w:ascii="Times New Roman" w:hAnsi="Times New Roman" w:cs="Times New Roman" w:eastAsia="Times New Roman" w:hint="default"/>
          <w:sz w:val="16"/>
          <w:szCs w:val="16"/>
        </w:rPr>
        <w:sectPr>
          <w:footerReference w:type="default" r:id="rId26"/>
          <w:pgSz w:w="16840" w:h="11900" w:orient="landscape"/>
          <w:pgMar w:footer="1516" w:header="1471" w:top="1680" w:bottom="1700" w:left="960" w:right="460"/>
          <w:pgNumType w:start="11"/>
        </w:sectPr>
      </w:pPr>
    </w:p>
    <w:p>
      <w:pPr>
        <w:spacing w:before="51"/>
        <w:ind w:left="5185" w:right="6145" w:firstLine="0"/>
        <w:jc w:val="center"/>
        <w:rPr>
          <w:rFonts w:ascii="宋体" w:hAnsi="宋体" w:cs="宋体" w:eastAsia="宋体" w:hint="default"/>
          <w:sz w:val="21"/>
          <w:szCs w:val="21"/>
        </w:rPr>
      </w:pPr>
      <w:r>
        <w:rPr>
          <w:rFonts w:ascii="宋体" w:hAnsi="宋体" w:cs="宋体" w:eastAsia="宋体" w:hint="default"/>
          <w:sz w:val="21"/>
          <w:szCs w:val="21"/>
        </w:rPr>
        <w:t>合并所有者权益变动表（续）</w:t>
      </w:r>
    </w:p>
    <w:p>
      <w:pPr>
        <w:spacing w:before="51"/>
        <w:ind w:left="5184" w:right="6145"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    </w:t>
      </w:r>
      <w:r>
        <w:rPr>
          <w:rFonts w:ascii="宋体" w:hAnsi="宋体" w:cs="宋体" w:eastAsia="宋体" w:hint="default"/>
          <w:sz w:val="21"/>
          <w:szCs w:val="21"/>
        </w:rPr>
        <w:t>年度</w:t>
      </w:r>
    </w:p>
    <w:p>
      <w:pPr>
        <w:spacing w:before="58"/>
        <w:ind w:left="5185" w:right="6145" w:firstLine="0"/>
        <w:jc w:val="center"/>
        <w:rPr>
          <w:rFonts w:ascii="宋体" w:hAnsi="宋体" w:cs="宋体" w:eastAsia="宋体" w:hint="default"/>
          <w:sz w:val="21"/>
          <w:szCs w:val="21"/>
        </w:rPr>
      </w:pPr>
      <w:r>
        <w:rPr>
          <w:rFonts w:ascii="宋体" w:hAnsi="宋体" w:cs="宋体" w:eastAsia="宋体" w:hint="default"/>
          <w:sz w:val="21"/>
          <w:szCs w:val="21"/>
        </w:rPr>
        <w:t>（除特别注明外，金额单位均为人民币元）</w:t>
      </w:r>
    </w:p>
    <w:p>
      <w:pPr>
        <w:spacing w:line="240" w:lineRule="auto" w:before="0"/>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2988"/>
        <w:gridCol w:w="1516"/>
        <w:gridCol w:w="1296"/>
        <w:gridCol w:w="1076"/>
        <w:gridCol w:w="860"/>
        <w:gridCol w:w="1096"/>
        <w:gridCol w:w="1146"/>
        <w:gridCol w:w="1296"/>
        <w:gridCol w:w="1150"/>
        <w:gridCol w:w="1291"/>
        <w:gridCol w:w="1416"/>
      </w:tblGrid>
      <w:tr>
        <w:trPr>
          <w:trHeight w:val="238" w:hRule="exact"/>
        </w:trPr>
        <w:tc>
          <w:tcPr>
            <w:tcW w:w="2988"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2143" w:type="dxa"/>
            <w:gridSpan w:val="10"/>
            <w:tcBorders>
              <w:top w:val="single" w:sz="4" w:space="0" w:color="000000"/>
              <w:left w:val="single" w:sz="4" w:space="0" w:color="000000"/>
              <w:bottom w:val="single" w:sz="4" w:space="0" w:color="000000"/>
              <w:right w:val="single" w:sz="4" w:space="0" w:color="000000"/>
            </w:tcBorders>
          </w:tcPr>
          <w:p>
            <w:pPr>
              <w:pStyle w:val="TableParagraph"/>
              <w:spacing w:line="194" w:lineRule="exact"/>
              <w:ind w:right="1"/>
              <w:jc w:val="center"/>
              <w:rPr>
                <w:rFonts w:ascii="宋体" w:hAnsi="宋体" w:cs="宋体" w:eastAsia="宋体" w:hint="default"/>
                <w:sz w:val="15"/>
                <w:szCs w:val="15"/>
              </w:rPr>
            </w:pPr>
            <w:r>
              <w:rPr>
                <w:rFonts w:ascii="宋体" w:hAnsi="宋体" w:cs="宋体" w:eastAsia="宋体" w:hint="default"/>
                <w:sz w:val="15"/>
                <w:szCs w:val="15"/>
              </w:rPr>
              <w:t>上年同期金额</w:t>
            </w:r>
          </w:p>
        </w:tc>
      </w:tr>
      <w:tr>
        <w:trPr>
          <w:trHeight w:val="236" w:hRule="exact"/>
        </w:trPr>
        <w:tc>
          <w:tcPr>
            <w:tcW w:w="2988" w:type="dxa"/>
            <w:vMerge/>
            <w:tcBorders>
              <w:left w:val="single" w:sz="4" w:space="0" w:color="000000"/>
              <w:right w:val="single" w:sz="4" w:space="0" w:color="000000"/>
            </w:tcBorders>
          </w:tcPr>
          <w:p>
            <w:pPr/>
          </w:p>
        </w:tc>
        <w:tc>
          <w:tcPr>
            <w:tcW w:w="9436" w:type="dxa"/>
            <w:gridSpan w:val="8"/>
            <w:tcBorders>
              <w:top w:val="single" w:sz="4" w:space="0" w:color="000000"/>
              <w:left w:val="single" w:sz="4" w:space="0" w:color="000000"/>
              <w:bottom w:val="single" w:sz="4" w:space="0" w:color="000000"/>
              <w:right w:val="single" w:sz="4" w:space="0" w:color="000000"/>
            </w:tcBorders>
          </w:tcPr>
          <w:p>
            <w:pPr>
              <w:pStyle w:val="TableParagraph"/>
              <w:spacing w:line="194" w:lineRule="exact"/>
              <w:ind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291" w:type="dxa"/>
            <w:vMerge w:val="restart"/>
            <w:tcBorders>
              <w:top w:val="single" w:sz="4" w:space="0" w:color="000000"/>
              <w:left w:val="single" w:sz="4" w:space="0" w:color="000000"/>
              <w:right w:val="single" w:sz="4" w:space="0" w:color="000000"/>
            </w:tcBorders>
          </w:tcPr>
          <w:p>
            <w:pPr>
              <w:pStyle w:val="TableParagraph"/>
              <w:spacing w:line="240" w:lineRule="auto" w:before="111"/>
              <w:ind w:left="190"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before="111"/>
              <w:ind w:left="177"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38" w:hRule="exact"/>
        </w:trPr>
        <w:tc>
          <w:tcPr>
            <w:tcW w:w="2988" w:type="dxa"/>
            <w:vMerge/>
            <w:tcBorders>
              <w:left w:val="single" w:sz="4" w:space="0" w:color="000000"/>
              <w:bottom w:val="single" w:sz="4" w:space="0" w:color="000000"/>
              <w:right w:val="single" w:sz="4" w:space="0" w:color="000000"/>
            </w:tcBorders>
          </w:tcPr>
          <w:p>
            <w:pP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7"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或股本</w:t>
            </w:r>
            <w:r>
              <w:rPr>
                <w:rFonts w:ascii="Times New Roman" w:hAnsi="Times New Roman" w:cs="Times New Roman" w:eastAsia="Times New Roman" w:hint="default"/>
                <w:sz w:val="15"/>
                <w:szCs w:val="15"/>
              </w:rPr>
              <w:t>)</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343"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58"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860"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24"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242"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17"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267"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right="0"/>
              <w:jc w:val="center"/>
              <w:rPr>
                <w:rFonts w:ascii="宋体" w:hAnsi="宋体" w:cs="宋体" w:eastAsia="宋体" w:hint="default"/>
                <w:sz w:val="15"/>
                <w:szCs w:val="15"/>
              </w:rPr>
            </w:pPr>
            <w:r>
              <w:rPr>
                <w:rFonts w:ascii="宋体" w:hAnsi="宋体" w:cs="宋体" w:eastAsia="宋体" w:hint="default"/>
                <w:sz w:val="15"/>
                <w:szCs w:val="15"/>
              </w:rPr>
              <w:t>其他</w:t>
            </w:r>
          </w:p>
        </w:tc>
        <w:tc>
          <w:tcPr>
            <w:tcW w:w="1291"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r>
      <w:tr>
        <w:trPr>
          <w:trHeight w:val="236"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281,451,690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590,195,607</w:t>
            </w: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81" w:right="0"/>
              <w:jc w:val="left"/>
              <w:rPr>
                <w:rFonts w:ascii="Times New Roman" w:hAnsi="Times New Roman" w:cs="Times New Roman" w:eastAsia="Times New Roman" w:hint="default"/>
                <w:sz w:val="16"/>
                <w:szCs w:val="16"/>
              </w:rPr>
            </w:pPr>
            <w:r>
              <w:rPr>
                <w:rFonts w:ascii="Times New Roman"/>
                <w:sz w:val="16"/>
              </w:rPr>
              <w:t>239,078,776</w:t>
            </w: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519,032,919</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2"/>
                <w:sz w:val="16"/>
              </w:rPr>
              <w:t>-15,111,643</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186,410,440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1,801,057,789</w:t>
            </w:r>
          </w:p>
        </w:tc>
      </w:tr>
      <w:tr>
        <w:trPr>
          <w:trHeight w:val="238"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2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5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5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752,670,552</w:t>
            </w: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87" w:right="0"/>
              <w:jc w:val="left"/>
              <w:rPr>
                <w:rFonts w:ascii="Times New Roman" w:hAnsi="Times New Roman" w:cs="Times New Roman" w:eastAsia="Times New Roman" w:hint="default"/>
                <w:sz w:val="16"/>
                <w:szCs w:val="16"/>
              </w:rPr>
            </w:pPr>
            <w:r>
              <w:rPr>
                <w:rFonts w:ascii="Times New Roman"/>
                <w:sz w:val="16"/>
              </w:rPr>
              <w:t>119,625,805</w:t>
            </w: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534,673,391</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-392,333</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85,181,136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1,491,758,551</w:t>
            </w:r>
          </w:p>
        </w:tc>
      </w:tr>
      <w:tr>
        <w:trPr>
          <w:trHeight w:val="236"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281,451,690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1,342,866,159</w:t>
            </w: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81" w:right="0"/>
              <w:jc w:val="left"/>
              <w:rPr>
                <w:rFonts w:ascii="Times New Roman" w:hAnsi="Times New Roman" w:cs="Times New Roman" w:eastAsia="Times New Roman" w:hint="default"/>
                <w:sz w:val="16"/>
                <w:szCs w:val="16"/>
              </w:rPr>
            </w:pPr>
            <w:r>
              <w:rPr>
                <w:rFonts w:ascii="Times New Roman"/>
                <w:sz w:val="16"/>
              </w:rPr>
              <w:t>358,704,581</w:t>
            </w: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1,053,706,310</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-15,503,976</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271,591,576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3,292,816,340</w:t>
            </w:r>
          </w:p>
        </w:tc>
      </w:tr>
      <w:tr>
        <w:trPr>
          <w:trHeight w:val="238"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5"/>
                <w:szCs w:val="15"/>
              </w:rPr>
            </w:pPr>
            <w:r>
              <w:rPr>
                <w:rFonts w:ascii="宋体" w:hAnsi="宋体" w:cs="宋体" w:eastAsia="宋体" w:hint="default"/>
                <w:spacing w:val="-2"/>
                <w:sz w:val="15"/>
                <w:szCs w:val="15"/>
              </w:rPr>
              <w:t>三、本期增减变动金额（减少以</w:t>
            </w:r>
            <w:r>
              <w:rPr>
                <w:rFonts w:ascii="Times New Roman" w:hAnsi="Times New Roman" w:cs="Times New Roman" w:eastAsia="Times New Roman" w:hint="default"/>
                <w:spacing w:val="-2"/>
                <w:sz w:val="15"/>
                <w:szCs w:val="15"/>
              </w:rPr>
              <w:t>“-”</w:t>
            </w:r>
            <w:r>
              <w:rPr>
                <w:rFonts w:ascii="宋体" w:hAnsi="宋体" w:cs="宋体" w:eastAsia="宋体" w:hint="default"/>
                <w:spacing w:val="-2"/>
                <w:sz w:val="15"/>
                <w:szCs w:val="15"/>
              </w:rPr>
              <w:t>号填列）</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662,851,575</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-650,747,088</w:t>
            </w: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61" w:right="0"/>
              <w:jc w:val="left"/>
              <w:rPr>
                <w:rFonts w:ascii="Times New Roman" w:hAnsi="Times New Roman" w:cs="Times New Roman" w:eastAsia="Times New Roman" w:hint="default"/>
                <w:sz w:val="16"/>
                <w:szCs w:val="16"/>
              </w:rPr>
            </w:pPr>
            <w:r>
              <w:rPr>
                <w:rFonts w:ascii="Times New Roman"/>
                <w:sz w:val="16"/>
              </w:rPr>
              <w:t>59,042,433</w:t>
            </w: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313,698,559</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1,401,972</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-15,837,542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370,409,909</w:t>
            </w:r>
          </w:p>
        </w:tc>
      </w:tr>
      <w:tr>
        <w:trPr>
          <w:trHeight w:val="236"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490,778,900</w:t>
            </w: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-18,467,772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w w:val="95"/>
                <w:sz w:val="16"/>
              </w:rPr>
              <w:t>472,311,128</w:t>
            </w:r>
            <w:r>
              <w:rPr>
                <w:rFonts w:ascii="Times New Roman"/>
                <w:spacing w:val="-1"/>
                <w:sz w:val="16"/>
              </w:rPr>
            </w:r>
          </w:p>
        </w:tc>
      </w:tr>
      <w:tr>
        <w:trPr>
          <w:trHeight w:val="238"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-92,613,505</w:t>
            </w: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1,401,972</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390,230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-90,821,303</w:t>
            </w:r>
          </w:p>
        </w:tc>
      </w:tr>
      <w:tr>
        <w:trPr>
          <w:trHeight w:val="236"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-92,613,505</w:t>
            </w: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490,778,900</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1,401,972</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-18,077,542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381,489,825</w:t>
            </w:r>
          </w:p>
        </w:tc>
      </w:tr>
      <w:tr>
        <w:trPr>
          <w:trHeight w:val="238"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243,161,235</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-243,365,828</w:t>
            </w: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3,400,000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3,195,407</w:t>
            </w:r>
          </w:p>
        </w:tc>
      </w:tr>
      <w:tr>
        <w:trPr>
          <w:trHeight w:val="236"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243,161,235</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-243,161,235</w:t>
            </w: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3,400,000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3,400,000</w:t>
            </w:r>
          </w:p>
        </w:tc>
      </w:tr>
      <w:tr>
        <w:trPr>
          <w:trHeight w:val="238"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-204,593</w:t>
            </w: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-204,593</w:t>
            </w:r>
          </w:p>
        </w:tc>
      </w:tr>
      <w:tr>
        <w:trPr>
          <w:trHeight w:val="238"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104,922,585</w:t>
            </w:r>
          </w:p>
        </w:tc>
        <w:tc>
          <w:tcPr>
            <w:tcW w:w="1296"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61" w:right="0"/>
              <w:jc w:val="left"/>
              <w:rPr>
                <w:rFonts w:ascii="Times New Roman" w:hAnsi="Times New Roman" w:cs="Times New Roman" w:eastAsia="Times New Roman" w:hint="default"/>
                <w:sz w:val="16"/>
                <w:szCs w:val="16"/>
              </w:rPr>
            </w:pPr>
            <w:r>
              <w:rPr>
                <w:rFonts w:ascii="Times New Roman"/>
                <w:sz w:val="16"/>
              </w:rPr>
              <w:t>59,042,433</w:t>
            </w: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-177,080,341</w:t>
            </w: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-1,160,000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-14,275,323</w:t>
            </w:r>
          </w:p>
        </w:tc>
      </w:tr>
      <w:tr>
        <w:trPr>
          <w:trHeight w:val="236"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61" w:right="0"/>
              <w:jc w:val="left"/>
              <w:rPr>
                <w:rFonts w:ascii="Times New Roman" w:hAnsi="Times New Roman" w:cs="Times New Roman" w:eastAsia="Times New Roman" w:hint="default"/>
                <w:sz w:val="16"/>
                <w:szCs w:val="16"/>
              </w:rPr>
            </w:pPr>
            <w:r>
              <w:rPr>
                <w:rFonts w:ascii="Times New Roman"/>
                <w:sz w:val="16"/>
              </w:rPr>
              <w:t>59,042,433</w:t>
            </w: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-59,042,433</w:t>
            </w: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104,922,585</w:t>
            </w:r>
          </w:p>
        </w:tc>
        <w:tc>
          <w:tcPr>
            <w:tcW w:w="1296"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w w:val="95"/>
                <w:sz w:val="16"/>
              </w:rPr>
              <w:t>-118,037,908</w:t>
            </w:r>
            <w:r>
              <w:rPr>
                <w:rFonts w:ascii="Times New Roman"/>
                <w:spacing w:val="-1"/>
                <w:sz w:val="16"/>
              </w:rPr>
            </w: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-1,160,000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-14,275,323</w:t>
            </w:r>
          </w:p>
        </w:tc>
      </w:tr>
      <w:tr>
        <w:trPr>
          <w:trHeight w:val="238"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314,767,755</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-314,767,755</w:t>
            </w: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314,767,755</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-314,767,755</w:t>
            </w: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51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50"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2988"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944,303,265</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w w:val="95"/>
                <w:sz w:val="16"/>
              </w:rPr>
              <w:t>692,119,071</w:t>
            </w:r>
            <w:r>
              <w:rPr>
                <w:rFonts w:ascii="Times New Roman"/>
                <w:spacing w:val="-1"/>
                <w:sz w:val="16"/>
              </w:rPr>
            </w:r>
          </w:p>
        </w:tc>
        <w:tc>
          <w:tcPr>
            <w:tcW w:w="1076"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81" w:right="0"/>
              <w:jc w:val="left"/>
              <w:rPr>
                <w:rFonts w:ascii="Times New Roman" w:hAnsi="Times New Roman" w:cs="Times New Roman" w:eastAsia="Times New Roman" w:hint="default"/>
                <w:sz w:val="16"/>
                <w:szCs w:val="16"/>
              </w:rPr>
            </w:pPr>
            <w:r>
              <w:rPr>
                <w:rFonts w:ascii="Times New Roman"/>
                <w:sz w:val="16"/>
              </w:rPr>
              <w:t>417,747,014</w:t>
            </w:r>
          </w:p>
        </w:tc>
        <w:tc>
          <w:tcPr>
            <w:tcW w:w="1146"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1,367,404,869</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-14,102,004</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255,754,034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6"/>
                <w:szCs w:val="16"/>
              </w:rPr>
            </w:pPr>
            <w:r>
              <w:rPr>
                <w:rFonts w:ascii="Times New Roman"/>
                <w:spacing w:val="-1"/>
                <w:sz w:val="16"/>
              </w:rPr>
              <w:t>3,663,226,249</w:t>
            </w:r>
          </w:p>
        </w:tc>
      </w:tr>
    </w:tbl>
    <w:p>
      <w:pPr>
        <w:spacing w:after="0" w:line="240" w:lineRule="auto"/>
        <w:jc w:val="right"/>
        <w:rPr>
          <w:rFonts w:ascii="Times New Roman" w:hAnsi="Times New Roman" w:cs="Times New Roman" w:eastAsia="Times New Roman" w:hint="default"/>
          <w:sz w:val="16"/>
          <w:szCs w:val="16"/>
        </w:rPr>
        <w:sectPr>
          <w:pgSz w:w="16840" w:h="11900" w:orient="landscape"/>
          <w:pgMar w:header="1471" w:footer="1516" w:top="1680" w:bottom="1700" w:left="1220" w:right="26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45.1pt;height:.5pt;mso-position-horizontal-relative:char;mso-position-vertical-relative:line" coordorigin="0,0" coordsize="8902,10">
            <v:group style="position:absolute;left:5;top:5;width:8892;height:2" coordorigin="5,5" coordsize="8892,2">
              <v:shape style="position:absolute;left:5;top:5;width:8892;height:2" coordorigin="5,5" coordsize="8892,0" path="m5,5l8897,5e" filled="false" stroked="true" strokeweight=".47998pt" strokecolor="#000000">
                <v:path arrowok="t"/>
              </v:shape>
            </v:group>
          </v:group>
        </w:pict>
      </w:r>
      <w:r>
        <w:rPr>
          <w:rFonts w:ascii="宋体" w:hAnsi="宋体" w:cs="宋体" w:eastAsia="宋体" w:hint="default"/>
          <w:sz w:val="2"/>
          <w:szCs w:val="2"/>
        </w:rPr>
      </w:r>
    </w:p>
    <w:p>
      <w:pPr>
        <w:pStyle w:val="Heading6"/>
        <w:spacing w:line="240" w:lineRule="auto"/>
        <w:ind w:left="2846" w:right="2911"/>
        <w:jc w:val="center"/>
      </w:pPr>
      <w:r>
        <w:rPr/>
        <w:t>东软集团股份有限公司</w:t>
      </w:r>
    </w:p>
    <w:p>
      <w:pPr>
        <w:spacing w:before="34"/>
        <w:ind w:left="2846" w:right="2914" w:firstLine="0"/>
        <w:jc w:val="center"/>
        <w:rPr>
          <w:rFonts w:ascii="宋体" w:hAnsi="宋体" w:cs="宋体" w:eastAsia="宋体" w:hint="default"/>
          <w:sz w:val="28"/>
          <w:szCs w:val="28"/>
        </w:rPr>
      </w:pPr>
      <w:r>
        <w:rPr>
          <w:rFonts w:ascii="宋体" w:hAnsi="宋体" w:cs="宋体" w:eastAsia="宋体" w:hint="default"/>
          <w:sz w:val="28"/>
          <w:szCs w:val="28"/>
        </w:rPr>
        <w:t>二</w:t>
      </w:r>
      <w:r>
        <w:rPr>
          <w:rFonts w:ascii="宋体" w:hAnsi="宋体" w:cs="宋体" w:eastAsia="宋体" w:hint="default"/>
          <w:spacing w:val="-67"/>
          <w:sz w:val="28"/>
          <w:szCs w:val="28"/>
        </w:rPr>
        <w:t> </w:t>
      </w:r>
      <w:r>
        <w:rPr>
          <w:rFonts w:ascii="Times New Roman" w:hAnsi="Times New Roman" w:cs="Times New Roman" w:eastAsia="Times New Roman" w:hint="default"/>
          <w:b/>
          <w:bCs/>
          <w:sz w:val="28"/>
          <w:szCs w:val="28"/>
        </w:rPr>
        <w:t>OO</w:t>
      </w:r>
      <w:r>
        <w:rPr>
          <w:rFonts w:ascii="Times New Roman" w:hAnsi="Times New Roman" w:cs="Times New Roman" w:eastAsia="Times New Roman" w:hint="default"/>
          <w:b/>
          <w:bCs/>
          <w:spacing w:val="1"/>
          <w:sz w:val="28"/>
          <w:szCs w:val="28"/>
        </w:rPr>
        <w:t> </w:t>
      </w:r>
      <w:r>
        <w:rPr>
          <w:rFonts w:ascii="宋体" w:hAnsi="宋体" w:cs="宋体" w:eastAsia="宋体" w:hint="default"/>
          <w:sz w:val="28"/>
          <w:szCs w:val="28"/>
        </w:rPr>
        <w:t>九年度财务报表附注</w:t>
      </w:r>
    </w:p>
    <w:p>
      <w:pPr>
        <w:spacing w:line="240" w:lineRule="auto" w:before="13"/>
        <w:rPr>
          <w:rFonts w:ascii="宋体" w:hAnsi="宋体" w:cs="宋体" w:eastAsia="宋体" w:hint="default"/>
          <w:sz w:val="36"/>
          <w:szCs w:val="36"/>
        </w:rPr>
      </w:pPr>
    </w:p>
    <w:p>
      <w:pPr>
        <w:tabs>
          <w:tab w:pos="853" w:val="left" w:leader="none"/>
        </w:tabs>
        <w:spacing w:before="0"/>
        <w:ind w:left="125" w:right="95" w:firstLine="0"/>
        <w:jc w:val="left"/>
        <w:rPr>
          <w:rFonts w:ascii="宋体" w:hAnsi="宋体" w:cs="宋体" w:eastAsia="宋体" w:hint="default"/>
          <w:sz w:val="21"/>
          <w:szCs w:val="21"/>
        </w:rPr>
      </w:pPr>
      <w:r>
        <w:rPr>
          <w:rFonts w:ascii="宋体" w:hAnsi="宋体" w:cs="宋体" w:eastAsia="宋体" w:hint="default"/>
          <w:sz w:val="21"/>
          <w:szCs w:val="21"/>
        </w:rPr>
        <w:t>一、</w:t>
        <w:tab/>
        <w:t>公司基本情况</w:t>
      </w:r>
    </w:p>
    <w:p>
      <w:pPr>
        <w:spacing w:line="312" w:lineRule="auto" w:before="96"/>
        <w:ind w:left="857" w:right="95" w:firstLine="0"/>
        <w:jc w:val="left"/>
        <w:rPr>
          <w:rFonts w:ascii="宋体" w:hAnsi="宋体" w:cs="宋体" w:eastAsia="宋体" w:hint="default"/>
          <w:sz w:val="21"/>
          <w:szCs w:val="21"/>
        </w:rPr>
      </w:pPr>
      <w:r>
        <w:rPr>
          <w:rFonts w:ascii="宋体" w:hAnsi="宋体" w:cs="宋体" w:eastAsia="宋体" w:hint="default"/>
          <w:spacing w:val="-4"/>
          <w:sz w:val="21"/>
          <w:szCs w:val="21"/>
        </w:rPr>
        <w:t>东软集团股份有限公司（以下简称</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本公司</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或</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公司</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）原名为沈阳东软软件股份有限公司，</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是经沈阳市体改委体改发</w:t>
      </w:r>
      <w:r>
        <w:rPr>
          <w:rFonts w:ascii="Times New Roman" w:hAnsi="Times New Roman" w:cs="Times New Roman" w:eastAsia="Times New Roman" w:hint="default"/>
          <w:sz w:val="21"/>
          <w:szCs w:val="21"/>
        </w:rPr>
        <w:t>(1993)</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z w:val="21"/>
          <w:szCs w:val="21"/>
        </w:rPr>
        <w:t>47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号文批准，于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1993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日在中华人民共和国注册 </w:t>
      </w:r>
      <w:r>
        <w:rPr>
          <w:rFonts w:ascii="宋体" w:hAnsi="宋体" w:cs="宋体" w:eastAsia="宋体" w:hint="default"/>
          <w:spacing w:val="-2"/>
          <w:sz w:val="21"/>
          <w:szCs w:val="21"/>
        </w:rPr>
        <w:t>成立的中外合资股份有限公司。本公司的前身是东北大学下属的两家公司：沈阳东大开放</w:t>
      </w:r>
      <w:r>
        <w:rPr>
          <w:rFonts w:ascii="宋体" w:hAnsi="宋体" w:cs="宋体" w:eastAsia="宋体" w:hint="default"/>
          <w:sz w:val="21"/>
          <w:szCs w:val="21"/>
        </w:rPr>
        <w:t> 软件系统股份有限公司和沈阳东大阿尔派软件有限公司，前者成立于</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1991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月，是沈</w:t>
      </w:r>
    </w:p>
    <w:p>
      <w:pPr>
        <w:spacing w:before="9"/>
        <w:ind w:left="857" w:right="95" w:firstLine="0"/>
        <w:jc w:val="left"/>
        <w:rPr>
          <w:rFonts w:ascii="宋体" w:hAnsi="宋体" w:cs="宋体" w:eastAsia="宋体" w:hint="default"/>
          <w:sz w:val="21"/>
          <w:szCs w:val="21"/>
        </w:rPr>
      </w:pPr>
      <w:r>
        <w:rPr>
          <w:rFonts w:ascii="宋体" w:hAnsi="宋体" w:cs="宋体" w:eastAsia="宋体" w:hint="default"/>
          <w:sz w:val="21"/>
          <w:szCs w:val="21"/>
        </w:rPr>
        <w:t>阳市南湖科技开发区最早进行股份制试点的高科技企业，后者于</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1991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月与日本阿尔</w:t>
      </w:r>
    </w:p>
    <w:p>
      <w:pPr>
        <w:spacing w:before="79"/>
        <w:ind w:left="857" w:right="95" w:firstLine="0"/>
        <w:jc w:val="left"/>
        <w:rPr>
          <w:rFonts w:ascii="宋体" w:hAnsi="宋体" w:cs="宋体" w:eastAsia="宋体" w:hint="default"/>
          <w:sz w:val="21"/>
          <w:szCs w:val="21"/>
        </w:rPr>
      </w:pPr>
      <w:r>
        <w:rPr>
          <w:rFonts w:ascii="宋体" w:hAnsi="宋体" w:cs="宋体" w:eastAsia="宋体" w:hint="default"/>
          <w:spacing w:val="-3"/>
          <w:sz w:val="21"/>
          <w:szCs w:val="21"/>
        </w:rPr>
        <w:t>派株式会社合资成立。本公司于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1993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 </w:t>
      </w:r>
      <w:r>
        <w:rPr>
          <w:rFonts w:ascii="宋体" w:hAnsi="宋体" w:cs="宋体" w:eastAsia="宋体" w:hint="default"/>
          <w:spacing w:val="-5"/>
          <w:sz w:val="21"/>
          <w:szCs w:val="21"/>
        </w:rPr>
        <w:t>月进行股份制改造，于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1996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 </w:t>
      </w:r>
      <w:r>
        <w:rPr>
          <w:rFonts w:ascii="宋体" w:hAnsi="宋体" w:cs="宋体" w:eastAsia="宋体" w:hint="default"/>
          <w:sz w:val="21"/>
          <w:szCs w:val="21"/>
        </w:rPr>
        <w:t>日经中国</w:t>
      </w:r>
    </w:p>
    <w:p>
      <w:pPr>
        <w:spacing w:before="80"/>
        <w:ind w:left="857" w:right="95" w:firstLine="0"/>
        <w:jc w:val="left"/>
        <w:rPr>
          <w:rFonts w:ascii="宋体" w:hAnsi="宋体" w:cs="宋体" w:eastAsia="宋体" w:hint="default"/>
          <w:sz w:val="21"/>
          <w:szCs w:val="21"/>
        </w:rPr>
      </w:pPr>
      <w:r>
        <w:rPr>
          <w:rFonts w:ascii="宋体" w:hAnsi="宋体" w:cs="宋体" w:eastAsia="宋体" w:hint="default"/>
          <w:sz w:val="21"/>
          <w:szCs w:val="21"/>
        </w:rPr>
        <w:t>证券监督管理委员会批准，首次向社会公众发行人民币普通股</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1,500</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万股，皆为向境内投</w:t>
      </w:r>
    </w:p>
    <w:p>
      <w:pPr>
        <w:spacing w:before="79"/>
        <w:ind w:left="857" w:right="95" w:firstLine="0"/>
        <w:jc w:val="left"/>
        <w:rPr>
          <w:rFonts w:ascii="宋体" w:hAnsi="宋体" w:cs="宋体" w:eastAsia="宋体" w:hint="default"/>
          <w:sz w:val="21"/>
          <w:szCs w:val="21"/>
        </w:rPr>
      </w:pPr>
      <w:r>
        <w:rPr>
          <w:rFonts w:ascii="宋体" w:hAnsi="宋体" w:cs="宋体" w:eastAsia="宋体" w:hint="default"/>
          <w:sz w:val="21"/>
          <w:szCs w:val="21"/>
        </w:rPr>
        <w:t>资人发行的以人民币认购的内资股，并于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1996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日在上海证券交易所挂牌上市。</w:t>
      </w:r>
    </w:p>
    <w:p>
      <w:pPr>
        <w:spacing w:before="79"/>
        <w:ind w:left="857" w:right="9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2004 </w:t>
      </w:r>
      <w:r>
        <w:rPr>
          <w:rFonts w:ascii="宋体" w:hAnsi="宋体" w:cs="宋体" w:eastAsia="宋体" w:hint="default"/>
          <w:sz w:val="21"/>
          <w:szCs w:val="21"/>
        </w:rPr>
        <w:t>年 </w:t>
      </w:r>
      <w:r>
        <w:rPr>
          <w:rFonts w:ascii="Times New Roman" w:hAnsi="Times New Roman" w:cs="Times New Roman" w:eastAsia="Times New Roman" w:hint="default"/>
          <w:sz w:val="21"/>
          <w:szCs w:val="21"/>
        </w:rPr>
        <w:t>2 </w:t>
      </w:r>
      <w:r>
        <w:rPr>
          <w:rFonts w:ascii="宋体" w:hAnsi="宋体" w:cs="宋体" w:eastAsia="宋体" w:hint="default"/>
          <w:sz w:val="21"/>
          <w:szCs w:val="21"/>
        </w:rPr>
        <w:t>月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7"/>
          <w:sz w:val="21"/>
          <w:szCs w:val="21"/>
        </w:rPr>
        <w:t> </w:t>
      </w:r>
      <w:r>
        <w:rPr>
          <w:rFonts w:ascii="宋体" w:hAnsi="宋体" w:cs="宋体" w:eastAsia="宋体" w:hint="default"/>
          <w:sz w:val="21"/>
          <w:szCs w:val="21"/>
        </w:rPr>
        <w:t>日，本公司原控股股东东软集团有限公司向本公司原第二大股东阿尔派电</w:t>
      </w:r>
    </w:p>
    <w:p>
      <w:pPr>
        <w:spacing w:before="80"/>
        <w:ind w:left="857" w:right="95" w:firstLine="0"/>
        <w:jc w:val="left"/>
        <w:rPr>
          <w:rFonts w:ascii="宋体" w:hAnsi="宋体" w:cs="宋体" w:eastAsia="宋体" w:hint="default"/>
          <w:sz w:val="21"/>
          <w:szCs w:val="21"/>
        </w:rPr>
      </w:pPr>
      <w:r>
        <w:rPr>
          <w:rFonts w:ascii="宋体" w:hAnsi="宋体" w:cs="宋体" w:eastAsia="宋体" w:hint="default"/>
          <w:sz w:val="21"/>
          <w:szCs w:val="21"/>
        </w:rPr>
        <w:t>子（中国）有限公司协议收购其所持有的本公司外资法人股，并于</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日办理</w:t>
      </w:r>
    </w:p>
    <w:p>
      <w:pPr>
        <w:spacing w:line="314" w:lineRule="auto" w:before="79"/>
        <w:ind w:left="857" w:right="95" w:firstLine="0"/>
        <w:jc w:val="left"/>
        <w:rPr>
          <w:rFonts w:ascii="宋体" w:hAnsi="宋体" w:cs="宋体" w:eastAsia="宋体" w:hint="default"/>
          <w:sz w:val="21"/>
          <w:szCs w:val="21"/>
        </w:rPr>
      </w:pPr>
      <w:r>
        <w:rPr>
          <w:rFonts w:ascii="宋体" w:hAnsi="宋体" w:cs="宋体" w:eastAsia="宋体" w:hint="default"/>
          <w:sz w:val="21"/>
          <w:szCs w:val="21"/>
        </w:rPr>
        <w:t>完成工商登记变更手续，本公司由此变更为内资股份有限公司。</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日，公司</w:t>
      </w:r>
      <w:r>
        <w:rPr>
          <w:rFonts w:ascii="宋体" w:hAnsi="宋体" w:cs="宋体" w:eastAsia="宋体" w:hint="default"/>
          <w:sz w:val="21"/>
          <w:szCs w:val="21"/>
        </w:rPr>
        <w:t> </w:t>
      </w:r>
      <w:r>
        <w:rPr>
          <w:rFonts w:ascii="宋体" w:hAnsi="宋体" w:cs="宋体" w:eastAsia="宋体" w:hint="default"/>
          <w:spacing w:val="-5"/>
          <w:sz w:val="21"/>
          <w:szCs w:val="21"/>
        </w:rPr>
        <w:t>股权分置改革相关股东会议审议通过了《沈阳东软软件股份有限公司股权分置改革方案》，</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Times New Roman" w:hAnsi="Times New Roman" w:cs="Times New Roman" w:eastAsia="Times New Roman" w:hint="default"/>
          <w:sz w:val="21"/>
          <w:szCs w:val="21"/>
        </w:rPr>
        <w:t>2006 </w:t>
      </w: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27"/>
          <w:sz w:val="21"/>
          <w:szCs w:val="21"/>
        </w:rPr>
        <w:t> </w:t>
      </w:r>
      <w:r>
        <w:rPr>
          <w:rFonts w:ascii="宋体" w:hAnsi="宋体" w:cs="宋体" w:eastAsia="宋体" w:hint="default"/>
          <w:sz w:val="21"/>
          <w:szCs w:val="21"/>
        </w:rPr>
        <w:t>日，公司原控股股东东软集团有限公司完成了向流通股股东的对价支付，</w:t>
      </w:r>
    </w:p>
    <w:p>
      <w:pPr>
        <w:spacing w:before="7"/>
        <w:ind w:left="857" w:right="95"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共向流通股股东支付</w:t>
      </w:r>
      <w:r>
        <w:rPr>
          <w:rFonts w:ascii="宋体" w:hAnsi="宋体" w:cs="宋体" w:eastAsia="宋体" w:hint="default"/>
          <w:spacing w:val="-36"/>
          <w:sz w:val="21"/>
          <w:szCs w:val="21"/>
        </w:rPr>
        <w:t> </w:t>
      </w:r>
      <w:r>
        <w:rPr>
          <w:rFonts w:ascii="Times New Roman" w:hAnsi="Times New Roman" w:cs="Times New Roman" w:eastAsia="Times New Roman" w:hint="default"/>
          <w:sz w:val="21"/>
          <w:szCs w:val="21"/>
        </w:rPr>
        <w:t>28,314,574</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股和</w:t>
      </w:r>
      <w:r>
        <w:rPr>
          <w:rFonts w:ascii="宋体" w:hAnsi="宋体" w:cs="宋体" w:eastAsia="宋体" w:hint="default"/>
          <w:spacing w:val="-36"/>
          <w:sz w:val="21"/>
          <w:szCs w:val="21"/>
        </w:rPr>
        <w:t> </w:t>
      </w:r>
      <w:r>
        <w:rPr>
          <w:rFonts w:ascii="Times New Roman" w:hAnsi="Times New Roman" w:cs="Times New Roman" w:eastAsia="Times New Roman" w:hint="default"/>
          <w:sz w:val="21"/>
          <w:szCs w:val="21"/>
        </w:rPr>
        <w:t>41,339,277</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元现金对价，即每</w:t>
      </w:r>
      <w:r>
        <w:rPr>
          <w:rFonts w:ascii="宋体" w:hAnsi="宋体" w:cs="宋体" w:eastAsia="宋体" w:hint="default"/>
          <w:spacing w:val="-3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股流通股获付</w:t>
      </w:r>
      <w:r>
        <w:rPr>
          <w:rFonts w:ascii="宋体" w:hAnsi="宋体" w:cs="宋体" w:eastAsia="宋体" w:hint="default"/>
          <w:spacing w:val="-36"/>
          <w:sz w:val="21"/>
          <w:szCs w:val="21"/>
        </w:rPr>
        <w:t> </w:t>
      </w:r>
      <w:r>
        <w:rPr>
          <w:rFonts w:ascii="Times New Roman" w:hAnsi="Times New Roman" w:cs="Times New Roman" w:eastAsia="Times New Roman" w:hint="default"/>
          <w:sz w:val="21"/>
          <w:szCs w:val="21"/>
        </w:rPr>
        <w:t>2.5</w:t>
      </w:r>
    </w:p>
    <w:p>
      <w:pPr>
        <w:spacing w:before="79"/>
        <w:ind w:left="857" w:right="95" w:firstLine="0"/>
        <w:jc w:val="left"/>
        <w:rPr>
          <w:rFonts w:ascii="宋体" w:hAnsi="宋体" w:cs="宋体" w:eastAsia="宋体" w:hint="default"/>
          <w:sz w:val="21"/>
          <w:szCs w:val="21"/>
        </w:rPr>
      </w:pPr>
      <w:r>
        <w:rPr>
          <w:rFonts w:ascii="宋体" w:hAnsi="宋体" w:cs="宋体" w:eastAsia="宋体" w:hint="default"/>
          <w:sz w:val="21"/>
          <w:szCs w:val="21"/>
        </w:rPr>
        <w:t>股股票和 </w:t>
      </w:r>
      <w:r>
        <w:rPr>
          <w:rFonts w:ascii="Times New Roman" w:hAnsi="Times New Roman" w:cs="Times New Roman" w:eastAsia="Times New Roman" w:hint="default"/>
          <w:sz w:val="21"/>
          <w:szCs w:val="21"/>
        </w:rPr>
        <w:t>3.65</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元现金，该股权分置改革实施后，公司股份总数不变，股份结构发生相应</w:t>
      </w:r>
    </w:p>
    <w:p>
      <w:pPr>
        <w:spacing w:before="80"/>
        <w:ind w:left="857" w:right="95" w:firstLine="0"/>
        <w:jc w:val="left"/>
        <w:rPr>
          <w:rFonts w:ascii="宋体" w:hAnsi="宋体" w:cs="宋体" w:eastAsia="宋体" w:hint="default"/>
          <w:sz w:val="21"/>
          <w:szCs w:val="21"/>
        </w:rPr>
      </w:pPr>
      <w:r>
        <w:rPr>
          <w:rFonts w:ascii="宋体" w:hAnsi="宋体" w:cs="宋体" w:eastAsia="宋体" w:hint="default"/>
          <w:sz w:val="21"/>
          <w:szCs w:val="21"/>
        </w:rPr>
        <w:t>变化。</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日，经中国证券监督管理委员会批准，本公司吸收合并原控股股东</w:t>
      </w:r>
    </w:p>
    <w:p>
      <w:pPr>
        <w:spacing w:line="314" w:lineRule="auto" w:before="79"/>
        <w:ind w:left="857" w:right="203" w:firstLine="0"/>
        <w:jc w:val="both"/>
        <w:rPr>
          <w:rFonts w:ascii="宋体" w:hAnsi="宋体" w:cs="宋体" w:eastAsia="宋体" w:hint="default"/>
          <w:sz w:val="21"/>
          <w:szCs w:val="21"/>
        </w:rPr>
      </w:pPr>
      <w:r>
        <w:rPr>
          <w:rFonts w:ascii="宋体" w:hAnsi="宋体" w:cs="宋体" w:eastAsia="宋体" w:hint="default"/>
          <w:spacing w:val="-4"/>
          <w:sz w:val="21"/>
          <w:szCs w:val="21"/>
        </w:rPr>
        <w:t>东软集团有限公司，于</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日，本公司在中国证券登记结算有限公司上海分公 </w:t>
      </w:r>
      <w:r>
        <w:rPr>
          <w:rFonts w:ascii="宋体" w:hAnsi="宋体" w:cs="宋体" w:eastAsia="宋体" w:hint="default"/>
          <w:spacing w:val="3"/>
          <w:sz w:val="21"/>
          <w:szCs w:val="21"/>
        </w:rPr>
        <w:t>司办理完成了换股吸收合并的股份登记及注销原东软集团有限公司所持有的本公司全部</w:t>
      </w:r>
      <w:r>
        <w:rPr>
          <w:rFonts w:ascii="宋体" w:hAnsi="宋体" w:cs="宋体" w:eastAsia="宋体" w:hint="default"/>
          <w:spacing w:val="3"/>
          <w:sz w:val="21"/>
          <w:szCs w:val="21"/>
        </w:rPr>
        <w:t> </w:t>
      </w:r>
      <w:r>
        <w:rPr>
          <w:rFonts w:ascii="宋体" w:hAnsi="宋体" w:cs="宋体" w:eastAsia="宋体" w:hint="default"/>
          <w:spacing w:val="-4"/>
          <w:sz w:val="21"/>
          <w:szCs w:val="21"/>
        </w:rPr>
        <w:t>股份的相关手续，并于</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日办理完成工商注销登记手续，本次变更后外资股</w:t>
      </w:r>
    </w:p>
    <w:p>
      <w:pPr>
        <w:spacing w:before="7"/>
        <w:ind w:left="857" w:right="95"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东合计持股比例为 </w:t>
      </w:r>
      <w:r>
        <w:rPr>
          <w:rFonts w:ascii="Times New Roman" w:hAnsi="Times New Roman" w:cs="Times New Roman" w:eastAsia="Times New Roman" w:hint="default"/>
          <w:sz w:val="21"/>
          <w:szCs w:val="21"/>
        </w:rPr>
        <w:t>28.62%</w:t>
      </w:r>
      <w:r>
        <w:rPr>
          <w:rFonts w:ascii="宋体" w:hAnsi="宋体" w:cs="宋体" w:eastAsia="宋体" w:hint="default"/>
          <w:sz w:val="21"/>
          <w:szCs w:val="21"/>
        </w:rPr>
        <w:t>，本公司由此变更为中外合资股份有限公司。</w:t>
      </w:r>
      <w:r>
        <w:rPr>
          <w:rFonts w:ascii="Times New Roman" w:hAnsi="Times New Roman" w:cs="Times New Roman" w:eastAsia="Times New Roman" w:hint="default"/>
          <w:sz w:val="21"/>
          <w:szCs w:val="21"/>
        </w:rPr>
        <w:t>2008 </w:t>
      </w:r>
      <w:r>
        <w:rPr>
          <w:rFonts w:ascii="宋体" w:hAnsi="宋体" w:cs="宋体" w:eastAsia="宋体" w:hint="default"/>
          <w:sz w:val="21"/>
          <w:szCs w:val="21"/>
        </w:rPr>
        <w:t>年 </w:t>
      </w:r>
      <w:r>
        <w:rPr>
          <w:rFonts w:ascii="Times New Roman" w:hAnsi="Times New Roman" w:cs="Times New Roman" w:eastAsia="Times New Roman" w:hint="default"/>
          <w:sz w:val="21"/>
          <w:szCs w:val="21"/>
        </w:rPr>
        <w:t>5 </w:t>
      </w:r>
      <w:r>
        <w:rPr>
          <w:rFonts w:ascii="宋体" w:hAnsi="宋体" w:cs="宋体" w:eastAsia="宋体" w:hint="default"/>
          <w:sz w:val="21"/>
          <w:szCs w:val="21"/>
        </w:rPr>
        <w:t>月</w:t>
      </w:r>
      <w:r>
        <w:rPr>
          <w:rFonts w:ascii="宋体" w:hAnsi="宋体" w:cs="宋体" w:eastAsia="宋体" w:hint="default"/>
          <w:spacing w:val="7"/>
          <w:sz w:val="21"/>
          <w:szCs w:val="21"/>
        </w:rPr>
        <w:t> </w:t>
      </w:r>
      <w:r>
        <w:rPr>
          <w:rFonts w:ascii="Times New Roman" w:hAnsi="Times New Roman" w:cs="Times New Roman" w:eastAsia="Times New Roman" w:hint="default"/>
          <w:sz w:val="21"/>
          <w:szCs w:val="21"/>
        </w:rPr>
        <w:t>30</w:t>
      </w:r>
    </w:p>
    <w:p>
      <w:pPr>
        <w:spacing w:before="79"/>
        <w:ind w:left="857" w:right="95" w:firstLine="0"/>
        <w:jc w:val="left"/>
        <w:rPr>
          <w:rFonts w:ascii="宋体" w:hAnsi="宋体" w:cs="宋体" w:eastAsia="宋体" w:hint="default"/>
          <w:sz w:val="21"/>
          <w:szCs w:val="21"/>
        </w:rPr>
      </w:pPr>
      <w:r>
        <w:rPr>
          <w:rFonts w:ascii="宋体" w:hAnsi="宋体" w:cs="宋体" w:eastAsia="宋体" w:hint="default"/>
          <w:spacing w:val="-11"/>
          <w:sz w:val="21"/>
          <w:szCs w:val="21"/>
        </w:rPr>
        <w:t>日，公司</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年度股东大会审议通过公司名称由</w:t>
      </w:r>
      <w:r>
        <w:rPr>
          <w:rFonts w:ascii="Times New Roman" w:hAnsi="Times New Roman" w:cs="Times New Roman" w:eastAsia="Times New Roman" w:hint="default"/>
          <w:sz w:val="21"/>
          <w:szCs w:val="21"/>
        </w:rPr>
        <w:t>“</w:t>
      </w:r>
      <w:r>
        <w:rPr>
          <w:rFonts w:ascii="宋体" w:hAnsi="宋体" w:cs="宋体" w:eastAsia="宋体" w:hint="default"/>
          <w:sz w:val="21"/>
          <w:szCs w:val="21"/>
        </w:rPr>
        <w:t>沈阳东软软件股份有限公司</w:t>
      </w:r>
      <w:r>
        <w:rPr>
          <w:rFonts w:ascii="Times New Roman" w:hAnsi="Times New Roman" w:cs="Times New Roman" w:eastAsia="Times New Roman" w:hint="default"/>
          <w:sz w:val="21"/>
          <w:szCs w:val="21"/>
        </w:rPr>
        <w:t>”</w:t>
      </w:r>
      <w:r>
        <w:rPr>
          <w:rFonts w:ascii="宋体" w:hAnsi="宋体" w:cs="宋体" w:eastAsia="宋体" w:hint="default"/>
          <w:sz w:val="21"/>
          <w:szCs w:val="21"/>
        </w:rPr>
        <w:t>变更为</w:t>
      </w:r>
      <w:r>
        <w:rPr>
          <w:rFonts w:ascii="Times New Roman" w:hAnsi="Times New Roman" w:cs="Times New Roman" w:eastAsia="Times New Roman" w:hint="default"/>
          <w:sz w:val="21"/>
          <w:szCs w:val="21"/>
        </w:rPr>
        <w:t>“</w:t>
      </w:r>
      <w:r>
        <w:rPr>
          <w:rFonts w:ascii="宋体" w:hAnsi="宋体" w:cs="宋体" w:eastAsia="宋体" w:hint="default"/>
          <w:sz w:val="21"/>
          <w:szCs w:val="21"/>
        </w:rPr>
        <w:t>东</w:t>
      </w:r>
    </w:p>
    <w:p>
      <w:pPr>
        <w:spacing w:before="80"/>
        <w:ind w:left="857" w:right="95" w:firstLine="0"/>
        <w:jc w:val="left"/>
        <w:rPr>
          <w:rFonts w:ascii="宋体" w:hAnsi="宋体" w:cs="宋体" w:eastAsia="宋体" w:hint="default"/>
          <w:sz w:val="21"/>
          <w:szCs w:val="21"/>
        </w:rPr>
      </w:pPr>
      <w:r>
        <w:rPr>
          <w:rFonts w:ascii="宋体" w:hAnsi="宋体" w:cs="宋体" w:eastAsia="宋体" w:hint="default"/>
          <w:sz w:val="21"/>
          <w:szCs w:val="21"/>
        </w:rPr>
        <w:t>软集团股份有限公司</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日，本公司办理完成了公司名称、住所变更的工商</w:t>
      </w:r>
    </w:p>
    <w:p>
      <w:pPr>
        <w:spacing w:before="79"/>
        <w:ind w:left="857" w:right="95" w:firstLine="0"/>
        <w:jc w:val="left"/>
        <w:rPr>
          <w:rFonts w:ascii="宋体" w:hAnsi="宋体" w:cs="宋体" w:eastAsia="宋体" w:hint="default"/>
          <w:sz w:val="21"/>
          <w:szCs w:val="21"/>
        </w:rPr>
      </w:pPr>
      <w:r>
        <w:rPr>
          <w:rFonts w:ascii="宋体" w:hAnsi="宋体" w:cs="宋体" w:eastAsia="宋体" w:hint="default"/>
          <w:sz w:val="21"/>
          <w:szCs w:val="21"/>
        </w:rPr>
        <w:t>变更登记手续。</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日，本公司实施完成</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年半年度利润分配及转增股本</w:t>
      </w:r>
    </w:p>
    <w:p>
      <w:pPr>
        <w:spacing w:before="79"/>
        <w:ind w:left="857" w:right="95" w:firstLine="0"/>
        <w:jc w:val="left"/>
        <w:rPr>
          <w:rFonts w:ascii="宋体" w:hAnsi="宋体" w:cs="宋体" w:eastAsia="宋体" w:hint="default"/>
          <w:sz w:val="21"/>
          <w:szCs w:val="21"/>
        </w:rPr>
      </w:pPr>
      <w:r>
        <w:rPr>
          <w:rFonts w:ascii="宋体" w:hAnsi="宋体" w:cs="宋体" w:eastAsia="宋体" w:hint="default"/>
          <w:sz w:val="21"/>
          <w:szCs w:val="21"/>
        </w:rPr>
        <w:t>方案，以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日股本</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524,612,925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股为基数，向全体股东每</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股送</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股红股，</w:t>
      </w:r>
    </w:p>
    <w:p>
      <w:pPr>
        <w:spacing w:before="80"/>
        <w:ind w:left="857" w:right="95" w:firstLine="0"/>
        <w:jc w:val="left"/>
        <w:rPr>
          <w:rFonts w:ascii="宋体" w:hAnsi="宋体" w:cs="宋体" w:eastAsia="宋体" w:hint="default"/>
          <w:sz w:val="21"/>
          <w:szCs w:val="21"/>
        </w:rPr>
      </w:pPr>
      <w:r>
        <w:rPr>
          <w:rFonts w:ascii="宋体" w:hAnsi="宋体" w:cs="宋体" w:eastAsia="宋体" w:hint="default"/>
          <w:spacing w:val="12"/>
          <w:sz w:val="21"/>
          <w:szCs w:val="21"/>
        </w:rPr>
        <w:t>以资本公积金转增股本方式，向全体股东每 </w:t>
      </w:r>
      <w:r>
        <w:rPr>
          <w:rFonts w:ascii="Times New Roman" w:hAnsi="Times New Roman" w:cs="Times New Roman" w:eastAsia="Times New Roman" w:hint="default"/>
          <w:sz w:val="21"/>
          <w:szCs w:val="21"/>
        </w:rPr>
        <w:t>10  </w:t>
      </w:r>
      <w:r>
        <w:rPr>
          <w:rFonts w:ascii="宋体" w:hAnsi="宋体" w:cs="宋体" w:eastAsia="宋体" w:hint="default"/>
          <w:spacing w:val="8"/>
          <w:sz w:val="21"/>
          <w:szCs w:val="21"/>
        </w:rPr>
        <w:t>股转增 </w:t>
      </w:r>
      <w:r>
        <w:rPr>
          <w:rFonts w:ascii="Times New Roman" w:hAnsi="Times New Roman" w:cs="Times New Roman" w:eastAsia="Times New Roman" w:hint="default"/>
          <w:sz w:val="21"/>
          <w:szCs w:val="21"/>
        </w:rPr>
        <w:t>6 </w:t>
      </w:r>
      <w:r>
        <w:rPr>
          <w:rFonts w:ascii="Times New Roman" w:hAnsi="Times New Roman" w:cs="Times New Roman" w:eastAsia="Times New Roman" w:hint="default"/>
          <w:spacing w:val="37"/>
          <w:sz w:val="21"/>
          <w:szCs w:val="21"/>
        </w:rPr>
        <w:t> </w:t>
      </w:r>
      <w:r>
        <w:rPr>
          <w:rFonts w:ascii="宋体" w:hAnsi="宋体" w:cs="宋体" w:eastAsia="宋体" w:hint="default"/>
          <w:spacing w:val="13"/>
          <w:sz w:val="21"/>
          <w:szCs w:val="21"/>
        </w:rPr>
        <w:t>股，共计送股和转增股份</w:t>
      </w:r>
      <w:r>
        <w:rPr>
          <w:rFonts w:ascii="宋体" w:hAnsi="宋体" w:cs="宋体" w:eastAsia="宋体" w:hint="default"/>
          <w:sz w:val="21"/>
          <w:szCs w:val="21"/>
        </w:rPr>
      </w:r>
    </w:p>
    <w:p>
      <w:pPr>
        <w:spacing w:before="79"/>
        <w:ind w:left="857" w:right="9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419,690,340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股，公司注册资本增至人民币</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944,303,265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p>
    <w:p>
      <w:pPr>
        <w:spacing w:line="309" w:lineRule="auto" w:before="79"/>
        <w:ind w:left="857" w:right="205" w:firstLine="0"/>
        <w:jc w:val="both"/>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 </w:t>
      </w:r>
      <w:r>
        <w:rPr>
          <w:rFonts w:ascii="宋体" w:hAnsi="宋体" w:cs="宋体" w:eastAsia="宋体" w:hint="default"/>
          <w:spacing w:val="-5"/>
          <w:sz w:val="21"/>
          <w:szCs w:val="21"/>
        </w:rPr>
        <w:t>日，公司注册资本为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944,303,265 </w:t>
      </w:r>
      <w:r>
        <w:rPr>
          <w:rFonts w:ascii="宋体" w:hAnsi="宋体" w:cs="宋体" w:eastAsia="宋体" w:hint="default"/>
          <w:spacing w:val="-3"/>
          <w:sz w:val="21"/>
          <w:szCs w:val="21"/>
        </w:rPr>
        <w:t>元，本公司及纳入合并范围的子公</w:t>
      </w:r>
      <w:r>
        <w:rPr>
          <w:rFonts w:ascii="宋体" w:hAnsi="宋体" w:cs="宋体" w:eastAsia="宋体" w:hint="default"/>
          <w:sz w:val="21"/>
          <w:szCs w:val="21"/>
        </w:rPr>
        <w:t> </w:t>
      </w:r>
      <w:r>
        <w:rPr>
          <w:rFonts w:ascii="宋体" w:hAnsi="宋体" w:cs="宋体" w:eastAsia="宋体" w:hint="default"/>
          <w:spacing w:val="-2"/>
          <w:sz w:val="21"/>
          <w:szCs w:val="21"/>
        </w:rPr>
        <w:t>司（以下简称</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本集团</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）是以软件开发和软件服务、系统集成及提供全面解决方案、医疗</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系统产品生产和销售、</w:t>
      </w:r>
      <w:r>
        <w:rPr>
          <w:rFonts w:ascii="Times New Roman" w:hAnsi="Times New Roman" w:cs="Times New Roman" w:eastAsia="Times New Roman" w:hint="default"/>
          <w:sz w:val="21"/>
          <w:szCs w:val="21"/>
        </w:rPr>
        <w:t>IT</w:t>
      </w:r>
      <w:r>
        <w:rPr>
          <w:rFonts w:ascii="Times New Roman" w:hAnsi="Times New Roman" w:cs="Times New Roman" w:eastAsia="Times New Roman" w:hint="default"/>
          <w:spacing w:val="30"/>
          <w:sz w:val="21"/>
          <w:szCs w:val="21"/>
        </w:rPr>
        <w:t> </w:t>
      </w:r>
      <w:r>
        <w:rPr>
          <w:rFonts w:ascii="宋体" w:hAnsi="宋体" w:cs="宋体" w:eastAsia="宋体" w:hint="default"/>
          <w:sz w:val="21"/>
          <w:szCs w:val="21"/>
        </w:rPr>
        <w:t>培训为主要业务领域的高科技企业。软件开发及系统集成主要</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2"/>
          <w:sz w:val="21"/>
          <w:szCs w:val="21"/>
        </w:rPr>
        <w:t>面向各基础行业提供全面解决方案；医疗系统产品主要是充分发挥公司在软件方面的技术</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优势，向医疗行业提供 </w:t>
      </w:r>
      <w:r>
        <w:rPr>
          <w:rFonts w:ascii="Times New Roman" w:hAnsi="Times New Roman" w:cs="Times New Roman" w:eastAsia="Times New Roman" w:hint="default"/>
          <w:sz w:val="21"/>
          <w:szCs w:val="21"/>
        </w:rPr>
        <w:t>CT</w:t>
      </w:r>
      <w:r>
        <w:rPr>
          <w:rFonts w:ascii="宋体" w:hAnsi="宋体" w:cs="宋体" w:eastAsia="宋体" w:hint="default"/>
          <w:sz w:val="21"/>
          <w:szCs w:val="21"/>
        </w:rPr>
        <w:t>、</w:t>
      </w:r>
      <w:r>
        <w:rPr>
          <w:rFonts w:ascii="Times New Roman" w:hAnsi="Times New Roman" w:cs="Times New Roman" w:eastAsia="Times New Roman" w:hint="default"/>
          <w:sz w:val="21"/>
          <w:szCs w:val="21"/>
        </w:rPr>
        <w:t>X</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光机、彩超、核磁共振等高智能的数字化医疗产品。公司 注册地：沈阳市浑南新区新秀街</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号，总部办公地址：沈阳市浑南新区新秀街</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号 东软 软件园，企业法人营业执照注册号：</w:t>
      </w:r>
      <w:r>
        <w:rPr>
          <w:rFonts w:ascii="Times New Roman" w:hAnsi="Times New Roman" w:cs="Times New Roman" w:eastAsia="Times New Roman" w:hint="default"/>
          <w:sz w:val="21"/>
          <w:szCs w:val="21"/>
        </w:rPr>
        <w:t>210100402001491</w:t>
      </w:r>
      <w:r>
        <w:rPr>
          <w:rFonts w:ascii="宋体" w:hAnsi="宋体" w:cs="宋体" w:eastAsia="宋体" w:hint="default"/>
          <w:sz w:val="21"/>
          <w:szCs w:val="21"/>
        </w:rPr>
        <w:t>，所属行业为</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IT</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类。</w:t>
      </w:r>
    </w:p>
    <w:p>
      <w:pPr>
        <w:spacing w:after="0" w:line="309" w:lineRule="auto"/>
        <w:jc w:val="both"/>
        <w:rPr>
          <w:rFonts w:ascii="宋体" w:hAnsi="宋体" w:cs="宋体" w:eastAsia="宋体" w:hint="default"/>
          <w:sz w:val="21"/>
          <w:szCs w:val="21"/>
        </w:rPr>
        <w:sectPr>
          <w:headerReference w:type="default" r:id="rId27"/>
          <w:footerReference w:type="default" r:id="rId28"/>
          <w:pgSz w:w="11900" w:h="16840"/>
          <w:pgMar w:header="883" w:footer="1003" w:top="1540" w:bottom="1200" w:left="1660" w:right="1060"/>
          <w:pgNumType w:start="1"/>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45.1pt;height:.5pt;mso-position-horizontal-relative:char;mso-position-vertical-relative:line" coordorigin="0,0" coordsize="8902,10">
            <v:group style="position:absolute;left:5;top:5;width:8892;height:2" coordorigin="5,5" coordsize="8892,2">
              <v:shape style="position:absolute;left:5;top:5;width:8892;height:2" coordorigin="5,5" coordsize="8892,0" path="m5,5l8897,5e" filled="false" stroked="true" strokeweight=".47998pt" strokecolor="#000000">
                <v:path arrowok="t"/>
              </v:shape>
            </v:group>
          </v:group>
        </w:pict>
      </w:r>
      <w:r>
        <w:rPr>
          <w:rFonts w:ascii="宋体" w:hAnsi="宋体" w:cs="宋体" w:eastAsia="宋体" w:hint="default"/>
          <w:sz w:val="2"/>
          <w:szCs w:val="2"/>
        </w:rPr>
      </w:r>
    </w:p>
    <w:p>
      <w:pPr>
        <w:spacing w:before="82"/>
        <w:ind w:left="857" w:right="95" w:firstLine="0"/>
        <w:jc w:val="left"/>
        <w:rPr>
          <w:rFonts w:ascii="宋体" w:hAnsi="宋体" w:cs="宋体" w:eastAsia="宋体" w:hint="default"/>
          <w:sz w:val="21"/>
          <w:szCs w:val="21"/>
        </w:rPr>
      </w:pPr>
      <w:r>
        <w:rPr/>
        <w:pict>
          <v:group style="position:absolute;margin-left:441pt;margin-top:83.503952pt;width:81pt;height:82.95pt;mso-position-horizontal-relative:page;mso-position-vertical-relative:paragraph;z-index:-996424" coordorigin="8820,1670" coordsize="1620,1659">
            <v:shape style="position:absolute;left:8820;top:1670;width:1620;height:1659" coordorigin="8820,1670" coordsize="1620,1659" path="m8820,3328l10440,3328,10440,1670,8820,1670,8820,3328xe" filled="true" fillcolor="#ffffff" stroked="false">
              <v:path arrowok="t"/>
              <v:fill type="solid"/>
            </v:shape>
            <w10:wrap type="none"/>
          </v:group>
        </w:pict>
      </w:r>
      <w:r>
        <w:rPr>
          <w:rFonts w:ascii="宋体" w:hAnsi="宋体" w:cs="宋体" w:eastAsia="宋体" w:hint="default"/>
          <w:sz w:val="21"/>
          <w:szCs w:val="21"/>
        </w:rPr>
        <w:t>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日，本公司的基本法律架构如下：</w:t>
      </w:r>
    </w:p>
    <w:p>
      <w:pPr>
        <w:spacing w:line="240" w:lineRule="auto" w:before="2"/>
        <w:rPr>
          <w:rFonts w:ascii="宋体" w:hAnsi="宋体" w:cs="宋体" w:eastAsia="宋体" w:hint="default"/>
          <w:sz w:val="15"/>
          <w:szCs w:val="15"/>
        </w:rPr>
      </w:pPr>
    </w:p>
    <w:tbl>
      <w:tblPr>
        <w:tblW w:w="0" w:type="auto"/>
        <w:jc w:val="left"/>
        <w:tblInd w:w="312" w:type="dxa"/>
        <w:tblLayout w:type="fixed"/>
        <w:tblCellMar>
          <w:top w:w="0" w:type="dxa"/>
          <w:left w:w="0" w:type="dxa"/>
          <w:bottom w:w="0" w:type="dxa"/>
          <w:right w:w="0" w:type="dxa"/>
        </w:tblCellMar>
        <w:tblLook w:val="01E0"/>
      </w:tblPr>
      <w:tblGrid>
        <w:gridCol w:w="1052"/>
        <w:gridCol w:w="928"/>
        <w:gridCol w:w="1260"/>
        <w:gridCol w:w="180"/>
        <w:gridCol w:w="865"/>
        <w:gridCol w:w="899"/>
        <w:gridCol w:w="1656"/>
        <w:gridCol w:w="692"/>
        <w:gridCol w:w="928"/>
      </w:tblGrid>
      <w:tr>
        <w:trPr>
          <w:trHeight w:val="540" w:hRule="exact"/>
        </w:trPr>
        <w:tc>
          <w:tcPr>
            <w:tcW w:w="3420" w:type="dxa"/>
            <w:gridSpan w:val="4"/>
            <w:tcBorders>
              <w:top w:val="nil" w:sz="6" w:space="0" w:color="auto"/>
              <w:left w:val="nil" w:sz="6" w:space="0" w:color="auto"/>
              <w:bottom w:val="nil" w:sz="6" w:space="0" w:color="auto"/>
              <w:right w:val="single" w:sz="6" w:space="0" w:color="000000"/>
            </w:tcBorders>
          </w:tcPr>
          <w:p>
            <w:pPr/>
          </w:p>
        </w:tc>
        <w:tc>
          <w:tcPr>
            <w:tcW w:w="1764"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left="542" w:right="0"/>
              <w:jc w:val="left"/>
              <w:rPr>
                <w:rFonts w:ascii="宋体" w:hAnsi="宋体" w:cs="宋体" w:eastAsia="宋体" w:hint="default"/>
                <w:sz w:val="21"/>
                <w:szCs w:val="21"/>
              </w:rPr>
            </w:pPr>
            <w:r>
              <w:rPr>
                <w:rFonts w:ascii="宋体" w:hAnsi="宋体" w:cs="宋体" w:eastAsia="宋体" w:hint="default"/>
                <w:sz w:val="21"/>
                <w:szCs w:val="21"/>
              </w:rPr>
              <w:t>本公司</w:t>
            </w:r>
          </w:p>
        </w:tc>
        <w:tc>
          <w:tcPr>
            <w:tcW w:w="3276" w:type="dxa"/>
            <w:gridSpan w:val="3"/>
            <w:tcBorders>
              <w:top w:val="nil" w:sz="6" w:space="0" w:color="auto"/>
              <w:left w:val="single" w:sz="6" w:space="0" w:color="000000"/>
              <w:bottom w:val="nil" w:sz="6" w:space="0" w:color="auto"/>
              <w:right w:val="nil" w:sz="6" w:space="0" w:color="auto"/>
            </w:tcBorders>
          </w:tcPr>
          <w:p>
            <w:pPr/>
          </w:p>
        </w:tc>
      </w:tr>
      <w:tr>
        <w:trPr>
          <w:trHeight w:val="242" w:hRule="exact"/>
        </w:trPr>
        <w:tc>
          <w:tcPr>
            <w:tcW w:w="4285" w:type="dxa"/>
            <w:gridSpan w:val="5"/>
            <w:tcBorders>
              <w:top w:val="nil" w:sz="6" w:space="0" w:color="auto"/>
              <w:left w:val="nil" w:sz="6" w:space="0" w:color="auto"/>
              <w:bottom w:val="nil" w:sz="6" w:space="0" w:color="auto"/>
              <w:right w:val="single" w:sz="6" w:space="0" w:color="000000"/>
            </w:tcBorders>
          </w:tcPr>
          <w:p>
            <w:pPr/>
          </w:p>
        </w:tc>
        <w:tc>
          <w:tcPr>
            <w:tcW w:w="4175" w:type="dxa"/>
            <w:gridSpan w:val="4"/>
            <w:tcBorders>
              <w:top w:val="nil" w:sz="6" w:space="0" w:color="auto"/>
              <w:left w:val="single" w:sz="6" w:space="0" w:color="000000"/>
              <w:bottom w:val="nil" w:sz="6" w:space="0" w:color="auto"/>
              <w:right w:val="nil" w:sz="6" w:space="0" w:color="auto"/>
            </w:tcBorders>
          </w:tcPr>
          <w:p>
            <w:pPr/>
          </w:p>
        </w:tc>
      </w:tr>
      <w:tr>
        <w:trPr>
          <w:trHeight w:val="310" w:hRule="exact"/>
        </w:trPr>
        <w:tc>
          <w:tcPr>
            <w:tcW w:w="1052" w:type="dxa"/>
            <w:tcBorders>
              <w:top w:val="nil" w:sz="6" w:space="0" w:color="auto"/>
              <w:left w:val="nil" w:sz="6" w:space="0" w:color="auto"/>
              <w:bottom w:val="single" w:sz="6" w:space="0" w:color="000000"/>
              <w:right w:val="single" w:sz="6" w:space="0" w:color="000000"/>
            </w:tcBorders>
          </w:tcPr>
          <w:p>
            <w:pPr/>
          </w:p>
        </w:tc>
        <w:tc>
          <w:tcPr>
            <w:tcW w:w="3233" w:type="dxa"/>
            <w:gridSpan w:val="4"/>
            <w:tcBorders>
              <w:top w:val="single" w:sz="6" w:space="0" w:color="000000"/>
              <w:left w:val="single" w:sz="6" w:space="0" w:color="000000"/>
              <w:bottom w:val="single" w:sz="6" w:space="0" w:color="000000"/>
              <w:right w:val="single" w:sz="6" w:space="0" w:color="000000"/>
            </w:tcBorders>
          </w:tcPr>
          <w:p>
            <w:pPr/>
          </w:p>
        </w:tc>
        <w:tc>
          <w:tcPr>
            <w:tcW w:w="3247" w:type="dxa"/>
            <w:gridSpan w:val="3"/>
            <w:tcBorders>
              <w:top w:val="single" w:sz="6" w:space="0" w:color="000000"/>
              <w:left w:val="single" w:sz="6" w:space="0" w:color="000000"/>
              <w:bottom w:val="single" w:sz="6" w:space="0" w:color="000000"/>
              <w:right w:val="single" w:sz="6" w:space="0" w:color="000000"/>
            </w:tcBorders>
          </w:tcPr>
          <w:p>
            <w:pPr/>
          </w:p>
        </w:tc>
        <w:tc>
          <w:tcPr>
            <w:tcW w:w="928" w:type="dxa"/>
            <w:tcBorders>
              <w:top w:val="nil" w:sz="6" w:space="0" w:color="auto"/>
              <w:left w:val="single" w:sz="6" w:space="0" w:color="000000"/>
              <w:bottom w:val="single" w:sz="6" w:space="0" w:color="000000"/>
              <w:right w:val="nil" w:sz="6" w:space="0" w:color="auto"/>
            </w:tcBorders>
          </w:tcPr>
          <w:p>
            <w:pPr/>
          </w:p>
        </w:tc>
      </w:tr>
      <w:tr>
        <w:trPr>
          <w:trHeight w:val="1658" w:hRule="exact"/>
        </w:trPr>
        <w:tc>
          <w:tcPr>
            <w:tcW w:w="1980" w:type="dxa"/>
            <w:gridSpan w:val="2"/>
            <w:tcBorders>
              <w:top w:val="single" w:sz="6" w:space="0" w:color="000000"/>
              <w:left w:val="single" w:sz="6" w:space="0" w:color="000000"/>
              <w:bottom w:val="single" w:sz="6" w:space="0" w:color="000000"/>
              <w:right w:val="single" w:sz="6" w:space="0" w:color="000000"/>
            </w:tcBorders>
          </w:tcPr>
          <w:p>
            <w:pPr>
              <w:pStyle w:val="TableParagraph"/>
              <w:spacing w:line="259" w:lineRule="auto" w:before="58"/>
              <w:ind w:left="458" w:right="454"/>
              <w:jc w:val="center"/>
              <w:rPr>
                <w:rFonts w:ascii="宋体" w:hAnsi="宋体" w:cs="宋体" w:eastAsia="宋体" w:hint="default"/>
                <w:sz w:val="21"/>
                <w:szCs w:val="21"/>
              </w:rPr>
            </w:pPr>
            <w:r>
              <w:rPr>
                <w:rFonts w:ascii="Arial" w:hAnsi="Arial" w:cs="Arial" w:eastAsia="Arial" w:hint="default"/>
                <w:sz w:val="21"/>
                <w:szCs w:val="21"/>
              </w:rPr>
              <w:t>32</w:t>
            </w:r>
            <w:r>
              <w:rPr>
                <w:rFonts w:ascii="Arial" w:hAnsi="Arial" w:cs="Arial" w:eastAsia="Arial" w:hint="default"/>
                <w:spacing w:val="-7"/>
                <w:sz w:val="21"/>
                <w:szCs w:val="21"/>
              </w:rPr>
              <w:t> </w:t>
            </w:r>
            <w:r>
              <w:rPr>
                <w:rFonts w:ascii="宋体" w:hAnsi="宋体" w:cs="宋体" w:eastAsia="宋体" w:hint="default"/>
                <w:sz w:val="21"/>
                <w:szCs w:val="21"/>
              </w:rPr>
              <w:t>家直接 控股子公司</w:t>
            </w:r>
          </w:p>
          <w:p>
            <w:pPr>
              <w:pStyle w:val="TableParagraph"/>
              <w:spacing w:line="338" w:lineRule="auto" w:before="60"/>
              <w:ind w:left="82" w:right="80"/>
              <w:jc w:val="center"/>
              <w:rPr>
                <w:rFonts w:ascii="宋体" w:hAnsi="宋体" w:cs="宋体" w:eastAsia="宋体" w:hint="default"/>
                <w:sz w:val="16"/>
                <w:szCs w:val="16"/>
              </w:rPr>
            </w:pPr>
            <w:r>
              <w:rPr>
                <w:rFonts w:ascii="宋体" w:hAnsi="宋体" w:cs="宋体" w:eastAsia="宋体" w:hint="default"/>
                <w:sz w:val="16"/>
                <w:szCs w:val="16"/>
              </w:rPr>
              <w:t>（持有权益占</w:t>
            </w:r>
            <w:r>
              <w:rPr>
                <w:rFonts w:ascii="宋体" w:hAnsi="宋体" w:cs="宋体" w:eastAsia="宋体" w:hint="default"/>
                <w:spacing w:val="-43"/>
                <w:sz w:val="16"/>
                <w:szCs w:val="16"/>
              </w:rPr>
              <w:t> </w:t>
            </w:r>
            <w:r>
              <w:rPr>
                <w:rFonts w:ascii="Arial" w:hAnsi="Arial" w:cs="Arial" w:eastAsia="Arial" w:hint="default"/>
                <w:sz w:val="16"/>
                <w:szCs w:val="16"/>
              </w:rPr>
              <w:t>50%</w:t>
            </w:r>
            <w:r>
              <w:rPr>
                <w:rFonts w:ascii="宋体" w:hAnsi="宋体" w:cs="宋体" w:eastAsia="宋体" w:hint="default"/>
                <w:sz w:val="16"/>
                <w:szCs w:val="16"/>
              </w:rPr>
              <w:t>以上或</w:t>
            </w:r>
            <w:r>
              <w:rPr>
                <w:rFonts w:ascii="宋体" w:hAnsi="宋体" w:cs="宋体" w:eastAsia="宋体" w:hint="default"/>
                <w:w w:val="99"/>
                <w:sz w:val="16"/>
                <w:szCs w:val="16"/>
              </w:rPr>
              <w:t> </w:t>
            </w:r>
            <w:r>
              <w:rPr>
                <w:rFonts w:ascii="宋体" w:hAnsi="宋体" w:cs="宋体" w:eastAsia="宋体" w:hint="default"/>
                <w:sz w:val="16"/>
                <w:szCs w:val="16"/>
              </w:rPr>
              <w:t>持股</w:t>
            </w:r>
            <w:r>
              <w:rPr>
                <w:rFonts w:ascii="宋体" w:hAnsi="宋体" w:cs="宋体" w:eastAsia="宋体" w:hint="default"/>
                <w:spacing w:val="-42"/>
                <w:sz w:val="16"/>
                <w:szCs w:val="16"/>
              </w:rPr>
              <w:t> </w:t>
            </w:r>
            <w:r>
              <w:rPr>
                <w:rFonts w:ascii="Arial" w:hAnsi="Arial" w:cs="Arial" w:eastAsia="Arial" w:hint="default"/>
                <w:sz w:val="16"/>
                <w:szCs w:val="16"/>
              </w:rPr>
              <w:t>50%</w:t>
            </w:r>
            <w:r>
              <w:rPr>
                <w:rFonts w:ascii="宋体" w:hAnsi="宋体" w:cs="宋体" w:eastAsia="宋体" w:hint="default"/>
                <w:sz w:val="16"/>
                <w:szCs w:val="16"/>
              </w:rPr>
              <w:t>以下但</w:t>
            </w:r>
            <w:r>
              <w:rPr>
                <w:rFonts w:ascii="宋体" w:hAnsi="宋体" w:cs="宋体" w:eastAsia="宋体" w:hint="default"/>
                <w:w w:val="99"/>
                <w:sz w:val="16"/>
                <w:szCs w:val="16"/>
              </w:rPr>
              <w:t> </w:t>
            </w:r>
            <w:r>
              <w:rPr>
                <w:rFonts w:ascii="宋体" w:hAnsi="宋体" w:cs="宋体" w:eastAsia="宋体" w:hint="default"/>
                <w:sz w:val="16"/>
                <w:szCs w:val="16"/>
              </w:rPr>
              <w:t>具有实际控制权）</w:t>
            </w:r>
          </w:p>
        </w:tc>
        <w:tc>
          <w:tcPr>
            <w:tcW w:w="1260" w:type="dxa"/>
            <w:tcBorders>
              <w:top w:val="nil" w:sz="6" w:space="0" w:color="auto"/>
              <w:left w:val="single" w:sz="6" w:space="0" w:color="000000"/>
              <w:bottom w:val="nil" w:sz="6" w:space="0" w:color="auto"/>
              <w:right w:val="single" w:sz="6" w:space="0" w:color="000000"/>
            </w:tcBorders>
          </w:tcPr>
          <w:p>
            <w:pPr/>
          </w:p>
        </w:tc>
        <w:tc>
          <w:tcPr>
            <w:tcW w:w="1944" w:type="dxa"/>
            <w:gridSpan w:val="3"/>
            <w:tcBorders>
              <w:top w:val="single" w:sz="6" w:space="0" w:color="000000"/>
              <w:left w:val="single" w:sz="6" w:space="0" w:color="000000"/>
              <w:bottom w:val="single" w:sz="6" w:space="0" w:color="000000"/>
              <w:right w:val="single" w:sz="6" w:space="0" w:color="000000"/>
            </w:tcBorders>
          </w:tcPr>
          <w:p>
            <w:pPr>
              <w:pStyle w:val="TableParagraph"/>
              <w:spacing w:line="266" w:lineRule="auto" w:before="58"/>
              <w:ind w:left="143" w:right="103"/>
              <w:jc w:val="center"/>
              <w:rPr>
                <w:rFonts w:ascii="宋体" w:hAnsi="宋体" w:cs="宋体" w:eastAsia="宋体" w:hint="default"/>
                <w:sz w:val="21"/>
                <w:szCs w:val="21"/>
              </w:rPr>
            </w:pPr>
            <w:r>
              <w:rPr>
                <w:rFonts w:ascii="Arial" w:hAnsi="Arial" w:cs="Arial" w:eastAsia="Arial" w:hint="default"/>
                <w:sz w:val="21"/>
                <w:szCs w:val="21"/>
              </w:rPr>
              <w:t>9</w:t>
            </w:r>
            <w:r>
              <w:rPr>
                <w:rFonts w:ascii="Arial" w:hAnsi="Arial" w:cs="Arial" w:eastAsia="Arial" w:hint="default"/>
                <w:spacing w:val="-6"/>
                <w:sz w:val="21"/>
                <w:szCs w:val="21"/>
              </w:rPr>
              <w:t> </w:t>
            </w:r>
            <w:r>
              <w:rPr>
                <w:rFonts w:ascii="宋体" w:hAnsi="宋体" w:cs="宋体" w:eastAsia="宋体" w:hint="default"/>
                <w:sz w:val="21"/>
                <w:szCs w:val="21"/>
              </w:rPr>
              <w:t>家直接持股 联营公司及其他被 投资单位</w:t>
            </w:r>
          </w:p>
          <w:p>
            <w:pPr>
              <w:pStyle w:val="TableParagraph"/>
              <w:spacing w:line="240" w:lineRule="auto" w:before="54"/>
              <w:ind w:left="37" w:right="0"/>
              <w:jc w:val="center"/>
              <w:rPr>
                <w:rFonts w:ascii="宋体" w:hAnsi="宋体" w:cs="宋体" w:eastAsia="宋体" w:hint="default"/>
                <w:sz w:val="16"/>
                <w:szCs w:val="16"/>
              </w:rPr>
            </w:pPr>
            <w:r>
              <w:rPr>
                <w:rFonts w:ascii="宋体" w:hAnsi="宋体" w:cs="宋体" w:eastAsia="宋体" w:hint="default"/>
                <w:sz w:val="16"/>
                <w:szCs w:val="16"/>
              </w:rPr>
              <w:t>（本公司持有权益占</w:t>
            </w:r>
          </w:p>
          <w:p>
            <w:pPr>
              <w:pStyle w:val="TableParagraph"/>
              <w:spacing w:line="240" w:lineRule="auto" w:before="102"/>
              <w:ind w:left="198" w:right="0"/>
              <w:jc w:val="center"/>
              <w:rPr>
                <w:rFonts w:ascii="宋体" w:hAnsi="宋体" w:cs="宋体" w:eastAsia="宋体" w:hint="default"/>
                <w:sz w:val="16"/>
                <w:szCs w:val="16"/>
              </w:rPr>
            </w:pPr>
            <w:r>
              <w:rPr>
                <w:rFonts w:ascii="Arial" w:hAnsi="Arial" w:cs="Arial" w:eastAsia="Arial" w:hint="default"/>
                <w:sz w:val="16"/>
                <w:szCs w:val="16"/>
              </w:rPr>
              <w:t>50%</w:t>
            </w:r>
            <w:r>
              <w:rPr>
                <w:rFonts w:ascii="宋体" w:hAnsi="宋体" w:cs="宋体" w:eastAsia="宋体" w:hint="default"/>
                <w:sz w:val="16"/>
                <w:szCs w:val="16"/>
              </w:rPr>
              <w:t>以下）</w:t>
            </w:r>
          </w:p>
        </w:tc>
        <w:tc>
          <w:tcPr>
            <w:tcW w:w="1656" w:type="dxa"/>
            <w:tcBorders>
              <w:top w:val="nil" w:sz="6" w:space="0" w:color="auto"/>
              <w:left w:val="single" w:sz="6" w:space="0" w:color="000000"/>
              <w:bottom w:val="nil" w:sz="6" w:space="0" w:color="auto"/>
              <w:right w:val="single" w:sz="6" w:space="0" w:color="000000"/>
            </w:tcBorders>
          </w:tcPr>
          <w:p>
            <w:pPr/>
          </w:p>
        </w:tc>
        <w:tc>
          <w:tcPr>
            <w:tcW w:w="162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298" w:right="0"/>
              <w:jc w:val="left"/>
              <w:rPr>
                <w:rFonts w:ascii="宋体" w:hAnsi="宋体" w:cs="宋体" w:eastAsia="宋体" w:hint="default"/>
                <w:sz w:val="21"/>
                <w:szCs w:val="21"/>
              </w:rPr>
            </w:pPr>
            <w:r>
              <w:rPr>
                <w:rFonts w:ascii="Arial" w:hAnsi="Arial" w:cs="Arial" w:eastAsia="Arial" w:hint="default"/>
                <w:sz w:val="21"/>
                <w:szCs w:val="21"/>
              </w:rPr>
              <w:t>2</w:t>
            </w:r>
            <w:r>
              <w:rPr>
                <w:rFonts w:ascii="Arial" w:hAnsi="Arial" w:cs="Arial" w:eastAsia="Arial" w:hint="default"/>
                <w:spacing w:val="-7"/>
                <w:sz w:val="21"/>
                <w:szCs w:val="21"/>
              </w:rPr>
              <w:t> </w:t>
            </w:r>
            <w:r>
              <w:rPr>
                <w:rFonts w:ascii="宋体" w:hAnsi="宋体" w:cs="宋体" w:eastAsia="宋体" w:hint="default"/>
                <w:sz w:val="21"/>
                <w:szCs w:val="21"/>
              </w:rPr>
              <w:t>家分公司</w:t>
            </w:r>
          </w:p>
        </w:tc>
      </w:tr>
    </w:tbl>
    <w:p>
      <w:pPr>
        <w:spacing w:line="240" w:lineRule="auto" w:before="0"/>
        <w:rPr>
          <w:rFonts w:ascii="宋体" w:hAnsi="宋体" w:cs="宋体" w:eastAsia="宋体" w:hint="default"/>
          <w:sz w:val="22"/>
          <w:szCs w:val="22"/>
        </w:rPr>
      </w:pPr>
    </w:p>
    <w:p>
      <w:pPr>
        <w:pStyle w:val="BodyText"/>
        <w:tabs>
          <w:tab w:pos="853" w:val="left" w:leader="none"/>
        </w:tabs>
        <w:spacing w:line="240" w:lineRule="auto" w:before="170"/>
        <w:ind w:left="125" w:right="95"/>
        <w:jc w:val="left"/>
        <w:rPr>
          <w:rFonts w:ascii="宋体" w:hAnsi="宋体" w:cs="宋体" w:eastAsia="宋体" w:hint="default"/>
        </w:rPr>
      </w:pPr>
      <w:r>
        <w:rPr>
          <w:rFonts w:ascii="宋体" w:hAnsi="宋体" w:cs="宋体" w:eastAsia="宋体" w:hint="default"/>
        </w:rPr>
        <w:t>二、</w:t>
        <w:tab/>
        <w:t>主要会计政策、会计估计和前期差错</w:t>
      </w:r>
    </w:p>
    <w:p>
      <w:pPr>
        <w:tabs>
          <w:tab w:pos="853" w:val="left" w:leader="none"/>
        </w:tabs>
        <w:spacing w:before="157"/>
        <w:ind w:left="125"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财务报表的编制基础</w:t>
      </w:r>
    </w:p>
    <w:p>
      <w:pPr>
        <w:spacing w:line="272" w:lineRule="exact" w:before="164"/>
        <w:ind w:left="857" w:right="113" w:firstLine="0"/>
        <w:jc w:val="left"/>
        <w:rPr>
          <w:rFonts w:ascii="宋体" w:hAnsi="宋体" w:cs="宋体" w:eastAsia="宋体" w:hint="default"/>
          <w:sz w:val="21"/>
          <w:szCs w:val="21"/>
        </w:rPr>
      </w:pPr>
      <w:r>
        <w:rPr>
          <w:rFonts w:ascii="宋体" w:hAnsi="宋体" w:cs="宋体" w:eastAsia="宋体" w:hint="default"/>
          <w:sz w:val="21"/>
          <w:szCs w:val="21"/>
        </w:rPr>
        <w:t>公司以持续经营为基础，根据实际发生的交易和事项，按照《企业会计准则</w:t>
      </w:r>
      <w:r>
        <w:rPr>
          <w:rFonts w:ascii="Times New Roman" w:hAnsi="Times New Roman" w:cs="Times New Roman" w:eastAsia="Times New Roman" w:hint="default"/>
          <w:sz w:val="21"/>
          <w:szCs w:val="21"/>
        </w:rPr>
        <w:t>—</w:t>
      </w:r>
      <w:r>
        <w:rPr>
          <w:rFonts w:ascii="宋体" w:hAnsi="宋体" w:cs="宋体" w:eastAsia="宋体" w:hint="default"/>
          <w:sz w:val="21"/>
          <w:szCs w:val="21"/>
        </w:rPr>
        <w:t>基本准则》 和其他各项会计准则及其他相关规定进行确认和计量，在此基础上编制财务报表。</w:t>
      </w:r>
    </w:p>
    <w:p>
      <w:pPr>
        <w:tabs>
          <w:tab w:pos="853" w:val="left" w:leader="none"/>
        </w:tabs>
        <w:spacing w:before="128"/>
        <w:ind w:left="125"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遵循企业会计准则的声明</w:t>
      </w:r>
    </w:p>
    <w:p>
      <w:pPr>
        <w:spacing w:line="272" w:lineRule="exact" w:before="165"/>
        <w:ind w:left="857" w:right="191" w:firstLine="0"/>
        <w:jc w:val="left"/>
        <w:rPr>
          <w:rFonts w:ascii="宋体" w:hAnsi="宋体" w:cs="宋体" w:eastAsia="宋体" w:hint="default"/>
          <w:sz w:val="21"/>
          <w:szCs w:val="21"/>
        </w:rPr>
      </w:pPr>
      <w:r>
        <w:rPr>
          <w:rFonts w:ascii="宋体" w:hAnsi="宋体" w:cs="宋体" w:eastAsia="宋体" w:hint="default"/>
          <w:spacing w:val="-2"/>
          <w:sz w:val="21"/>
          <w:szCs w:val="21"/>
        </w:rPr>
        <w:t>公司所编制的财务报表符合企业会计准则的要求，真实、完整地反映了报告期公司的财务</w:t>
      </w:r>
      <w:r>
        <w:rPr>
          <w:rFonts w:ascii="宋体" w:hAnsi="宋体" w:cs="宋体" w:eastAsia="宋体" w:hint="default"/>
          <w:sz w:val="21"/>
          <w:szCs w:val="21"/>
        </w:rPr>
        <w:t> 状况、经营成果、现金流量等有关信息。</w:t>
      </w:r>
    </w:p>
    <w:p>
      <w:pPr>
        <w:tabs>
          <w:tab w:pos="853" w:val="left" w:leader="none"/>
        </w:tabs>
        <w:spacing w:before="128"/>
        <w:ind w:left="125"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会计期间</w:t>
      </w:r>
    </w:p>
    <w:p>
      <w:pPr>
        <w:spacing w:before="137"/>
        <w:ind w:left="857" w:right="95" w:firstLine="0"/>
        <w:jc w:val="left"/>
        <w:rPr>
          <w:rFonts w:ascii="宋体" w:hAnsi="宋体" w:cs="宋体" w:eastAsia="宋体" w:hint="default"/>
          <w:sz w:val="21"/>
          <w:szCs w:val="21"/>
        </w:rPr>
      </w:pPr>
      <w:r>
        <w:rPr>
          <w:rFonts w:ascii="宋体" w:hAnsi="宋体" w:cs="宋体" w:eastAsia="宋体" w:hint="default"/>
          <w:sz w:val="21"/>
          <w:szCs w:val="21"/>
        </w:rPr>
        <w:t>自公历</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日至</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日止为一个会计年度。</w:t>
      </w:r>
    </w:p>
    <w:p>
      <w:pPr>
        <w:tabs>
          <w:tab w:pos="853" w:val="left" w:leader="none"/>
        </w:tabs>
        <w:spacing w:before="137"/>
        <w:ind w:left="125"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记账本位币</w:t>
      </w:r>
    </w:p>
    <w:p>
      <w:pPr>
        <w:spacing w:line="272" w:lineRule="exact" w:before="165"/>
        <w:ind w:left="857" w:right="191" w:firstLine="0"/>
        <w:jc w:val="left"/>
        <w:rPr>
          <w:rFonts w:ascii="宋体" w:hAnsi="宋体" w:cs="宋体" w:eastAsia="宋体" w:hint="default"/>
          <w:sz w:val="21"/>
          <w:szCs w:val="21"/>
        </w:rPr>
      </w:pPr>
      <w:r>
        <w:rPr>
          <w:rFonts w:ascii="宋体" w:hAnsi="宋体" w:cs="宋体" w:eastAsia="宋体" w:hint="default"/>
          <w:spacing w:val="-2"/>
          <w:sz w:val="21"/>
          <w:szCs w:val="21"/>
        </w:rPr>
        <w:t>境内公司以人民币为记账本位币，境外公司按所在国家或地区的货币为记账本位币，编制</w:t>
      </w:r>
      <w:r>
        <w:rPr>
          <w:rFonts w:ascii="宋体" w:hAnsi="宋体" w:cs="宋体" w:eastAsia="宋体" w:hint="default"/>
          <w:sz w:val="21"/>
          <w:szCs w:val="21"/>
        </w:rPr>
        <w:t> 财务报表时折算为人民币。</w:t>
      </w:r>
    </w:p>
    <w:p>
      <w:pPr>
        <w:tabs>
          <w:tab w:pos="853" w:val="left" w:leader="none"/>
        </w:tabs>
        <w:spacing w:before="128"/>
        <w:ind w:left="125"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同一控制下和非同一控制下企业合并的会计处理方法</w:t>
      </w:r>
    </w:p>
    <w:p>
      <w:pPr>
        <w:tabs>
          <w:tab w:pos="1396" w:val="left" w:leader="none"/>
        </w:tabs>
        <w:spacing w:before="110"/>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同一控制下企业合并</w:t>
      </w:r>
    </w:p>
    <w:p>
      <w:pPr>
        <w:spacing w:line="272" w:lineRule="exact" w:before="164"/>
        <w:ind w:left="1399" w:right="95" w:firstLine="0"/>
        <w:jc w:val="left"/>
        <w:rPr>
          <w:rFonts w:ascii="宋体" w:hAnsi="宋体" w:cs="宋体" w:eastAsia="宋体" w:hint="default"/>
          <w:sz w:val="21"/>
          <w:szCs w:val="21"/>
        </w:rPr>
      </w:pPr>
      <w:r>
        <w:rPr>
          <w:rFonts w:ascii="宋体" w:hAnsi="宋体" w:cs="宋体" w:eastAsia="宋体" w:hint="default"/>
          <w:sz w:val="21"/>
          <w:szCs w:val="21"/>
        </w:rPr>
        <w:t>本公司在企业合并中取得的资产和负债，按照合并日在被合并方的账面价值计量。</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在合并中取得的净资产账面价值与支付的合并对价账面价值（或发行股份面值总额）</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的差额，调整资本公积，资本公积不足冲减的，调整留存收益。</w:t>
      </w:r>
    </w:p>
    <w:p>
      <w:pPr>
        <w:spacing w:line="272" w:lineRule="exact" w:before="156"/>
        <w:ind w:left="1399" w:right="201" w:firstLine="0"/>
        <w:jc w:val="left"/>
        <w:rPr>
          <w:rFonts w:ascii="宋体" w:hAnsi="宋体" w:cs="宋体" w:eastAsia="宋体" w:hint="default"/>
          <w:sz w:val="21"/>
          <w:szCs w:val="21"/>
        </w:rPr>
      </w:pPr>
      <w:r>
        <w:rPr>
          <w:rFonts w:ascii="宋体" w:hAnsi="宋体" w:cs="宋体" w:eastAsia="宋体" w:hint="default"/>
          <w:sz w:val="21"/>
          <w:szCs w:val="21"/>
        </w:rPr>
        <w:t>本公司为进行企业合并而发生的各项直接相关费用，包括为进行企业合并而支付的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审计费用、评估费用、法律服务费等，于发生时计入当期损益。</w:t>
      </w:r>
    </w:p>
    <w:p>
      <w:pPr>
        <w:spacing w:line="272" w:lineRule="exact" w:before="156"/>
        <w:ind w:left="1399" w:right="201" w:firstLine="0"/>
        <w:jc w:val="left"/>
        <w:rPr>
          <w:rFonts w:ascii="宋体" w:hAnsi="宋体" w:cs="宋体" w:eastAsia="宋体" w:hint="default"/>
          <w:sz w:val="21"/>
          <w:szCs w:val="21"/>
        </w:rPr>
      </w:pPr>
      <w:r>
        <w:rPr>
          <w:rFonts w:ascii="宋体" w:hAnsi="宋体" w:cs="宋体" w:eastAsia="宋体" w:hint="default"/>
          <w:sz w:val="21"/>
          <w:szCs w:val="21"/>
        </w:rPr>
        <w:t>企业合并中发行权益性证券发生的手续费、佣金等，抵减权益性证券溢价收入，溢</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价收入不足冲减的，冲减留存收益。</w:t>
      </w:r>
    </w:p>
    <w:p>
      <w:pPr>
        <w:spacing w:line="272" w:lineRule="exact" w:before="156"/>
        <w:ind w:left="1399" w:right="201" w:firstLine="0"/>
        <w:jc w:val="left"/>
        <w:rPr>
          <w:rFonts w:ascii="宋体" w:hAnsi="宋体" w:cs="宋体" w:eastAsia="宋体" w:hint="default"/>
          <w:sz w:val="21"/>
          <w:szCs w:val="21"/>
        </w:rPr>
      </w:pPr>
      <w:r>
        <w:rPr>
          <w:rFonts w:ascii="宋体" w:hAnsi="宋体" w:cs="宋体" w:eastAsia="宋体" w:hint="default"/>
          <w:sz w:val="21"/>
          <w:szCs w:val="21"/>
        </w:rPr>
        <w:t>被合并各方采用的会计政策与本公司不一致的，本公司在合并日按照本公司会计政</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策进行调整，在此基础上按照企业会计准则规定确认。</w:t>
      </w:r>
    </w:p>
    <w:p>
      <w:pPr>
        <w:spacing w:line="240" w:lineRule="auto" w:before="8"/>
        <w:rPr>
          <w:rFonts w:ascii="宋体" w:hAnsi="宋体" w:cs="宋体" w:eastAsia="宋体" w:hint="default"/>
          <w:sz w:val="19"/>
          <w:szCs w:val="19"/>
        </w:rPr>
      </w:pPr>
    </w:p>
    <w:p>
      <w:pPr>
        <w:tabs>
          <w:tab w:pos="1396" w:val="left" w:leader="none"/>
        </w:tabs>
        <w:spacing w:before="0"/>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非同一控制下的企业合并</w:t>
      </w:r>
    </w:p>
    <w:p>
      <w:pPr>
        <w:spacing w:line="272" w:lineRule="exact" w:before="164"/>
        <w:ind w:left="1399" w:right="201" w:firstLine="0"/>
        <w:jc w:val="left"/>
        <w:rPr>
          <w:rFonts w:ascii="宋体" w:hAnsi="宋体" w:cs="宋体" w:eastAsia="宋体" w:hint="default"/>
          <w:sz w:val="21"/>
          <w:szCs w:val="21"/>
        </w:rPr>
      </w:pPr>
      <w:r>
        <w:rPr>
          <w:rFonts w:ascii="宋体" w:hAnsi="宋体" w:cs="宋体" w:eastAsia="宋体" w:hint="default"/>
          <w:sz w:val="21"/>
          <w:szCs w:val="21"/>
        </w:rPr>
        <w:t>本公司在购买日对作为企业合并对价付出的资产、发生或承担的负债按照公允价值</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计量。公允价值与其账面价值的差额，计入当期损益。</w:t>
      </w:r>
    </w:p>
    <w:p>
      <w:pPr>
        <w:spacing w:after="0" w:line="272" w:lineRule="exact"/>
        <w:jc w:val="left"/>
        <w:rPr>
          <w:rFonts w:ascii="宋体" w:hAnsi="宋体" w:cs="宋体" w:eastAsia="宋体" w:hint="default"/>
          <w:sz w:val="21"/>
          <w:szCs w:val="21"/>
        </w:rPr>
        <w:sectPr>
          <w:pgSz w:w="11900" w:h="16840"/>
          <w:pgMar w:header="883" w:footer="1003" w:top="1540" w:bottom="1200" w:left="1660" w:right="1060"/>
        </w:sectPr>
      </w:pPr>
    </w:p>
    <w:p>
      <w:pPr>
        <w:spacing w:before="21"/>
        <w:ind w:left="1400" w:right="0" w:firstLine="0"/>
        <w:jc w:val="both"/>
        <w:rPr>
          <w:rFonts w:ascii="宋体" w:hAnsi="宋体" w:cs="宋体" w:eastAsia="宋体" w:hint="default"/>
          <w:sz w:val="21"/>
          <w:szCs w:val="21"/>
        </w:rPr>
      </w:pPr>
      <w:r>
        <w:rPr/>
        <w:pict>
          <v:group style="position:absolute;margin-left:88.5pt;margin-top:2.574009pt;width:444.6pt;height:.1pt;mso-position-horizontal-relative:page;mso-position-vertical-relative:paragraph;z-index:-996400" coordorigin="1770,51" coordsize="8892,2">
            <v:shape style="position:absolute;left:1770;top:51;width:8892;height:2" coordorigin="1770,51" coordsize="8892,0" path="m1770,51l10662,51e" filled="false" stroked="true" strokeweight=".47998pt" strokecolor="#000000">
              <v:path arrowok="t"/>
            </v:shape>
            <w10:wrap type="none"/>
          </v:group>
        </w:pict>
      </w:r>
      <w:r>
        <w:rPr>
          <w:rFonts w:ascii="宋体" w:hAnsi="宋体" w:cs="宋体" w:eastAsia="宋体" w:hint="default"/>
          <w:sz w:val="21"/>
          <w:szCs w:val="21"/>
        </w:rPr>
        <w:t>本公司在购买日对合并成本进行分配。</w:t>
      </w:r>
    </w:p>
    <w:p>
      <w:pPr>
        <w:spacing w:line="240" w:lineRule="auto" w:before="11"/>
        <w:rPr>
          <w:rFonts w:ascii="宋体" w:hAnsi="宋体" w:cs="宋体" w:eastAsia="宋体" w:hint="default"/>
          <w:sz w:val="13"/>
          <w:szCs w:val="13"/>
        </w:rPr>
      </w:pPr>
    </w:p>
    <w:p>
      <w:pPr>
        <w:spacing w:line="272" w:lineRule="exact" w:before="0"/>
        <w:ind w:left="1400" w:right="207" w:firstLine="0"/>
        <w:jc w:val="both"/>
        <w:rPr>
          <w:rFonts w:ascii="宋体" w:hAnsi="宋体" w:cs="宋体" w:eastAsia="宋体" w:hint="default"/>
          <w:sz w:val="21"/>
          <w:szCs w:val="21"/>
        </w:rPr>
      </w:pPr>
      <w:r>
        <w:rPr>
          <w:rFonts w:ascii="宋体" w:hAnsi="宋体" w:cs="宋体" w:eastAsia="宋体" w:hint="default"/>
          <w:sz w:val="21"/>
          <w:szCs w:val="21"/>
        </w:rPr>
        <w:t>本公司对合并成本大于合并中取得的被购买方可辨认净资产公允价值份额的差额，</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确认为商誉；合并成本小于合并中取得的被购买方可辨认净资产公允价值份额的差</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额，计入当期损益。</w:t>
      </w:r>
    </w:p>
    <w:p>
      <w:pPr>
        <w:spacing w:line="272" w:lineRule="exact" w:before="156"/>
        <w:ind w:left="1400" w:right="101" w:firstLine="0"/>
        <w:jc w:val="left"/>
        <w:rPr>
          <w:rFonts w:ascii="宋体" w:hAnsi="宋体" w:cs="宋体" w:eastAsia="宋体" w:hint="default"/>
          <w:sz w:val="21"/>
          <w:szCs w:val="21"/>
        </w:rPr>
      </w:pPr>
      <w:r>
        <w:rPr>
          <w:rFonts w:ascii="宋体" w:hAnsi="宋体" w:cs="宋体" w:eastAsia="宋体" w:hint="default"/>
          <w:sz w:val="21"/>
          <w:szCs w:val="21"/>
        </w:rPr>
        <w:t>企业合并中取得的被购买方除无形资产外的其他各项资产（不仅限于被购买方原已</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确认的资产），其所带来的经济利益很可能流入本公司且公允价值能够可靠计量的，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单独确认并按公允价值计量；公允价值能够可靠计量的无形资产，单独确认为无形</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资产并按公允价值计量；取得的被购买方除或有负债以外的其他各项负债，履行有</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关义务很可能导致经济利益流出本公司且公允价值能够可靠计量的，单独确认并按</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照公允价值计量；取得的被购买方或有负债，其公允价值能可靠计量的，单独确认</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为负债并按照公允价值计量。</w:t>
      </w:r>
    </w:p>
    <w:p>
      <w:pPr>
        <w:tabs>
          <w:tab w:pos="853" w:val="left" w:leader="none"/>
        </w:tabs>
        <w:spacing w:line="352" w:lineRule="auto" w:before="128"/>
        <w:ind w:left="857" w:right="206"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六</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合并财务报表的编制方法</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本公司合并财务报表的合并范围以控制为基础确定，所有子公司均纳入合并财务报表。</w:t>
      </w:r>
    </w:p>
    <w:p>
      <w:pPr>
        <w:spacing w:line="237" w:lineRule="auto" w:before="57"/>
        <w:ind w:left="857" w:right="206" w:firstLine="0"/>
        <w:jc w:val="both"/>
        <w:rPr>
          <w:rFonts w:ascii="宋体" w:hAnsi="宋体" w:cs="宋体" w:eastAsia="宋体" w:hint="default"/>
          <w:sz w:val="21"/>
          <w:szCs w:val="21"/>
        </w:rPr>
      </w:pPr>
      <w:r>
        <w:rPr>
          <w:rFonts w:ascii="宋体" w:hAnsi="宋体" w:cs="宋体" w:eastAsia="宋体" w:hint="default"/>
          <w:spacing w:val="-2"/>
          <w:sz w:val="21"/>
          <w:szCs w:val="21"/>
        </w:rPr>
        <w:t>所有纳入合并财务报表合并范围的子公司所采用的会计政策、会计期间与本公司一致，如</w:t>
      </w:r>
      <w:r>
        <w:rPr>
          <w:rFonts w:ascii="宋体" w:hAnsi="宋体" w:cs="宋体" w:eastAsia="宋体" w:hint="default"/>
          <w:sz w:val="21"/>
          <w:szCs w:val="21"/>
        </w:rPr>
        <w:t> </w:t>
      </w:r>
      <w:r>
        <w:rPr>
          <w:rFonts w:ascii="宋体" w:hAnsi="宋体" w:cs="宋体" w:eastAsia="宋体" w:hint="default"/>
          <w:spacing w:val="-2"/>
          <w:sz w:val="21"/>
          <w:szCs w:val="21"/>
        </w:rPr>
        <w:t>子公司采用的会计政策、会计期间与本公司不一致的，在编制合并财务报表时，按本公司</w:t>
      </w:r>
      <w:r>
        <w:rPr>
          <w:rFonts w:ascii="宋体" w:hAnsi="宋体" w:cs="宋体" w:eastAsia="宋体" w:hint="default"/>
          <w:sz w:val="21"/>
          <w:szCs w:val="21"/>
        </w:rPr>
        <w:t> 的会计政策、会计期间进行必要的调整。</w:t>
      </w:r>
    </w:p>
    <w:p>
      <w:pPr>
        <w:spacing w:line="240" w:lineRule="auto" w:before="11"/>
        <w:rPr>
          <w:rFonts w:ascii="宋体" w:hAnsi="宋体" w:cs="宋体" w:eastAsia="宋体" w:hint="default"/>
          <w:sz w:val="13"/>
          <w:szCs w:val="13"/>
        </w:rPr>
      </w:pPr>
    </w:p>
    <w:p>
      <w:pPr>
        <w:spacing w:line="272" w:lineRule="exact" w:before="0"/>
        <w:ind w:left="857" w:right="206" w:firstLine="0"/>
        <w:jc w:val="both"/>
        <w:rPr>
          <w:rFonts w:ascii="宋体" w:hAnsi="宋体" w:cs="宋体" w:eastAsia="宋体" w:hint="default"/>
          <w:sz w:val="21"/>
          <w:szCs w:val="21"/>
        </w:rPr>
      </w:pPr>
      <w:r>
        <w:rPr>
          <w:rFonts w:ascii="宋体" w:hAnsi="宋体" w:cs="宋体" w:eastAsia="宋体" w:hint="default"/>
          <w:spacing w:val="-2"/>
          <w:sz w:val="21"/>
          <w:szCs w:val="21"/>
        </w:rPr>
        <w:t>合并财务报表以本公司及子公司的财务报表为基础，根据其他有关资料，按照权益法调整</w:t>
      </w:r>
      <w:r>
        <w:rPr>
          <w:rFonts w:ascii="宋体" w:hAnsi="宋体" w:cs="宋体" w:eastAsia="宋体" w:hint="default"/>
          <w:sz w:val="21"/>
          <w:szCs w:val="21"/>
        </w:rPr>
        <w:t> 对子公司的长期股权投资后，由本公司编制。</w:t>
      </w:r>
    </w:p>
    <w:p>
      <w:pPr>
        <w:spacing w:line="272" w:lineRule="exact" w:before="156"/>
        <w:ind w:left="857" w:right="203" w:firstLine="0"/>
        <w:jc w:val="both"/>
        <w:rPr>
          <w:rFonts w:ascii="宋体" w:hAnsi="宋体" w:cs="宋体" w:eastAsia="宋体" w:hint="default"/>
          <w:sz w:val="21"/>
          <w:szCs w:val="21"/>
        </w:rPr>
      </w:pPr>
      <w:r>
        <w:rPr>
          <w:rFonts w:ascii="宋体" w:hAnsi="宋体" w:cs="宋体" w:eastAsia="宋体" w:hint="default"/>
          <w:spacing w:val="-2"/>
          <w:sz w:val="21"/>
          <w:szCs w:val="21"/>
        </w:rPr>
        <w:t>合并财务报表时抵销本公司与各子公司、各子公司相互之间发生的内部交易对合并资产负</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债表、合并利润表、合并现金流量表、合并所有者权益变动表的影响。</w:t>
      </w:r>
    </w:p>
    <w:p>
      <w:pPr>
        <w:spacing w:line="272" w:lineRule="exact" w:before="156"/>
        <w:ind w:left="857" w:right="130" w:firstLine="0"/>
        <w:jc w:val="both"/>
        <w:rPr>
          <w:rFonts w:ascii="宋体" w:hAnsi="宋体" w:cs="宋体" w:eastAsia="宋体" w:hint="default"/>
          <w:sz w:val="21"/>
          <w:szCs w:val="21"/>
        </w:rPr>
      </w:pPr>
      <w:r>
        <w:rPr>
          <w:rFonts w:ascii="宋体" w:hAnsi="宋体" w:cs="宋体" w:eastAsia="宋体" w:hint="default"/>
          <w:spacing w:val="3"/>
          <w:sz w:val="21"/>
          <w:szCs w:val="21"/>
        </w:rPr>
        <w:t>子公司少数股东分担的当期亏损超过了少数股东在该子公司期初所有者权益中所享有份 </w:t>
      </w:r>
      <w:r>
        <w:rPr>
          <w:rFonts w:ascii="宋体" w:hAnsi="宋体" w:cs="宋体" w:eastAsia="宋体" w:hint="default"/>
          <w:spacing w:val="-2"/>
          <w:sz w:val="21"/>
          <w:szCs w:val="21"/>
        </w:rPr>
        <w:t>额而形成的余额，若公司章程或协议未规定少数股东有义务承担的，该余额冲减本公司的</w:t>
      </w:r>
      <w:r>
        <w:rPr>
          <w:rFonts w:ascii="宋体" w:hAnsi="宋体" w:cs="宋体" w:eastAsia="宋体" w:hint="default"/>
          <w:sz w:val="21"/>
          <w:szCs w:val="21"/>
        </w:rPr>
        <w:t> 所有者权益；若公司章程或协议规定由少数股东承担的，该余额冲减少数股东权益。</w:t>
      </w:r>
    </w:p>
    <w:p>
      <w:pPr>
        <w:spacing w:line="272" w:lineRule="exact" w:before="156"/>
        <w:ind w:left="857" w:right="95" w:firstLine="0"/>
        <w:jc w:val="left"/>
        <w:rPr>
          <w:rFonts w:ascii="宋体" w:hAnsi="宋体" w:cs="宋体" w:eastAsia="宋体" w:hint="default"/>
          <w:sz w:val="21"/>
          <w:szCs w:val="21"/>
        </w:rPr>
      </w:pPr>
      <w:r>
        <w:rPr>
          <w:rFonts w:ascii="宋体" w:hAnsi="宋体" w:cs="宋体" w:eastAsia="宋体" w:hint="default"/>
          <w:sz w:val="21"/>
          <w:szCs w:val="21"/>
        </w:rPr>
        <w:t>在报告期内，若因同一控制下企业合并增加子公司的，则调整合并资产负债表的期初数； </w:t>
      </w:r>
      <w:r>
        <w:rPr>
          <w:rFonts w:ascii="宋体" w:hAnsi="宋体" w:cs="宋体" w:eastAsia="宋体" w:hint="default"/>
          <w:spacing w:val="-2"/>
          <w:sz w:val="21"/>
          <w:szCs w:val="21"/>
        </w:rPr>
        <w:t>将子公司合并当期期初至报告期末的收入、费用、利润纳入合并利润表；将子公司合并当</w:t>
      </w:r>
      <w:r>
        <w:rPr>
          <w:rFonts w:ascii="宋体" w:hAnsi="宋体" w:cs="宋体" w:eastAsia="宋体" w:hint="default"/>
          <w:sz w:val="21"/>
          <w:szCs w:val="21"/>
        </w:rPr>
        <w:t> 期期初至报告期末的现金流量纳入合并现金流量表。</w:t>
      </w:r>
    </w:p>
    <w:p>
      <w:pPr>
        <w:spacing w:line="272" w:lineRule="exact" w:before="156"/>
        <w:ind w:left="857" w:right="95" w:firstLine="0"/>
        <w:jc w:val="left"/>
        <w:rPr>
          <w:rFonts w:ascii="宋体" w:hAnsi="宋体" w:cs="宋体" w:eastAsia="宋体" w:hint="default"/>
          <w:sz w:val="21"/>
          <w:szCs w:val="21"/>
        </w:rPr>
      </w:pPr>
      <w:r>
        <w:rPr>
          <w:rFonts w:ascii="宋体" w:hAnsi="宋体" w:cs="宋体" w:eastAsia="宋体" w:hint="default"/>
          <w:spacing w:val="-5"/>
          <w:sz w:val="21"/>
          <w:szCs w:val="21"/>
        </w:rPr>
        <w:t>在报告期内，若因非同一控制下企业合并增加子公司的，则不调整合并资产负债表期初数；</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将子公司自购买日至报告期末的收入、费用、利润纳入合并利润表；该子公司自购买日至</w:t>
      </w:r>
      <w:r>
        <w:rPr>
          <w:rFonts w:ascii="宋体" w:hAnsi="宋体" w:cs="宋体" w:eastAsia="宋体" w:hint="default"/>
          <w:sz w:val="21"/>
          <w:szCs w:val="21"/>
        </w:rPr>
        <w:t> 报告期末的现金流量纳入合并现金流量表。</w:t>
      </w:r>
    </w:p>
    <w:p>
      <w:pPr>
        <w:spacing w:line="272" w:lineRule="exact" w:before="156"/>
        <w:ind w:left="857" w:right="207" w:firstLine="0"/>
        <w:jc w:val="both"/>
        <w:rPr>
          <w:rFonts w:ascii="宋体" w:hAnsi="宋体" w:cs="宋体" w:eastAsia="宋体" w:hint="default"/>
          <w:sz w:val="21"/>
          <w:szCs w:val="21"/>
        </w:rPr>
      </w:pPr>
      <w:r>
        <w:rPr>
          <w:rFonts w:ascii="宋体" w:hAnsi="宋体" w:cs="宋体" w:eastAsia="宋体" w:hint="default"/>
          <w:spacing w:val="-3"/>
          <w:sz w:val="21"/>
          <w:szCs w:val="21"/>
        </w:rPr>
        <w:t>在报告期内，本公司处置子公司，则该子公司期初至处置日的收入、费用、利润纳入合并</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z w:val="21"/>
          <w:szCs w:val="21"/>
        </w:rPr>
        <w:t>利润表；该子公司期初至处置日的现金流量纳入合并现金流量表。</w:t>
      </w:r>
    </w:p>
    <w:p>
      <w:pPr>
        <w:tabs>
          <w:tab w:pos="853" w:val="left" w:leader="none"/>
        </w:tabs>
        <w:spacing w:before="129"/>
        <w:ind w:left="125"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七</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现金及现金等价物的确定标准</w:t>
      </w:r>
    </w:p>
    <w:p>
      <w:pPr>
        <w:spacing w:line="272" w:lineRule="exact" w:before="165"/>
        <w:ind w:left="857" w:right="206" w:firstLine="0"/>
        <w:jc w:val="both"/>
        <w:rPr>
          <w:rFonts w:ascii="宋体" w:hAnsi="宋体" w:cs="宋体" w:eastAsia="宋体" w:hint="default"/>
          <w:sz w:val="21"/>
          <w:szCs w:val="21"/>
        </w:rPr>
      </w:pPr>
      <w:r>
        <w:rPr>
          <w:rFonts w:ascii="宋体" w:hAnsi="宋体" w:cs="宋体" w:eastAsia="宋体" w:hint="default"/>
          <w:spacing w:val="-2"/>
          <w:sz w:val="21"/>
          <w:szCs w:val="21"/>
        </w:rPr>
        <w:t>在编制现金流量表时，将本集团库存现金以及可以随时用于支付的存款确认为现金。将同</w:t>
      </w:r>
      <w:r>
        <w:rPr>
          <w:rFonts w:ascii="宋体" w:hAnsi="宋体" w:cs="宋体" w:eastAsia="宋体" w:hint="default"/>
          <w:sz w:val="21"/>
          <w:szCs w:val="21"/>
        </w:rPr>
        <w:t> </w:t>
      </w:r>
      <w:r>
        <w:rPr>
          <w:rFonts w:ascii="宋体" w:hAnsi="宋体" w:cs="宋体" w:eastAsia="宋体" w:hint="default"/>
          <w:spacing w:val="-3"/>
          <w:sz w:val="21"/>
          <w:szCs w:val="21"/>
        </w:rPr>
        <w:t>时具备期限短（从购买日起三个月内到期）、流动性强、易于转换为已知现金、价值变动</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风险很小四个条件的投资，确定为现金等价物。</w:t>
      </w:r>
    </w:p>
    <w:p>
      <w:pPr>
        <w:tabs>
          <w:tab w:pos="853" w:val="left" w:leader="none"/>
        </w:tabs>
        <w:spacing w:before="128"/>
        <w:ind w:left="125"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八</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外币业务和外币报表折算</w:t>
      </w:r>
    </w:p>
    <w:p>
      <w:pPr>
        <w:spacing w:line="240" w:lineRule="auto" w:before="3"/>
        <w:rPr>
          <w:rFonts w:ascii="宋体" w:hAnsi="宋体" w:cs="宋体" w:eastAsia="宋体" w:hint="default"/>
          <w:sz w:val="20"/>
          <w:szCs w:val="20"/>
        </w:rPr>
      </w:pPr>
    </w:p>
    <w:p>
      <w:pPr>
        <w:spacing w:before="0"/>
        <w:ind w:left="857"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 </w:t>
      </w:r>
      <w:r>
        <w:rPr>
          <w:rFonts w:ascii="宋体" w:hAnsi="宋体" w:cs="宋体" w:eastAsia="宋体" w:hint="default"/>
          <w:spacing w:val="16"/>
          <w:sz w:val="21"/>
          <w:szCs w:val="21"/>
        </w:rPr>
        <w:t> </w:t>
      </w:r>
      <w:r>
        <w:rPr>
          <w:rFonts w:ascii="宋体" w:hAnsi="宋体" w:cs="宋体" w:eastAsia="宋体" w:hint="default"/>
          <w:sz w:val="21"/>
          <w:szCs w:val="21"/>
        </w:rPr>
        <w:t>外币业务</w:t>
      </w:r>
    </w:p>
    <w:p>
      <w:pPr>
        <w:spacing w:line="272" w:lineRule="exact" w:before="165"/>
        <w:ind w:left="1399" w:right="207" w:firstLine="0"/>
        <w:jc w:val="both"/>
        <w:rPr>
          <w:rFonts w:ascii="宋体" w:hAnsi="宋体" w:cs="宋体" w:eastAsia="宋体" w:hint="default"/>
          <w:sz w:val="21"/>
          <w:szCs w:val="21"/>
        </w:rPr>
      </w:pPr>
      <w:r>
        <w:rPr>
          <w:rFonts w:ascii="宋体" w:hAnsi="宋体" w:cs="宋体" w:eastAsia="宋体" w:hint="default"/>
          <w:sz w:val="21"/>
          <w:szCs w:val="21"/>
        </w:rPr>
        <w:t>本集团除境外子公司外均以人民币为记账本位币。外币业务采用交易发生日的即期</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汇率作为折算汇率折合成人民币记账。外币货币性项目余额按资产负债表日即期汇</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率折算，由此产生的汇兑差额，除属于与购建符合资本化条件的资产相关的外币专</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门借款产生的汇兑差额按照借款费用资本化的原则处理外，均计入当期损益。以历</w:t>
      </w:r>
    </w:p>
    <w:p>
      <w:pPr>
        <w:spacing w:after="0" w:line="272" w:lineRule="exact"/>
        <w:jc w:val="both"/>
        <w:rPr>
          <w:rFonts w:ascii="宋体" w:hAnsi="宋体" w:cs="宋体" w:eastAsia="宋体" w:hint="default"/>
          <w:sz w:val="21"/>
          <w:szCs w:val="21"/>
        </w:rPr>
        <w:sectPr>
          <w:pgSz w:w="11900" w:h="16840"/>
          <w:pgMar w:header="883" w:footer="1003" w:top="1540" w:bottom="1200" w:left="1660" w:right="106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45.1pt;height:.5pt;mso-position-horizontal-relative:char;mso-position-vertical-relative:line" coordorigin="0,0" coordsize="8902,10">
            <v:group style="position:absolute;left:5;top:5;width:8892;height:2" coordorigin="5,5" coordsize="8892,2">
              <v:shape style="position:absolute;left:5;top:5;width:8892;height:2" coordorigin="5,5" coordsize="8892,0" path="m5,5l8897,5e" filled="false" stroked="true" strokeweight=".47998pt" strokecolor="#000000">
                <v:path arrowok="t"/>
              </v:shape>
            </v:group>
          </v:group>
        </w:pict>
      </w:r>
      <w:r>
        <w:rPr>
          <w:rFonts w:ascii="宋体" w:hAnsi="宋体" w:cs="宋体" w:eastAsia="宋体" w:hint="default"/>
          <w:sz w:val="2"/>
          <w:szCs w:val="2"/>
        </w:rPr>
      </w:r>
    </w:p>
    <w:p>
      <w:pPr>
        <w:spacing w:line="272" w:lineRule="exact" w:before="0"/>
        <w:ind w:left="1400" w:right="207" w:firstLine="0"/>
        <w:jc w:val="both"/>
        <w:rPr>
          <w:rFonts w:ascii="宋体" w:hAnsi="宋体" w:cs="宋体" w:eastAsia="宋体" w:hint="default"/>
          <w:sz w:val="21"/>
          <w:szCs w:val="21"/>
        </w:rPr>
      </w:pPr>
      <w:r>
        <w:rPr>
          <w:rFonts w:ascii="宋体" w:hAnsi="宋体" w:cs="宋体" w:eastAsia="宋体" w:hint="default"/>
          <w:sz w:val="21"/>
          <w:szCs w:val="21"/>
        </w:rPr>
        <w:t>史成本计量的外币非货币性项目，仍采用交易发生日的即期汇率折算，不改变其记</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账本位币金额。以公允价值计量的外币非货币性项目，采用公允价值确定日的即期</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汇率折算，由此产生的汇兑差额计入当期损益或资本公积。</w:t>
      </w:r>
    </w:p>
    <w:p>
      <w:pPr>
        <w:spacing w:line="272" w:lineRule="exact" w:before="156"/>
        <w:ind w:left="1400" w:right="207" w:firstLine="0"/>
        <w:jc w:val="both"/>
        <w:rPr>
          <w:rFonts w:ascii="宋体" w:hAnsi="宋体" w:cs="宋体" w:eastAsia="宋体" w:hint="default"/>
          <w:sz w:val="21"/>
          <w:szCs w:val="21"/>
        </w:rPr>
      </w:pPr>
      <w:r>
        <w:rPr>
          <w:rFonts w:ascii="宋体" w:hAnsi="宋体" w:cs="宋体" w:eastAsia="宋体" w:hint="default"/>
          <w:sz w:val="21"/>
          <w:szCs w:val="21"/>
        </w:rPr>
        <w:t>境外子公司以其所在国家或地区的货币为记账本位币。外币业务按业务发生当日的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汇率折算为所在国家或地区的货币入账。境外子公司对于资产负债表日以外币为单</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位的货币性资产和负债，按该日的汇率折算为所在国家或地区的货币，所产生的折</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算差额直接计入当期损益。</w:t>
      </w:r>
    </w:p>
    <w:p>
      <w:pPr>
        <w:spacing w:line="240" w:lineRule="auto" w:before="8"/>
        <w:rPr>
          <w:rFonts w:ascii="宋体" w:hAnsi="宋体" w:cs="宋体" w:eastAsia="宋体" w:hint="default"/>
          <w:sz w:val="19"/>
          <w:szCs w:val="19"/>
        </w:rPr>
      </w:pPr>
    </w:p>
    <w:p>
      <w:pPr>
        <w:tabs>
          <w:tab w:pos="1396" w:val="left" w:leader="none"/>
        </w:tabs>
        <w:spacing w:before="0"/>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外币财务报表的折算</w:t>
      </w:r>
    </w:p>
    <w:p>
      <w:pPr>
        <w:spacing w:line="272" w:lineRule="exact" w:before="164"/>
        <w:ind w:left="1400" w:right="202" w:firstLine="0"/>
        <w:jc w:val="both"/>
        <w:rPr>
          <w:rFonts w:ascii="宋体" w:hAnsi="宋体" w:cs="宋体" w:eastAsia="宋体" w:hint="default"/>
          <w:sz w:val="21"/>
          <w:szCs w:val="21"/>
        </w:rPr>
      </w:pPr>
      <w:r>
        <w:rPr>
          <w:rFonts w:ascii="宋体" w:hAnsi="宋体" w:cs="宋体" w:eastAsia="宋体" w:hint="default"/>
          <w:spacing w:val="6"/>
          <w:sz w:val="21"/>
          <w:szCs w:val="21"/>
        </w:rPr>
        <w:t>纳入本集团财务报表合并范围的境外子公司的外币资产负债表中的资产和负债项</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目，采用资产负债表日的即期汇率折算；所有者权益项目除</w:t>
      </w:r>
      <w:r>
        <w:rPr>
          <w:rFonts w:ascii="Times New Roman" w:hAnsi="Times New Roman" w:cs="Times New Roman" w:eastAsia="Times New Roman" w:hint="default"/>
          <w:sz w:val="21"/>
          <w:szCs w:val="21"/>
        </w:rPr>
        <w:t>“</w:t>
      </w:r>
      <w:r>
        <w:rPr>
          <w:rFonts w:ascii="宋体" w:hAnsi="宋体" w:cs="宋体" w:eastAsia="宋体" w:hint="default"/>
          <w:sz w:val="21"/>
          <w:szCs w:val="21"/>
        </w:rPr>
        <w:t>未分配利润</w:t>
      </w:r>
      <w:r>
        <w:rPr>
          <w:rFonts w:ascii="Times New Roman" w:hAnsi="Times New Roman" w:cs="Times New Roman" w:eastAsia="Times New Roman" w:hint="default"/>
          <w:sz w:val="21"/>
          <w:szCs w:val="21"/>
        </w:rPr>
        <w:t>”</w:t>
      </w:r>
      <w:r>
        <w:rPr>
          <w:rFonts w:ascii="宋体" w:hAnsi="宋体" w:cs="宋体" w:eastAsia="宋体" w:hint="default"/>
          <w:sz w:val="21"/>
          <w:szCs w:val="21"/>
        </w:rPr>
        <w:t>项目外，</w:t>
      </w:r>
      <w:r>
        <w:rPr>
          <w:rFonts w:ascii="宋体" w:hAnsi="宋体" w:cs="宋体" w:eastAsia="宋体" w:hint="default"/>
          <w:spacing w:val="-75"/>
          <w:sz w:val="21"/>
          <w:szCs w:val="21"/>
        </w:rPr>
        <w:t> </w:t>
      </w:r>
      <w:r>
        <w:rPr>
          <w:rFonts w:ascii="宋体" w:hAnsi="宋体" w:cs="宋体" w:eastAsia="宋体" w:hint="default"/>
          <w:sz w:val="21"/>
          <w:szCs w:val="21"/>
        </w:rPr>
        <w:t>其他项目采用发生时的即期汇率折算。利润表中的收入和费用项目，采用报告期平</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均汇率折算。按照上述折算产生的外币财务报表折算差额，在资产负债表所有者权</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益项目下单独列示。</w:t>
      </w:r>
    </w:p>
    <w:p>
      <w:pPr>
        <w:spacing w:line="272" w:lineRule="exact" w:before="156"/>
        <w:ind w:left="1400" w:right="207" w:firstLine="0"/>
        <w:jc w:val="both"/>
        <w:rPr>
          <w:rFonts w:ascii="宋体" w:hAnsi="宋体" w:cs="宋体" w:eastAsia="宋体" w:hint="default"/>
          <w:sz w:val="21"/>
          <w:szCs w:val="21"/>
        </w:rPr>
      </w:pPr>
      <w:r>
        <w:rPr>
          <w:rFonts w:ascii="宋体" w:hAnsi="宋体" w:cs="宋体" w:eastAsia="宋体" w:hint="default"/>
          <w:sz w:val="21"/>
          <w:szCs w:val="21"/>
        </w:rPr>
        <w:t>在处置境外经营时，将资产负债表中所有者权益项目下列示的、与该境外经营相关</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的外币财务报表折算差额，自所有者权益项目转入处置当期损益；部分处置境外经</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营的，按处置的比例计算处置部分的外币财务报表折算差额，转入处置当期损益。</w:t>
      </w:r>
    </w:p>
    <w:p>
      <w:pPr>
        <w:tabs>
          <w:tab w:pos="853" w:val="left" w:leader="none"/>
        </w:tabs>
        <w:spacing w:line="331" w:lineRule="auto" w:before="128"/>
        <w:ind w:left="857" w:right="3910"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九</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金融工具</w:t>
      </w:r>
      <w:r>
        <w:rPr>
          <w:rFonts w:ascii="宋体" w:hAnsi="宋体" w:cs="宋体" w:eastAsia="宋体" w:hint="default"/>
          <w:spacing w:val="-102"/>
          <w:sz w:val="21"/>
          <w:szCs w:val="21"/>
        </w:rPr>
        <w:t> </w:t>
      </w:r>
      <w:r>
        <w:rPr>
          <w:rFonts w:ascii="宋体" w:hAnsi="宋体" w:cs="宋体" w:eastAsia="宋体" w:hint="default"/>
          <w:sz w:val="21"/>
          <w:szCs w:val="21"/>
        </w:rPr>
        <w:t>金融工具包括金融资产、金融负债和权益工具。</w:t>
      </w:r>
    </w:p>
    <w:p>
      <w:pPr>
        <w:spacing w:line="240" w:lineRule="auto" w:before="5"/>
        <w:rPr>
          <w:rFonts w:ascii="宋体" w:hAnsi="宋体" w:cs="宋体" w:eastAsia="宋体" w:hint="default"/>
          <w:sz w:val="15"/>
          <w:szCs w:val="15"/>
        </w:rPr>
      </w:pPr>
    </w:p>
    <w:p>
      <w:pPr>
        <w:tabs>
          <w:tab w:pos="1396" w:val="left" w:leader="none"/>
        </w:tabs>
        <w:spacing w:before="0"/>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金融工具的分类</w:t>
      </w:r>
    </w:p>
    <w:p>
      <w:pPr>
        <w:spacing w:line="272" w:lineRule="exact" w:before="164"/>
        <w:ind w:left="1400" w:right="207" w:firstLine="0"/>
        <w:jc w:val="both"/>
        <w:rPr>
          <w:rFonts w:ascii="宋体" w:hAnsi="宋体" w:cs="宋体" w:eastAsia="宋体" w:hint="default"/>
          <w:sz w:val="21"/>
          <w:szCs w:val="21"/>
        </w:rPr>
      </w:pPr>
      <w:r>
        <w:rPr>
          <w:rFonts w:ascii="宋体" w:hAnsi="宋体" w:cs="宋体" w:eastAsia="宋体" w:hint="default"/>
          <w:sz w:val="21"/>
          <w:szCs w:val="21"/>
        </w:rPr>
        <w:t>管理层按照取得持有金融资产和承担金融负债的目的，将其划分为：以公允价值计</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量且其变动计入当期损益的金融资产或金融负债，包括交易性金融资产或金融负债</w:t>
      </w:r>
    </w:p>
    <w:p>
      <w:pPr>
        <w:spacing w:line="272" w:lineRule="exact" w:before="0"/>
        <w:ind w:left="1400" w:right="205" w:hanging="1"/>
        <w:jc w:val="both"/>
        <w:rPr>
          <w:rFonts w:ascii="宋体" w:hAnsi="宋体" w:cs="宋体" w:eastAsia="宋体" w:hint="default"/>
          <w:sz w:val="21"/>
          <w:szCs w:val="21"/>
        </w:rPr>
      </w:pPr>
      <w:r>
        <w:rPr>
          <w:rFonts w:ascii="宋体" w:hAnsi="宋体" w:cs="宋体" w:eastAsia="宋体" w:hint="default"/>
          <w:spacing w:val="-6"/>
          <w:sz w:val="21"/>
          <w:szCs w:val="21"/>
        </w:rPr>
        <w:t>（和直接指定为以公允价值计量且其变动计入当期损益的金融资产或金融负债）；持</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有至到期投资；贷款和应收款项；可供出售金融资产；其他金融负债等。</w:t>
      </w:r>
    </w:p>
    <w:p>
      <w:pPr>
        <w:spacing w:line="240" w:lineRule="auto" w:before="9"/>
        <w:rPr>
          <w:rFonts w:ascii="宋体" w:hAnsi="宋体" w:cs="宋体" w:eastAsia="宋体" w:hint="default"/>
          <w:sz w:val="19"/>
          <w:szCs w:val="19"/>
        </w:rPr>
      </w:pPr>
    </w:p>
    <w:p>
      <w:pPr>
        <w:tabs>
          <w:tab w:pos="1396" w:val="left" w:leader="none"/>
        </w:tabs>
        <w:spacing w:before="0"/>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金融工具的确认依据和计量方法</w:t>
      </w:r>
    </w:p>
    <w:p>
      <w:pPr>
        <w:spacing w:before="110"/>
        <w:ind w:left="1400"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）以公允价值计量且其变动计入当期损益的金融资产（金融负债）</w:t>
      </w:r>
    </w:p>
    <w:p>
      <w:pPr>
        <w:spacing w:line="272" w:lineRule="exact" w:before="164"/>
        <w:ind w:left="1400" w:right="101" w:firstLine="0"/>
        <w:jc w:val="both"/>
        <w:rPr>
          <w:rFonts w:ascii="宋体" w:hAnsi="宋体" w:cs="宋体" w:eastAsia="宋体" w:hint="default"/>
          <w:sz w:val="21"/>
          <w:szCs w:val="21"/>
        </w:rPr>
      </w:pPr>
      <w:r>
        <w:rPr>
          <w:rFonts w:ascii="宋体" w:hAnsi="宋体" w:cs="宋体" w:eastAsia="宋体" w:hint="default"/>
          <w:sz w:val="21"/>
          <w:szCs w:val="21"/>
        </w:rPr>
        <w:t>取得时以公允价值（扣除已宣告但尚未发放的现金股利或已到付息期但尚未领取的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债券利息）作为初始确认金额，相关的交易费用计入当期损益。持有期间将取得的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利息或现金股利确认为投资收益，期末将公允价值变动计入当期损益。处置时，其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公允价值与初始入账金额之间的差额确认为投资收益，同时调整公允价值变动损益。</w:t>
      </w:r>
    </w:p>
    <w:p>
      <w:pPr>
        <w:spacing w:line="240" w:lineRule="auto" w:before="8"/>
        <w:rPr>
          <w:rFonts w:ascii="宋体" w:hAnsi="宋体" w:cs="宋体" w:eastAsia="宋体" w:hint="default"/>
          <w:sz w:val="19"/>
          <w:szCs w:val="19"/>
        </w:rPr>
      </w:pPr>
    </w:p>
    <w:p>
      <w:pPr>
        <w:spacing w:before="0"/>
        <w:ind w:left="1400"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w:t>
      </w:r>
    </w:p>
    <w:p>
      <w:pPr>
        <w:spacing w:line="272" w:lineRule="exact" w:before="164"/>
        <w:ind w:left="1400" w:right="207" w:firstLine="0"/>
        <w:jc w:val="both"/>
        <w:rPr>
          <w:rFonts w:ascii="宋体" w:hAnsi="宋体" w:cs="宋体" w:eastAsia="宋体" w:hint="default"/>
          <w:sz w:val="21"/>
          <w:szCs w:val="21"/>
        </w:rPr>
      </w:pPr>
      <w:r>
        <w:rPr>
          <w:rFonts w:ascii="宋体" w:hAnsi="宋体" w:cs="宋体" w:eastAsia="宋体" w:hint="default"/>
          <w:sz w:val="21"/>
          <w:szCs w:val="21"/>
        </w:rPr>
        <w:t>取得时按公允价值（扣除已到付息期但尚未领取的债券利息）和相关交易费用之和</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作为初始确认金额。持有期间按照摊余成本和实际利率（如实际利率与票面利率差</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别较小的，按票面利率）计算确认利息收入，计入投资收益。实际利率在取得时确</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定，在该预期存续期间或适用的更短期间内保持不变。处置时，将所取得价款与该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投资账面价值之间的差额计入投资收益。</w:t>
      </w:r>
    </w:p>
    <w:p>
      <w:pPr>
        <w:spacing w:line="272" w:lineRule="exact" w:before="156"/>
        <w:ind w:left="1400" w:right="205" w:firstLine="0"/>
        <w:jc w:val="both"/>
        <w:rPr>
          <w:rFonts w:ascii="宋体" w:hAnsi="宋体" w:cs="宋体" w:eastAsia="宋体" w:hint="default"/>
          <w:sz w:val="21"/>
          <w:szCs w:val="21"/>
        </w:rPr>
      </w:pPr>
      <w:r>
        <w:rPr>
          <w:rFonts w:ascii="宋体" w:hAnsi="宋体" w:cs="宋体" w:eastAsia="宋体" w:hint="default"/>
          <w:sz w:val="21"/>
          <w:szCs w:val="21"/>
        </w:rPr>
        <w:t>如果公司于到期日前出售或重分类了较大金额的持有至到期投资（较大金额是指相</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6"/>
          <w:sz w:val="21"/>
          <w:szCs w:val="21"/>
        </w:rPr>
        <w:t>对该类投资出售或重分类前的总金额而言），则公司应将该类投资的剩余部分重分类</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为可供出售金融资产，且在本会计期间或以后两个会计年度不能再将任何金融资产</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分类为持有至到期投资，但下列情况除外：</w:t>
      </w:r>
    </w:p>
    <w:p>
      <w:pPr>
        <w:spacing w:before="128"/>
        <w:ind w:left="1400"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出售日或</w:t>
      </w:r>
      <w:r>
        <w:rPr>
          <w:rFonts w:ascii="宋体" w:hAnsi="宋体" w:cs="宋体" w:eastAsia="宋体" w:hint="default"/>
          <w:spacing w:val="-2"/>
          <w:sz w:val="21"/>
          <w:szCs w:val="21"/>
        </w:rPr>
        <w:t>重</w:t>
      </w:r>
      <w:r>
        <w:rPr>
          <w:rFonts w:ascii="宋体" w:hAnsi="宋体" w:cs="宋体" w:eastAsia="宋体" w:hint="default"/>
          <w:sz w:val="21"/>
          <w:szCs w:val="21"/>
        </w:rPr>
        <w:t>分类日距离该项投资到期日或赎回日较</w:t>
      </w:r>
      <w:r>
        <w:rPr>
          <w:rFonts w:ascii="宋体" w:hAnsi="宋体" w:cs="宋体" w:eastAsia="宋体" w:hint="default"/>
          <w:spacing w:val="-15"/>
          <w:sz w:val="21"/>
          <w:szCs w:val="21"/>
        </w:rPr>
        <w:t>近</w:t>
      </w:r>
      <w:r>
        <w:rPr>
          <w:rFonts w:ascii="宋体" w:hAnsi="宋体" w:cs="宋体" w:eastAsia="宋体" w:hint="default"/>
          <w:sz w:val="21"/>
          <w:szCs w:val="21"/>
        </w:rPr>
        <w:t>（到期前三个月内</w:t>
      </w:r>
      <w:r>
        <w:rPr>
          <w:rFonts w:ascii="宋体" w:hAnsi="宋体" w:cs="宋体" w:eastAsia="宋体" w:hint="default"/>
          <w:spacing w:val="-105"/>
          <w:sz w:val="21"/>
          <w:szCs w:val="21"/>
        </w:rPr>
        <w:t>）</w:t>
      </w:r>
      <w:r>
        <w:rPr>
          <w:rFonts w:ascii="宋体" w:hAnsi="宋体" w:cs="宋体" w:eastAsia="宋体" w:hint="default"/>
          <w:spacing w:val="-15"/>
          <w:sz w:val="21"/>
          <w:szCs w:val="21"/>
        </w:rPr>
        <w:t>，</w:t>
      </w:r>
      <w:r>
        <w:rPr>
          <w:rFonts w:ascii="宋体" w:hAnsi="宋体" w:cs="宋体" w:eastAsia="宋体" w:hint="default"/>
          <w:sz w:val="21"/>
          <w:szCs w:val="21"/>
        </w:rPr>
        <w:t>且市场</w:t>
      </w:r>
    </w:p>
    <w:p>
      <w:pPr>
        <w:spacing w:after="0"/>
        <w:jc w:val="both"/>
        <w:rPr>
          <w:rFonts w:ascii="宋体" w:hAnsi="宋体" w:cs="宋体" w:eastAsia="宋体" w:hint="default"/>
          <w:sz w:val="21"/>
          <w:szCs w:val="21"/>
        </w:rPr>
        <w:sectPr>
          <w:pgSz w:w="11900" w:h="16840"/>
          <w:pgMar w:header="883" w:footer="1003" w:top="1540" w:bottom="1200" w:left="1660" w:right="1060"/>
        </w:sectPr>
      </w:pPr>
    </w:p>
    <w:p>
      <w:pPr>
        <w:spacing w:before="21"/>
        <w:ind w:left="1400" w:right="0" w:firstLine="0"/>
        <w:jc w:val="both"/>
        <w:rPr>
          <w:rFonts w:ascii="宋体" w:hAnsi="宋体" w:cs="宋体" w:eastAsia="宋体" w:hint="default"/>
          <w:sz w:val="21"/>
          <w:szCs w:val="21"/>
        </w:rPr>
      </w:pPr>
      <w:r>
        <w:rPr/>
        <w:pict>
          <v:group style="position:absolute;margin-left:88.5pt;margin-top:2.574009pt;width:444.6pt;height:.1pt;mso-position-horizontal-relative:page;mso-position-vertical-relative:paragraph;z-index:-996352" coordorigin="1770,51" coordsize="8892,2">
            <v:shape style="position:absolute;left:1770;top:51;width:8892;height:2" coordorigin="1770,51" coordsize="8892,0" path="m1770,51l10662,51e" filled="false" stroked="true" strokeweight=".47998pt" strokecolor="#000000">
              <v:path arrowok="t"/>
            </v:shape>
            <w10:wrap type="none"/>
          </v:group>
        </w:pict>
      </w:r>
      <w:r>
        <w:rPr>
          <w:rFonts w:ascii="宋体" w:hAnsi="宋体" w:cs="宋体" w:eastAsia="宋体" w:hint="default"/>
          <w:sz w:val="21"/>
          <w:szCs w:val="21"/>
        </w:rPr>
        <w:t>利率变化对该项投资的公允价值没有显著影响；</w:t>
      </w:r>
    </w:p>
    <w:p>
      <w:pPr>
        <w:spacing w:line="240" w:lineRule="auto" w:before="11"/>
        <w:rPr>
          <w:rFonts w:ascii="宋体" w:hAnsi="宋体" w:cs="宋体" w:eastAsia="宋体" w:hint="default"/>
          <w:sz w:val="13"/>
          <w:szCs w:val="13"/>
        </w:rPr>
      </w:pPr>
    </w:p>
    <w:p>
      <w:pPr>
        <w:spacing w:line="272" w:lineRule="exact" w:before="0"/>
        <w:ind w:left="1400" w:right="201"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根据合同约定的定期偿付或提前还款方式收回该投资几乎所有初始本金后，将剩</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z w:val="21"/>
          <w:szCs w:val="21"/>
        </w:rPr>
        <w:t>余部分予以出售或重分类；</w:t>
      </w:r>
    </w:p>
    <w:p>
      <w:pPr>
        <w:spacing w:line="272" w:lineRule="exact" w:before="156"/>
        <w:ind w:left="1400" w:right="203"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c.</w:t>
      </w:r>
      <w:r>
        <w:rPr>
          <w:rFonts w:ascii="宋体" w:hAnsi="宋体" w:cs="宋体" w:eastAsia="宋体" w:hint="default"/>
          <w:sz w:val="21"/>
          <w:szCs w:val="21"/>
        </w:rPr>
        <w:t>出售或重分类是由于企业无法控制、预期不会重复发生且难以合理预计的独立事</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项所引起。</w:t>
      </w:r>
    </w:p>
    <w:p>
      <w:pPr>
        <w:spacing w:line="240" w:lineRule="auto" w:before="8"/>
        <w:rPr>
          <w:rFonts w:ascii="宋体" w:hAnsi="宋体" w:cs="宋体" w:eastAsia="宋体" w:hint="default"/>
          <w:sz w:val="19"/>
          <w:szCs w:val="19"/>
        </w:rPr>
      </w:pPr>
    </w:p>
    <w:p>
      <w:pPr>
        <w:spacing w:before="0"/>
        <w:ind w:left="1400"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）应收款项</w:t>
      </w:r>
    </w:p>
    <w:p>
      <w:pPr>
        <w:spacing w:line="272" w:lineRule="exact" w:before="164"/>
        <w:ind w:left="1400" w:right="207" w:firstLine="0"/>
        <w:jc w:val="both"/>
        <w:rPr>
          <w:rFonts w:ascii="宋体" w:hAnsi="宋体" w:cs="宋体" w:eastAsia="宋体" w:hint="default"/>
          <w:sz w:val="21"/>
          <w:szCs w:val="21"/>
        </w:rPr>
      </w:pPr>
      <w:r>
        <w:rPr>
          <w:rFonts w:ascii="宋体" w:hAnsi="宋体" w:cs="宋体" w:eastAsia="宋体" w:hint="default"/>
          <w:sz w:val="21"/>
          <w:szCs w:val="21"/>
        </w:rPr>
        <w:t>公司对外销售商品或提供劳务形成的应收债权，以及公司持有的其他企业的不包括</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在活跃市场上有报价的债务工具的债权，包括应收账款、其他应收款、应收票据、</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预付账款、长期应收款等，以向购货方应收的合同或协议价款作为初始确认金额；</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具有融资性质的，按其现值进行初始确认。收回或处置时，将取得的价款与该应收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款项账面价值之间的差额计入当期损益。</w:t>
      </w:r>
    </w:p>
    <w:p>
      <w:pPr>
        <w:spacing w:line="240" w:lineRule="auto" w:before="8"/>
        <w:rPr>
          <w:rFonts w:ascii="宋体" w:hAnsi="宋体" w:cs="宋体" w:eastAsia="宋体" w:hint="default"/>
          <w:sz w:val="19"/>
          <w:szCs w:val="19"/>
        </w:rPr>
      </w:pPr>
    </w:p>
    <w:p>
      <w:pPr>
        <w:spacing w:before="0"/>
        <w:ind w:left="1400"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）可供出售金融资产</w:t>
      </w:r>
    </w:p>
    <w:p>
      <w:pPr>
        <w:spacing w:line="272" w:lineRule="exact" w:before="164"/>
        <w:ind w:left="1400" w:right="205" w:firstLine="0"/>
        <w:jc w:val="both"/>
        <w:rPr>
          <w:rFonts w:ascii="宋体" w:hAnsi="宋体" w:cs="宋体" w:eastAsia="宋体" w:hint="default"/>
          <w:sz w:val="21"/>
          <w:szCs w:val="21"/>
        </w:rPr>
      </w:pPr>
      <w:r>
        <w:rPr>
          <w:rFonts w:ascii="宋体" w:hAnsi="宋体" w:cs="宋体" w:eastAsia="宋体" w:hint="default"/>
          <w:sz w:val="21"/>
          <w:szCs w:val="21"/>
        </w:rPr>
        <w:t>取得时按公允价值（扣除已宣告但尚未发放的现金股利或已到付息期但尚未领取的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债券利息）和相关交易费用之和作为初始确认金额。持有期间将取得的利息或现金</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股利确认为投资收益。期末以公允价值计量且将公允价值变动计入资本公积（其他</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6"/>
          <w:sz w:val="21"/>
          <w:szCs w:val="21"/>
        </w:rPr>
        <w:t>资本公积）。处置时，将取得的价款与该金融资产账面价值之间的差额，计入投资损</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益；同时，将原直接计入所有者权益的公允价值变动累计额对应处置部分的金额转</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出，计入投资损益。</w:t>
      </w:r>
    </w:p>
    <w:p>
      <w:pPr>
        <w:spacing w:line="240" w:lineRule="auto" w:before="8"/>
        <w:rPr>
          <w:rFonts w:ascii="宋体" w:hAnsi="宋体" w:cs="宋体" w:eastAsia="宋体" w:hint="default"/>
          <w:sz w:val="19"/>
          <w:szCs w:val="19"/>
        </w:rPr>
      </w:pPr>
    </w:p>
    <w:p>
      <w:pPr>
        <w:spacing w:line="352" w:lineRule="auto" w:before="0"/>
        <w:ind w:left="1400" w:right="101"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）其他金融负债 </w:t>
      </w:r>
      <w:r>
        <w:rPr>
          <w:rFonts w:ascii="宋体" w:hAnsi="宋体" w:cs="宋体" w:eastAsia="宋体" w:hint="default"/>
          <w:spacing w:val="-3"/>
          <w:sz w:val="21"/>
          <w:szCs w:val="21"/>
        </w:rPr>
        <w:t>按其公允价值和相关交易费用之和作为初始确认金额。采用摊余成本进行后续计量。</w:t>
      </w:r>
    </w:p>
    <w:p>
      <w:pPr>
        <w:spacing w:line="240" w:lineRule="auto" w:before="0"/>
        <w:rPr>
          <w:rFonts w:ascii="宋体" w:hAnsi="宋体" w:cs="宋体" w:eastAsia="宋体" w:hint="default"/>
          <w:sz w:val="14"/>
          <w:szCs w:val="14"/>
        </w:rPr>
      </w:pPr>
    </w:p>
    <w:p>
      <w:pPr>
        <w:tabs>
          <w:tab w:pos="1396" w:val="left" w:leader="none"/>
        </w:tabs>
        <w:spacing w:before="0"/>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金融资产转移的确认依据和计量方法</w:t>
      </w:r>
    </w:p>
    <w:p>
      <w:pPr>
        <w:spacing w:line="272" w:lineRule="exact" w:before="165"/>
        <w:ind w:left="1400" w:right="207" w:firstLine="0"/>
        <w:jc w:val="both"/>
        <w:rPr>
          <w:rFonts w:ascii="宋体" w:hAnsi="宋体" w:cs="宋体" w:eastAsia="宋体" w:hint="default"/>
          <w:sz w:val="21"/>
          <w:szCs w:val="21"/>
        </w:rPr>
      </w:pPr>
      <w:r>
        <w:rPr>
          <w:rFonts w:ascii="宋体" w:hAnsi="宋体" w:cs="宋体" w:eastAsia="宋体" w:hint="default"/>
          <w:sz w:val="21"/>
          <w:szCs w:val="21"/>
        </w:rPr>
        <w:t>公司发生金融资产转移时，如已将金融资产所有权上几乎所有的风险和报酬转移给</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转入方，则终止确认该金融资产；如保留了金融资产所有权上几乎所有的风险和报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酬的，则不终止确认该金融资产。</w:t>
      </w:r>
    </w:p>
    <w:p>
      <w:pPr>
        <w:spacing w:line="237" w:lineRule="auto" w:before="131"/>
        <w:ind w:left="1400" w:right="207" w:firstLine="0"/>
        <w:jc w:val="both"/>
        <w:rPr>
          <w:rFonts w:ascii="宋体" w:hAnsi="宋体" w:cs="宋体" w:eastAsia="宋体" w:hint="default"/>
          <w:sz w:val="21"/>
          <w:szCs w:val="21"/>
        </w:rPr>
      </w:pPr>
      <w:r>
        <w:rPr>
          <w:rFonts w:ascii="宋体" w:hAnsi="宋体" w:cs="宋体" w:eastAsia="宋体" w:hint="default"/>
          <w:sz w:val="21"/>
          <w:szCs w:val="21"/>
        </w:rPr>
        <w:t>在判断金融资产转移是否满足上述金融资产终止确认条件时，采用实质重于形式的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原则。公司将金融资产转移区分为金融资产整体转移和部分转移。金融资产整体转</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移满足终止确认条件的，将下列两项金额的差额计入当期损益：</w:t>
      </w:r>
    </w:p>
    <w:p>
      <w:pPr>
        <w:spacing w:before="154"/>
        <w:ind w:left="1400"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）所转移金融资产的账面价值；</w:t>
      </w:r>
    </w:p>
    <w:p>
      <w:pPr>
        <w:spacing w:line="272" w:lineRule="exact" w:before="165"/>
        <w:ind w:left="1400" w:right="205" w:firstLine="0"/>
        <w:jc w:val="both"/>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）因转移而收到的对价，与原直接计入所有者权益的公允价值变动累计额（涉及</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转移的金融资产为可供出售金融资产的情形）之和。</w:t>
      </w:r>
    </w:p>
    <w:p>
      <w:pPr>
        <w:spacing w:line="272" w:lineRule="exact" w:before="156"/>
        <w:ind w:left="1400" w:right="207" w:firstLine="0"/>
        <w:jc w:val="both"/>
        <w:rPr>
          <w:rFonts w:ascii="宋体" w:hAnsi="宋体" w:cs="宋体" w:eastAsia="宋体" w:hint="default"/>
          <w:sz w:val="21"/>
          <w:szCs w:val="21"/>
        </w:rPr>
      </w:pPr>
      <w:r>
        <w:rPr>
          <w:rFonts w:ascii="宋体" w:hAnsi="宋体" w:cs="宋体" w:eastAsia="宋体" w:hint="default"/>
          <w:sz w:val="21"/>
          <w:szCs w:val="21"/>
        </w:rPr>
        <w:t>金融资产部分转移满足终止确认条件的，将所转移金融资产整体的账面价值，在终</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止确认部分和未终止确认部分之间，按照各自的相对公允价值进行分摊，并将下列</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两项金额的差额计入当期损益：</w:t>
      </w:r>
    </w:p>
    <w:p>
      <w:pPr>
        <w:spacing w:before="128"/>
        <w:ind w:left="1400"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）终止确认部分的账面价值；</w:t>
      </w:r>
    </w:p>
    <w:p>
      <w:pPr>
        <w:spacing w:line="272" w:lineRule="exact" w:before="165"/>
        <w:ind w:left="1400" w:right="205" w:firstLine="0"/>
        <w:jc w:val="both"/>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）终止确认部分的对价，与原直接计入所有者权益的公允价值变动累计额中对应</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终止确认部分的金额（涉及转移的金融资产为可供出售金融资产的情形）之和。</w:t>
      </w:r>
    </w:p>
    <w:p>
      <w:pPr>
        <w:spacing w:line="272" w:lineRule="exact" w:before="156"/>
        <w:ind w:left="1400" w:right="207" w:firstLine="0"/>
        <w:jc w:val="both"/>
        <w:rPr>
          <w:rFonts w:ascii="宋体" w:hAnsi="宋体" w:cs="宋体" w:eastAsia="宋体" w:hint="default"/>
          <w:sz w:val="21"/>
          <w:szCs w:val="21"/>
        </w:rPr>
      </w:pPr>
      <w:r>
        <w:rPr>
          <w:rFonts w:ascii="宋体" w:hAnsi="宋体" w:cs="宋体" w:eastAsia="宋体" w:hint="default"/>
          <w:sz w:val="21"/>
          <w:szCs w:val="21"/>
        </w:rPr>
        <w:t>金融资产转移不满足终止确认条件的，继续确认该金融资产，所收到的对价确认为</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一项金融负债。</w:t>
      </w:r>
    </w:p>
    <w:p>
      <w:pPr>
        <w:spacing w:after="0" w:line="272" w:lineRule="exact"/>
        <w:jc w:val="both"/>
        <w:rPr>
          <w:rFonts w:ascii="宋体" w:hAnsi="宋体" w:cs="宋体" w:eastAsia="宋体" w:hint="default"/>
          <w:sz w:val="21"/>
          <w:szCs w:val="21"/>
        </w:rPr>
        <w:sectPr>
          <w:pgSz w:w="11900" w:h="16840"/>
          <w:pgMar w:header="883" w:footer="1003" w:top="1540" w:bottom="1200" w:left="1660" w:right="106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45.1pt;height:.5pt;mso-position-horizontal-relative:char;mso-position-vertical-relative:line" coordorigin="0,0" coordsize="8902,10">
            <v:group style="position:absolute;left:5;top:5;width:8892;height:2" coordorigin="5,5" coordsize="8892,2">
              <v:shape style="position:absolute;left:5;top:5;width:8892;height:2" coordorigin="5,5" coordsize="8892,0" path="m5,5l8897,5e" filled="false" stroked="true" strokeweight=".47998pt" strokecolor="#000000">
                <v:path arrowok="t"/>
              </v:shape>
            </v:group>
          </v:group>
        </w:pict>
      </w:r>
      <w:r>
        <w:rPr>
          <w:rFonts w:ascii="宋体" w:hAnsi="宋体" w:cs="宋体" w:eastAsia="宋体" w:hint="default"/>
          <w:sz w:val="2"/>
          <w:szCs w:val="2"/>
        </w:rPr>
      </w:r>
    </w:p>
    <w:p>
      <w:pPr>
        <w:tabs>
          <w:tab w:pos="1396" w:val="left" w:leader="none"/>
        </w:tabs>
        <w:spacing w:before="82"/>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tab/>
        <w:t>金融负债终止确认条件</w:t>
      </w:r>
    </w:p>
    <w:p>
      <w:pPr>
        <w:spacing w:line="237" w:lineRule="auto" w:before="140"/>
        <w:ind w:left="1400" w:right="207" w:firstLine="0"/>
        <w:jc w:val="both"/>
        <w:rPr>
          <w:rFonts w:ascii="宋体" w:hAnsi="宋体" w:cs="宋体" w:eastAsia="宋体" w:hint="default"/>
          <w:sz w:val="21"/>
          <w:szCs w:val="21"/>
        </w:rPr>
      </w:pPr>
      <w:r>
        <w:rPr>
          <w:rFonts w:ascii="宋体" w:hAnsi="宋体" w:cs="宋体" w:eastAsia="宋体" w:hint="default"/>
          <w:sz w:val="21"/>
          <w:szCs w:val="21"/>
        </w:rPr>
        <w:t>金融负债的现时义务全部或部分已经解除的，则终止确认该金融负债或其一部分；</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本集团若与债权人签定协议，以承担新金融负债方式替换现存金融负债，且新金融</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负债与现存金融负债的合同条款实质上不同的，则终止确认现存金融负债，并同时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确认新金融负债。</w:t>
      </w:r>
    </w:p>
    <w:p>
      <w:pPr>
        <w:spacing w:line="240" w:lineRule="auto" w:before="11"/>
        <w:rPr>
          <w:rFonts w:ascii="宋体" w:hAnsi="宋体" w:cs="宋体" w:eastAsia="宋体" w:hint="default"/>
          <w:sz w:val="13"/>
          <w:szCs w:val="13"/>
        </w:rPr>
      </w:pPr>
    </w:p>
    <w:p>
      <w:pPr>
        <w:spacing w:line="272" w:lineRule="exact" w:before="0"/>
        <w:ind w:left="1400" w:right="207" w:firstLine="0"/>
        <w:jc w:val="both"/>
        <w:rPr>
          <w:rFonts w:ascii="宋体" w:hAnsi="宋体" w:cs="宋体" w:eastAsia="宋体" w:hint="default"/>
          <w:sz w:val="21"/>
          <w:szCs w:val="21"/>
        </w:rPr>
      </w:pPr>
      <w:r>
        <w:rPr>
          <w:rFonts w:ascii="宋体" w:hAnsi="宋体" w:cs="宋体" w:eastAsia="宋体" w:hint="default"/>
          <w:sz w:val="21"/>
          <w:szCs w:val="21"/>
        </w:rPr>
        <w:t>对现存金融负债全部或部分合同条款作出实质性修改的，则终止确认现存金融负债</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或其一部分，同时将修改条款后的金融负债确认为一项新金融负债。</w:t>
      </w:r>
    </w:p>
    <w:p>
      <w:pPr>
        <w:spacing w:line="272" w:lineRule="exact" w:before="156"/>
        <w:ind w:left="1400" w:right="207" w:firstLine="0"/>
        <w:jc w:val="both"/>
        <w:rPr>
          <w:rFonts w:ascii="宋体" w:hAnsi="宋体" w:cs="宋体" w:eastAsia="宋体" w:hint="default"/>
          <w:sz w:val="21"/>
          <w:szCs w:val="21"/>
        </w:rPr>
      </w:pPr>
      <w:r>
        <w:rPr>
          <w:rFonts w:ascii="宋体" w:hAnsi="宋体" w:cs="宋体" w:eastAsia="宋体" w:hint="default"/>
          <w:sz w:val="21"/>
          <w:szCs w:val="21"/>
        </w:rPr>
        <w:t>金融负债全部或部分终止确认时，终止确认的金融负债账面价值与支付对价（包括</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转出的非现金资产或承担的新金融负债）之间的差额，计入当期损益。</w:t>
      </w:r>
    </w:p>
    <w:p>
      <w:pPr>
        <w:spacing w:line="272" w:lineRule="exact" w:before="156"/>
        <w:ind w:left="1400" w:right="207" w:firstLine="0"/>
        <w:jc w:val="both"/>
        <w:rPr>
          <w:rFonts w:ascii="宋体" w:hAnsi="宋体" w:cs="宋体" w:eastAsia="宋体" w:hint="default"/>
          <w:sz w:val="21"/>
          <w:szCs w:val="21"/>
        </w:rPr>
      </w:pPr>
      <w:r>
        <w:rPr>
          <w:rFonts w:ascii="宋体" w:hAnsi="宋体" w:cs="宋体" w:eastAsia="宋体" w:hint="default"/>
          <w:sz w:val="21"/>
          <w:szCs w:val="21"/>
        </w:rPr>
        <w:t>本集团若回购部分金融负债的，在回购日按照继续确认部分与终止确认部分的相对</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公允价值，将该金融负债整体的账面价值进行分配。分配给终止确认部分的账面价</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值与支付的对价（包括转出的非现金资产或承担的新金融负债）之间的差额，计入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当期损益。</w:t>
      </w:r>
    </w:p>
    <w:p>
      <w:pPr>
        <w:spacing w:line="240" w:lineRule="auto" w:before="9"/>
        <w:rPr>
          <w:rFonts w:ascii="宋体" w:hAnsi="宋体" w:cs="宋体" w:eastAsia="宋体" w:hint="default"/>
          <w:sz w:val="19"/>
          <w:szCs w:val="19"/>
        </w:rPr>
      </w:pPr>
    </w:p>
    <w:p>
      <w:pPr>
        <w:tabs>
          <w:tab w:pos="1396" w:val="left" w:leader="none"/>
        </w:tabs>
        <w:spacing w:before="0"/>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sz w:val="21"/>
          <w:szCs w:val="21"/>
        </w:rPr>
        <w:t>、</w:t>
        <w:tab/>
        <w:t>金融资产和金融负债公允价值的确定方法</w:t>
      </w:r>
    </w:p>
    <w:p>
      <w:pPr>
        <w:spacing w:line="272" w:lineRule="exact" w:before="164"/>
        <w:ind w:left="1400" w:right="207" w:firstLine="0"/>
        <w:jc w:val="both"/>
        <w:rPr>
          <w:rFonts w:ascii="宋体" w:hAnsi="宋体" w:cs="宋体" w:eastAsia="宋体" w:hint="default"/>
          <w:sz w:val="21"/>
          <w:szCs w:val="21"/>
        </w:rPr>
      </w:pPr>
      <w:r>
        <w:rPr>
          <w:rFonts w:ascii="宋体" w:hAnsi="宋体" w:cs="宋体" w:eastAsia="宋体" w:hint="default"/>
          <w:sz w:val="21"/>
          <w:szCs w:val="21"/>
        </w:rPr>
        <w:t>本集团采用公允价值计量的金融资产和金融负债全部直接参考活跃市场中的报价。</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报告期末根据公开市场的汇率报价计算外币远期结汇合同的预计损益，如果为预计</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收益，将预计的收益计入公允价值变动损益及交易性金融资产；如果为预计损失，</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将预计的损失计入公允价值变动损益及交易性金融负债。</w:t>
      </w:r>
    </w:p>
    <w:p>
      <w:pPr>
        <w:spacing w:line="240" w:lineRule="auto" w:before="8"/>
        <w:rPr>
          <w:rFonts w:ascii="宋体" w:hAnsi="宋体" w:cs="宋体" w:eastAsia="宋体" w:hint="default"/>
          <w:sz w:val="19"/>
          <w:szCs w:val="19"/>
        </w:rPr>
      </w:pPr>
    </w:p>
    <w:p>
      <w:pPr>
        <w:tabs>
          <w:tab w:pos="1396" w:val="left" w:leader="none"/>
        </w:tabs>
        <w:spacing w:before="0"/>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sz w:val="21"/>
          <w:szCs w:val="21"/>
        </w:rPr>
        <w:t>、</w:t>
        <w:tab/>
        <w:t>金融资产（不含应收款项）减值准备计提</w:t>
      </w:r>
    </w:p>
    <w:p>
      <w:pPr>
        <w:spacing w:before="109"/>
        <w:ind w:left="1400"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）可供出售金融资产的减值准备：</w:t>
      </w:r>
    </w:p>
    <w:p>
      <w:pPr>
        <w:spacing w:line="272" w:lineRule="exact" w:before="165"/>
        <w:ind w:left="1400" w:right="207" w:firstLine="0"/>
        <w:jc w:val="both"/>
        <w:rPr>
          <w:rFonts w:ascii="宋体" w:hAnsi="宋体" w:cs="宋体" w:eastAsia="宋体" w:hint="default"/>
          <w:sz w:val="21"/>
          <w:szCs w:val="21"/>
        </w:rPr>
      </w:pPr>
      <w:r>
        <w:rPr>
          <w:rFonts w:ascii="宋体" w:hAnsi="宋体" w:cs="宋体" w:eastAsia="宋体" w:hint="default"/>
          <w:sz w:val="21"/>
          <w:szCs w:val="21"/>
        </w:rPr>
        <w:t>期末如果可供出售金融资产的公允价值发生较大幅度下降，或在综合考虑各种相关</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因素后，预期这种下降趋势属于非暂时性的，就认定其已发生减值，将原直接计入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所有者权益的公允价值下降形成的累计损失一并转出，确认减值损失。</w:t>
      </w:r>
    </w:p>
    <w:p>
      <w:pPr>
        <w:spacing w:line="352" w:lineRule="auto" w:before="101"/>
        <w:ind w:left="1400" w:right="1250"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）持有至到期投资的减值准备： 持有至到期投资减值损失的计量比照应收款项减值损失计量方法处理。</w:t>
      </w:r>
    </w:p>
    <w:p>
      <w:pPr>
        <w:tabs>
          <w:tab w:pos="853" w:val="left" w:leader="none"/>
        </w:tabs>
        <w:spacing w:before="55"/>
        <w:ind w:left="125"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应收款项</w:t>
      </w:r>
    </w:p>
    <w:p>
      <w:pPr>
        <w:spacing w:line="272" w:lineRule="exact" w:before="165"/>
        <w:ind w:left="857" w:right="203" w:firstLine="0"/>
        <w:jc w:val="both"/>
        <w:rPr>
          <w:rFonts w:ascii="宋体" w:hAnsi="宋体" w:cs="宋体" w:eastAsia="宋体" w:hint="default"/>
          <w:sz w:val="21"/>
          <w:szCs w:val="21"/>
        </w:rPr>
      </w:pPr>
      <w:r>
        <w:rPr>
          <w:rFonts w:ascii="宋体" w:hAnsi="宋体" w:cs="宋体" w:eastAsia="宋体" w:hint="default"/>
          <w:spacing w:val="-2"/>
          <w:sz w:val="21"/>
          <w:szCs w:val="21"/>
        </w:rPr>
        <w:t>期末如果有客观证据表明应收款项发生减值，则将其账面价值减记至可收回金额，减记的</w:t>
      </w:r>
      <w:r>
        <w:rPr>
          <w:rFonts w:ascii="宋体" w:hAnsi="宋体" w:cs="宋体" w:eastAsia="宋体" w:hint="default"/>
          <w:sz w:val="21"/>
          <w:szCs w:val="21"/>
        </w:rPr>
        <w:t> </w:t>
      </w:r>
      <w:r>
        <w:rPr>
          <w:rFonts w:ascii="宋体" w:hAnsi="宋体" w:cs="宋体" w:eastAsia="宋体" w:hint="default"/>
          <w:spacing w:val="-2"/>
          <w:sz w:val="21"/>
          <w:szCs w:val="21"/>
        </w:rPr>
        <w:t>金额确认为资产减值损失，计入当期损益。可收回金额是通过对其的未来现金流量（不包</w:t>
      </w:r>
      <w:r>
        <w:rPr>
          <w:rFonts w:ascii="宋体" w:hAnsi="宋体" w:cs="宋体" w:eastAsia="宋体" w:hint="default"/>
          <w:sz w:val="21"/>
          <w:szCs w:val="21"/>
        </w:rPr>
        <w:t> </w:t>
      </w:r>
      <w:r>
        <w:rPr>
          <w:rFonts w:ascii="宋体" w:hAnsi="宋体" w:cs="宋体" w:eastAsia="宋体" w:hint="default"/>
          <w:spacing w:val="-2"/>
          <w:sz w:val="21"/>
          <w:szCs w:val="21"/>
        </w:rPr>
        <w:t>括尚未发生的信用损失）按原实际利率折现确定，并考虑相关担保物的价值（扣除预计处</w:t>
      </w:r>
      <w:r>
        <w:rPr>
          <w:rFonts w:ascii="宋体" w:hAnsi="宋体" w:cs="宋体" w:eastAsia="宋体" w:hint="default"/>
          <w:sz w:val="21"/>
          <w:szCs w:val="21"/>
        </w:rPr>
        <w:t> </w:t>
      </w:r>
      <w:r>
        <w:rPr>
          <w:rFonts w:ascii="宋体" w:hAnsi="宋体" w:cs="宋体" w:eastAsia="宋体" w:hint="default"/>
          <w:spacing w:val="-3"/>
          <w:sz w:val="21"/>
          <w:szCs w:val="21"/>
        </w:rPr>
        <w:t>置费用等）。原实际利率是初始确认该应收款项时计算确定的实际利率。短期应收款项的</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pacing w:val="-2"/>
          <w:sz w:val="21"/>
          <w:szCs w:val="21"/>
        </w:rPr>
        <w:t>预计未来现金流量与其现值相差很小，在确定相关减值损失时，不对其预计未来现金流量</w:t>
      </w:r>
      <w:r>
        <w:rPr>
          <w:rFonts w:ascii="宋体" w:hAnsi="宋体" w:cs="宋体" w:eastAsia="宋体" w:hint="default"/>
          <w:sz w:val="21"/>
          <w:szCs w:val="21"/>
        </w:rPr>
        <w:t> 进行折现。</w:t>
      </w:r>
    </w:p>
    <w:p>
      <w:pPr>
        <w:spacing w:line="237" w:lineRule="auto" w:before="131"/>
        <w:ind w:left="857" w:right="95" w:firstLine="0"/>
        <w:jc w:val="left"/>
        <w:rPr>
          <w:rFonts w:ascii="宋体" w:hAnsi="宋体" w:cs="宋体" w:eastAsia="宋体" w:hint="default"/>
          <w:sz w:val="21"/>
          <w:szCs w:val="21"/>
        </w:rPr>
      </w:pPr>
      <w:r>
        <w:rPr>
          <w:rFonts w:ascii="宋体" w:hAnsi="宋体" w:cs="宋体" w:eastAsia="宋体" w:hint="default"/>
          <w:spacing w:val="3"/>
          <w:sz w:val="21"/>
          <w:szCs w:val="21"/>
        </w:rPr>
        <w:t>期末对于单项金额重大和金额虽不重大但存在明显减值迹象的应收款项单独进行减值测 </w:t>
      </w:r>
      <w:r>
        <w:rPr>
          <w:rFonts w:ascii="宋体" w:hAnsi="宋体" w:cs="宋体" w:eastAsia="宋体" w:hint="default"/>
          <w:spacing w:val="-5"/>
          <w:sz w:val="21"/>
          <w:szCs w:val="21"/>
        </w:rPr>
        <w:t>试。如有客观证据表明其发生了减值的，根据其未来现金流量现值低于其账面价值的差额，</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确认减值损失，计提坏账准备。如减值测试后，预计未来现金流量不低于其账面价值的， 则按账龄分析法计提坏账准备。</w:t>
      </w:r>
    </w:p>
    <w:p>
      <w:pPr>
        <w:spacing w:line="282" w:lineRule="exact" w:before="154"/>
        <w:ind w:left="857" w:right="95" w:firstLine="0"/>
        <w:jc w:val="left"/>
        <w:rPr>
          <w:rFonts w:ascii="宋体" w:hAnsi="宋体" w:cs="宋体" w:eastAsia="宋体" w:hint="default"/>
          <w:sz w:val="21"/>
          <w:szCs w:val="21"/>
        </w:rPr>
      </w:pPr>
      <w:r>
        <w:rPr>
          <w:rFonts w:ascii="宋体" w:hAnsi="宋体" w:cs="宋体" w:eastAsia="宋体" w:hint="default"/>
          <w:sz w:val="21"/>
          <w:szCs w:val="21"/>
        </w:rPr>
        <w:t>单项金额重大的应收款项的确认标准为：应收账款金额在 </w:t>
      </w: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27"/>
          <w:sz w:val="21"/>
          <w:szCs w:val="21"/>
        </w:rPr>
        <w:t> </w:t>
      </w:r>
      <w:r>
        <w:rPr>
          <w:rFonts w:ascii="宋体" w:hAnsi="宋体" w:cs="宋体" w:eastAsia="宋体" w:hint="default"/>
          <w:sz w:val="21"/>
          <w:szCs w:val="21"/>
        </w:rPr>
        <w:t>万元以上，其他应收款金</w:t>
      </w:r>
    </w:p>
    <w:p>
      <w:pPr>
        <w:spacing w:line="282" w:lineRule="exact" w:before="0"/>
        <w:ind w:left="857" w:right="95" w:firstLine="0"/>
        <w:jc w:val="left"/>
        <w:rPr>
          <w:rFonts w:ascii="宋体" w:hAnsi="宋体" w:cs="宋体" w:eastAsia="宋体" w:hint="default"/>
          <w:sz w:val="21"/>
          <w:szCs w:val="21"/>
        </w:rPr>
      </w:pPr>
      <w:r>
        <w:rPr>
          <w:rFonts w:ascii="宋体" w:hAnsi="宋体" w:cs="宋体" w:eastAsia="宋体" w:hint="default"/>
          <w:sz w:val="21"/>
          <w:szCs w:val="21"/>
        </w:rPr>
        <w:t>额在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万元以上。</w:t>
      </w:r>
    </w:p>
    <w:p>
      <w:pPr>
        <w:spacing w:line="272" w:lineRule="exact" w:before="165"/>
        <w:ind w:left="857" w:right="191" w:firstLine="0"/>
        <w:jc w:val="left"/>
        <w:rPr>
          <w:rFonts w:ascii="宋体" w:hAnsi="宋体" w:cs="宋体" w:eastAsia="宋体" w:hint="default"/>
          <w:sz w:val="21"/>
          <w:szCs w:val="21"/>
        </w:rPr>
      </w:pPr>
      <w:r>
        <w:rPr>
          <w:rFonts w:ascii="宋体" w:hAnsi="宋体" w:cs="宋体" w:eastAsia="宋体" w:hint="default"/>
          <w:spacing w:val="-2"/>
          <w:sz w:val="21"/>
          <w:szCs w:val="21"/>
        </w:rPr>
        <w:t>期末对于单项金额非重大的应收款项，除预计可予收回不存在减值风险的应收款项不计提</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2"/>
          <w:sz w:val="21"/>
          <w:szCs w:val="21"/>
        </w:rPr>
        <w:t>坏账准备外，采用与经单独测试后未减值的应收款项一起按账龄划分为若干具有类似信用</w:t>
      </w:r>
    </w:p>
    <w:p>
      <w:pPr>
        <w:spacing w:after="0" w:line="272" w:lineRule="exact"/>
        <w:jc w:val="left"/>
        <w:rPr>
          <w:rFonts w:ascii="宋体" w:hAnsi="宋体" w:cs="宋体" w:eastAsia="宋体" w:hint="default"/>
          <w:sz w:val="21"/>
          <w:szCs w:val="21"/>
        </w:rPr>
        <w:sectPr>
          <w:pgSz w:w="11900" w:h="16840"/>
          <w:pgMar w:header="883" w:footer="1003" w:top="1540" w:bottom="1200" w:left="1660" w:right="106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45.1pt;height:.5pt;mso-position-horizontal-relative:char;mso-position-vertical-relative:line" coordorigin="0,0" coordsize="8902,10">
            <v:group style="position:absolute;left:5;top:5;width:8892;height:2" coordorigin="5,5" coordsize="8892,2">
              <v:shape style="position:absolute;left:5;top:5;width:8892;height:2" coordorigin="5,5" coordsize="8892,0" path="m5,5l8897,5e" filled="false" stroked="true" strokeweight=".47998pt" strokecolor="#000000">
                <v:path arrowok="t"/>
              </v:shape>
            </v:group>
          </v:group>
        </w:pict>
      </w:r>
      <w:r>
        <w:rPr>
          <w:rFonts w:ascii="宋体" w:hAnsi="宋体" w:cs="宋体" w:eastAsia="宋体" w:hint="default"/>
          <w:sz w:val="2"/>
          <w:szCs w:val="2"/>
        </w:rPr>
      </w:r>
    </w:p>
    <w:p>
      <w:pPr>
        <w:spacing w:line="272" w:lineRule="exact" w:before="0"/>
        <w:ind w:left="857" w:right="147" w:firstLine="0"/>
        <w:jc w:val="both"/>
        <w:rPr>
          <w:rFonts w:ascii="宋体" w:hAnsi="宋体" w:cs="宋体" w:eastAsia="宋体" w:hint="default"/>
          <w:sz w:val="21"/>
          <w:szCs w:val="21"/>
        </w:rPr>
      </w:pPr>
      <w:r>
        <w:rPr>
          <w:rFonts w:ascii="宋体" w:hAnsi="宋体" w:cs="宋体" w:eastAsia="宋体" w:hint="default"/>
          <w:spacing w:val="-2"/>
          <w:sz w:val="21"/>
          <w:szCs w:val="21"/>
        </w:rPr>
        <w:t>风险特征的组合，采用账龄分析法计算估计减值损失，计提坏账准备。在对不同账龄组合</w:t>
      </w:r>
      <w:r>
        <w:rPr>
          <w:rFonts w:ascii="宋体" w:hAnsi="宋体" w:cs="宋体" w:eastAsia="宋体" w:hint="default"/>
          <w:sz w:val="21"/>
          <w:szCs w:val="21"/>
        </w:rPr>
        <w:t> </w:t>
      </w:r>
      <w:r>
        <w:rPr>
          <w:rFonts w:ascii="宋体" w:hAnsi="宋体" w:cs="宋体" w:eastAsia="宋体" w:hint="default"/>
          <w:spacing w:val="-4"/>
          <w:sz w:val="21"/>
          <w:szCs w:val="21"/>
        </w:rPr>
        <w:t>确定其坏账准备计提标准时，公司将账龄在</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年以上的应收账款和账龄在</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年以上的其他 应收款，认定为风险较大的组合。</w:t>
      </w:r>
    </w:p>
    <w:p>
      <w:pPr>
        <w:spacing w:line="272" w:lineRule="exact" w:before="156"/>
        <w:ind w:left="857" w:right="147" w:firstLine="0"/>
        <w:jc w:val="both"/>
        <w:rPr>
          <w:rFonts w:ascii="宋体" w:hAnsi="宋体" w:cs="宋体" w:eastAsia="宋体" w:hint="default"/>
          <w:sz w:val="21"/>
          <w:szCs w:val="21"/>
        </w:rPr>
      </w:pPr>
      <w:r>
        <w:rPr/>
        <w:pict>
          <v:shape style="position:absolute;margin-left:120.480003pt;margin-top:65.120941pt;width:409.768136pt;height:96pt;mso-position-horizontal-relative:page;mso-position-vertical-relative:paragraph;z-index:-996280" type="#_x0000_t75" stroked="false">
            <v:imagedata r:id="rId29" o:title=""/>
          </v:shape>
        </w:pict>
      </w:r>
      <w:r>
        <w:rPr>
          <w:rFonts w:ascii="宋体" w:hAnsi="宋体" w:cs="宋体" w:eastAsia="宋体" w:hint="default"/>
          <w:spacing w:val="-2"/>
          <w:sz w:val="21"/>
          <w:szCs w:val="21"/>
        </w:rPr>
        <w:t>根据以前年度与之相同或类似的，具有应收款项按账龄段划分的类似信用风险特征组合的</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2"/>
          <w:sz w:val="21"/>
          <w:szCs w:val="21"/>
        </w:rPr>
        <w:t>实际损失率为基础，结合现时情况确定应收款项不同账龄组合坏账准备的计提比例。具体</w:t>
      </w:r>
      <w:r>
        <w:rPr>
          <w:rFonts w:ascii="宋体" w:hAnsi="宋体" w:cs="宋体" w:eastAsia="宋体" w:hint="default"/>
          <w:sz w:val="21"/>
          <w:szCs w:val="21"/>
        </w:rPr>
        <w:t> 计提标准如下：</w:t>
      </w:r>
    </w:p>
    <w:p>
      <w:pPr>
        <w:spacing w:line="240" w:lineRule="auto" w:before="11"/>
        <w:rPr>
          <w:rFonts w:ascii="宋体" w:hAnsi="宋体" w:cs="宋体" w:eastAsia="宋体" w:hint="default"/>
          <w:sz w:val="24"/>
          <w:szCs w:val="24"/>
        </w:rPr>
      </w:pPr>
    </w:p>
    <w:tbl>
      <w:tblPr>
        <w:tblW w:w="0" w:type="auto"/>
        <w:jc w:val="left"/>
        <w:tblInd w:w="749" w:type="dxa"/>
        <w:tblLayout w:type="fixed"/>
        <w:tblCellMar>
          <w:top w:w="0" w:type="dxa"/>
          <w:left w:w="0" w:type="dxa"/>
          <w:bottom w:w="0" w:type="dxa"/>
          <w:right w:w="0" w:type="dxa"/>
        </w:tblCellMar>
        <w:tblLook w:val="01E0"/>
      </w:tblPr>
      <w:tblGrid>
        <w:gridCol w:w="2620"/>
        <w:gridCol w:w="3064"/>
        <w:gridCol w:w="2527"/>
      </w:tblGrid>
      <w:tr>
        <w:trPr>
          <w:trHeight w:val="326" w:hRule="exact"/>
        </w:trPr>
        <w:tc>
          <w:tcPr>
            <w:tcW w:w="2620" w:type="dxa"/>
            <w:tcBorders>
              <w:top w:val="single" w:sz="4" w:space="0" w:color="000000"/>
              <w:left w:val="nil" w:sz="6" w:space="0" w:color="auto"/>
              <w:bottom w:val="nil" w:sz="6" w:space="0" w:color="auto"/>
              <w:right w:val="nil" w:sz="6" w:space="0" w:color="auto"/>
            </w:tcBorders>
          </w:tcPr>
          <w:p>
            <w:pPr>
              <w:pStyle w:val="TableParagraph"/>
              <w:spacing w:line="260" w:lineRule="exact"/>
              <w:ind w:left="1375"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3064" w:type="dxa"/>
            <w:tcBorders>
              <w:top w:val="single" w:sz="4" w:space="0" w:color="000000"/>
              <w:left w:val="nil" w:sz="6" w:space="0" w:color="auto"/>
              <w:bottom w:val="nil" w:sz="6" w:space="0" w:color="auto"/>
              <w:right w:val="nil" w:sz="6" w:space="0" w:color="auto"/>
            </w:tcBorders>
          </w:tcPr>
          <w:p>
            <w:pPr>
              <w:pStyle w:val="TableParagraph"/>
              <w:spacing w:line="276" w:lineRule="exact"/>
              <w:ind w:left="558" w:right="0"/>
              <w:jc w:val="center"/>
              <w:rPr>
                <w:rFonts w:ascii="宋体" w:hAnsi="宋体" w:cs="宋体" w:eastAsia="宋体" w:hint="default"/>
                <w:sz w:val="21"/>
                <w:szCs w:val="21"/>
              </w:rPr>
            </w:pPr>
            <w:r>
              <w:rPr>
                <w:rFonts w:ascii="宋体" w:hAnsi="宋体" w:cs="宋体" w:eastAsia="宋体" w:hint="default"/>
                <w:sz w:val="21"/>
                <w:szCs w:val="21"/>
              </w:rPr>
              <w:t>应收账款计提比例（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2527" w:type="dxa"/>
            <w:tcBorders>
              <w:top w:val="single" w:sz="4" w:space="0" w:color="000000"/>
              <w:left w:val="nil" w:sz="6" w:space="0" w:color="auto"/>
              <w:bottom w:val="nil" w:sz="6" w:space="0" w:color="auto"/>
              <w:right w:val="nil" w:sz="6" w:space="0" w:color="auto"/>
            </w:tcBorders>
          </w:tcPr>
          <w:p>
            <w:pPr>
              <w:pStyle w:val="TableParagraph"/>
              <w:spacing w:line="276" w:lineRule="exact"/>
              <w:ind w:left="111" w:right="0"/>
              <w:jc w:val="center"/>
              <w:rPr>
                <w:rFonts w:ascii="宋体" w:hAnsi="宋体" w:cs="宋体" w:eastAsia="宋体" w:hint="default"/>
                <w:sz w:val="21"/>
                <w:szCs w:val="21"/>
              </w:rPr>
            </w:pPr>
            <w:r>
              <w:rPr>
                <w:rFonts w:ascii="宋体" w:hAnsi="宋体" w:cs="宋体" w:eastAsia="宋体" w:hint="default"/>
                <w:spacing w:val="-7"/>
                <w:sz w:val="21"/>
                <w:szCs w:val="21"/>
              </w:rPr>
              <w:t>其他应收款计提比例（</w:t>
            </w:r>
            <w:r>
              <w:rPr>
                <w:rFonts w:ascii="Times New Roman" w:hAnsi="Times New Roman" w:cs="Times New Roman" w:eastAsia="Times New Roman" w:hint="default"/>
                <w:spacing w:val="-7"/>
                <w:sz w:val="21"/>
                <w:szCs w:val="21"/>
              </w:rPr>
              <w:t>%</w:t>
            </w:r>
            <w:r>
              <w:rPr>
                <w:rFonts w:ascii="宋体" w:hAnsi="宋体" w:cs="宋体" w:eastAsia="宋体" w:hint="default"/>
                <w:spacing w:val="-7"/>
                <w:sz w:val="21"/>
                <w:szCs w:val="21"/>
              </w:rPr>
              <w:t>）</w:t>
            </w:r>
          </w:p>
        </w:tc>
      </w:tr>
      <w:tr>
        <w:trPr>
          <w:trHeight w:val="322"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76" w:lineRule="exact"/>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年以内（含</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3064" w:type="dxa"/>
            <w:tcBorders>
              <w:top w:val="nil" w:sz="6" w:space="0" w:color="auto"/>
              <w:left w:val="nil" w:sz="6" w:space="0" w:color="auto"/>
              <w:bottom w:val="nil" w:sz="6" w:space="0" w:color="auto"/>
              <w:right w:val="nil" w:sz="6" w:space="0" w:color="auto"/>
            </w:tcBorders>
          </w:tcPr>
          <w:p>
            <w:pPr>
              <w:pStyle w:val="TableParagraph"/>
              <w:spacing w:line="240" w:lineRule="auto" w:before="33"/>
              <w:ind w:left="557" w:right="0"/>
              <w:jc w:val="center"/>
              <w:rPr>
                <w:rFonts w:ascii="Times New Roman" w:hAnsi="Times New Roman" w:cs="Times New Roman" w:eastAsia="Times New Roman" w:hint="default"/>
                <w:sz w:val="21"/>
                <w:szCs w:val="21"/>
              </w:rPr>
            </w:pPr>
            <w:r>
              <w:rPr>
                <w:rFonts w:ascii="Times New Roman"/>
                <w:sz w:val="21"/>
              </w:rPr>
              <w:t>1</w:t>
            </w:r>
          </w:p>
        </w:tc>
        <w:tc>
          <w:tcPr>
            <w:tcW w:w="252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6" w:right="0"/>
              <w:jc w:val="center"/>
              <w:rPr>
                <w:rFonts w:ascii="Times New Roman" w:hAnsi="Times New Roman" w:cs="Times New Roman" w:eastAsia="Times New Roman" w:hint="default"/>
                <w:sz w:val="21"/>
                <w:szCs w:val="21"/>
              </w:rPr>
            </w:pPr>
            <w:r>
              <w:rPr>
                <w:rFonts w:ascii="Times New Roman"/>
                <w:sz w:val="21"/>
              </w:rPr>
              <w:t>1</w:t>
            </w:r>
          </w:p>
        </w:tc>
      </w:tr>
      <w:tr>
        <w:trPr>
          <w:trHeight w:val="322"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77" w:lineRule="exact"/>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3064" w:type="dxa"/>
            <w:tcBorders>
              <w:top w:val="nil" w:sz="6" w:space="0" w:color="auto"/>
              <w:left w:val="nil" w:sz="6" w:space="0" w:color="auto"/>
              <w:bottom w:val="nil" w:sz="6" w:space="0" w:color="auto"/>
              <w:right w:val="nil" w:sz="6" w:space="0" w:color="auto"/>
            </w:tcBorders>
          </w:tcPr>
          <w:p>
            <w:pPr>
              <w:pStyle w:val="TableParagraph"/>
              <w:spacing w:line="240" w:lineRule="auto" w:before="34"/>
              <w:ind w:left="557" w:right="0"/>
              <w:jc w:val="center"/>
              <w:rPr>
                <w:rFonts w:ascii="Times New Roman" w:hAnsi="Times New Roman" w:cs="Times New Roman" w:eastAsia="Times New Roman" w:hint="default"/>
                <w:sz w:val="21"/>
                <w:szCs w:val="21"/>
              </w:rPr>
            </w:pPr>
            <w:r>
              <w:rPr>
                <w:rFonts w:ascii="Times New Roman"/>
                <w:sz w:val="21"/>
              </w:rPr>
              <w:t>2</w:t>
            </w:r>
          </w:p>
        </w:tc>
        <w:tc>
          <w:tcPr>
            <w:tcW w:w="252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6" w:right="0"/>
              <w:jc w:val="center"/>
              <w:rPr>
                <w:rFonts w:ascii="Times New Roman" w:hAnsi="Times New Roman" w:cs="Times New Roman" w:eastAsia="Times New Roman" w:hint="default"/>
                <w:sz w:val="21"/>
                <w:szCs w:val="21"/>
              </w:rPr>
            </w:pPr>
            <w:r>
              <w:rPr>
                <w:rFonts w:ascii="Times New Roman"/>
                <w:sz w:val="21"/>
              </w:rPr>
              <w:t>2</w:t>
            </w:r>
          </w:p>
        </w:tc>
      </w:tr>
      <w:tr>
        <w:trPr>
          <w:trHeight w:val="322"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76" w:lineRule="exact"/>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3064" w:type="dxa"/>
            <w:tcBorders>
              <w:top w:val="nil" w:sz="6" w:space="0" w:color="auto"/>
              <w:left w:val="nil" w:sz="6" w:space="0" w:color="auto"/>
              <w:bottom w:val="nil" w:sz="6" w:space="0" w:color="auto"/>
              <w:right w:val="nil" w:sz="6" w:space="0" w:color="auto"/>
            </w:tcBorders>
          </w:tcPr>
          <w:p>
            <w:pPr>
              <w:pStyle w:val="TableParagraph"/>
              <w:spacing w:line="240" w:lineRule="auto" w:before="33"/>
              <w:ind w:left="557" w:right="0"/>
              <w:jc w:val="center"/>
              <w:rPr>
                <w:rFonts w:ascii="Times New Roman" w:hAnsi="Times New Roman" w:cs="Times New Roman" w:eastAsia="Times New Roman" w:hint="default"/>
                <w:sz w:val="21"/>
                <w:szCs w:val="21"/>
              </w:rPr>
            </w:pPr>
            <w:r>
              <w:rPr>
                <w:rFonts w:ascii="Times New Roman"/>
                <w:sz w:val="21"/>
              </w:rPr>
              <w:t>5</w:t>
            </w:r>
          </w:p>
        </w:tc>
        <w:tc>
          <w:tcPr>
            <w:tcW w:w="252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6" w:right="0"/>
              <w:jc w:val="center"/>
              <w:rPr>
                <w:rFonts w:ascii="Times New Roman" w:hAnsi="Times New Roman" w:cs="Times New Roman" w:eastAsia="Times New Roman" w:hint="default"/>
                <w:sz w:val="21"/>
                <w:szCs w:val="21"/>
              </w:rPr>
            </w:pPr>
            <w:r>
              <w:rPr>
                <w:rFonts w:ascii="Times New Roman"/>
                <w:sz w:val="21"/>
              </w:rPr>
              <w:t>5</w:t>
            </w:r>
          </w:p>
        </w:tc>
      </w:tr>
      <w:tr>
        <w:trPr>
          <w:trHeight w:val="322"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76" w:lineRule="exact"/>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3—5 </w:t>
            </w:r>
            <w:r>
              <w:rPr>
                <w:rFonts w:ascii="宋体" w:hAnsi="宋体" w:cs="宋体" w:eastAsia="宋体" w:hint="default"/>
                <w:sz w:val="21"/>
                <w:szCs w:val="21"/>
              </w:rPr>
              <w:t>年</w:t>
            </w:r>
          </w:p>
        </w:tc>
        <w:tc>
          <w:tcPr>
            <w:tcW w:w="3064" w:type="dxa"/>
            <w:tcBorders>
              <w:top w:val="nil" w:sz="6" w:space="0" w:color="auto"/>
              <w:left w:val="nil" w:sz="6" w:space="0" w:color="auto"/>
              <w:bottom w:val="nil" w:sz="6" w:space="0" w:color="auto"/>
              <w:right w:val="nil" w:sz="6" w:space="0" w:color="auto"/>
            </w:tcBorders>
          </w:tcPr>
          <w:p>
            <w:pPr>
              <w:pStyle w:val="TableParagraph"/>
              <w:spacing w:line="240" w:lineRule="auto" w:before="33"/>
              <w:ind w:left="558" w:right="0"/>
              <w:jc w:val="center"/>
              <w:rPr>
                <w:rFonts w:ascii="Times New Roman" w:hAnsi="Times New Roman" w:cs="Times New Roman" w:eastAsia="Times New Roman" w:hint="default"/>
                <w:sz w:val="21"/>
                <w:szCs w:val="21"/>
              </w:rPr>
            </w:pPr>
            <w:r>
              <w:rPr>
                <w:rFonts w:ascii="Times New Roman"/>
                <w:sz w:val="21"/>
              </w:rPr>
              <w:t>10</w:t>
            </w:r>
          </w:p>
        </w:tc>
        <w:tc>
          <w:tcPr>
            <w:tcW w:w="2527" w:type="dxa"/>
            <w:tcBorders>
              <w:top w:val="nil" w:sz="6" w:space="0" w:color="auto"/>
              <w:left w:val="nil" w:sz="6" w:space="0" w:color="auto"/>
              <w:bottom w:val="nil" w:sz="6" w:space="0" w:color="auto"/>
              <w:right w:val="nil" w:sz="6" w:space="0" w:color="auto"/>
            </w:tcBorders>
          </w:tcPr>
          <w:p>
            <w:pPr>
              <w:pStyle w:val="TableParagraph"/>
              <w:spacing w:line="240" w:lineRule="auto" w:before="33"/>
              <w:ind w:left="7" w:right="0"/>
              <w:jc w:val="center"/>
              <w:rPr>
                <w:rFonts w:ascii="Times New Roman" w:hAnsi="Times New Roman" w:cs="Times New Roman" w:eastAsia="Times New Roman" w:hint="default"/>
                <w:sz w:val="21"/>
                <w:szCs w:val="21"/>
              </w:rPr>
            </w:pPr>
            <w:r>
              <w:rPr>
                <w:rFonts w:ascii="Times New Roman"/>
                <w:sz w:val="21"/>
              </w:rPr>
              <w:t>10</w:t>
            </w:r>
          </w:p>
        </w:tc>
      </w:tr>
      <w:tr>
        <w:trPr>
          <w:trHeight w:val="318" w:hRule="exact"/>
        </w:trPr>
        <w:tc>
          <w:tcPr>
            <w:tcW w:w="2620" w:type="dxa"/>
            <w:tcBorders>
              <w:top w:val="nil" w:sz="6" w:space="0" w:color="auto"/>
              <w:left w:val="nil" w:sz="6" w:space="0" w:color="auto"/>
              <w:bottom w:val="single" w:sz="4" w:space="0" w:color="000000"/>
              <w:right w:val="nil" w:sz="6" w:space="0" w:color="auto"/>
            </w:tcBorders>
          </w:tcPr>
          <w:p>
            <w:pPr>
              <w:pStyle w:val="TableParagraph"/>
              <w:spacing w:line="277" w:lineRule="exact"/>
              <w:ind w:left="1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年以上</w:t>
            </w:r>
          </w:p>
        </w:tc>
        <w:tc>
          <w:tcPr>
            <w:tcW w:w="3064" w:type="dxa"/>
            <w:tcBorders>
              <w:top w:val="nil" w:sz="6" w:space="0" w:color="auto"/>
              <w:left w:val="nil" w:sz="6" w:space="0" w:color="auto"/>
              <w:bottom w:val="single" w:sz="4" w:space="0" w:color="000000"/>
              <w:right w:val="nil" w:sz="6" w:space="0" w:color="auto"/>
            </w:tcBorders>
          </w:tcPr>
          <w:p>
            <w:pPr>
              <w:pStyle w:val="TableParagraph"/>
              <w:spacing w:line="240" w:lineRule="auto" w:before="34"/>
              <w:ind w:left="558" w:right="0"/>
              <w:jc w:val="center"/>
              <w:rPr>
                <w:rFonts w:ascii="Times New Roman" w:hAnsi="Times New Roman" w:cs="Times New Roman" w:eastAsia="Times New Roman" w:hint="default"/>
                <w:sz w:val="21"/>
                <w:szCs w:val="21"/>
              </w:rPr>
            </w:pPr>
            <w:r>
              <w:rPr>
                <w:rFonts w:ascii="Times New Roman"/>
                <w:sz w:val="21"/>
              </w:rPr>
              <w:t>100</w:t>
            </w:r>
          </w:p>
        </w:tc>
        <w:tc>
          <w:tcPr>
            <w:tcW w:w="2527" w:type="dxa"/>
            <w:tcBorders>
              <w:top w:val="nil" w:sz="6" w:space="0" w:color="auto"/>
              <w:left w:val="nil" w:sz="6" w:space="0" w:color="auto"/>
              <w:bottom w:val="single" w:sz="4" w:space="0" w:color="000000"/>
              <w:right w:val="nil" w:sz="6" w:space="0" w:color="auto"/>
            </w:tcBorders>
          </w:tcPr>
          <w:p>
            <w:pPr>
              <w:pStyle w:val="TableParagraph"/>
              <w:spacing w:line="240" w:lineRule="auto" w:before="34"/>
              <w:ind w:left="5" w:right="0"/>
              <w:jc w:val="center"/>
              <w:rPr>
                <w:rFonts w:ascii="Times New Roman" w:hAnsi="Times New Roman" w:cs="Times New Roman" w:eastAsia="Times New Roman" w:hint="default"/>
                <w:sz w:val="21"/>
                <w:szCs w:val="21"/>
              </w:rPr>
            </w:pPr>
            <w:r>
              <w:rPr>
                <w:rFonts w:ascii="Times New Roman"/>
                <w:sz w:val="21"/>
              </w:rPr>
              <w:t>100</w:t>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spacing w:before="0"/>
        <w:ind w:left="125"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10"/>
          <w:sz w:val="21"/>
          <w:szCs w:val="21"/>
        </w:rPr>
        <w:t> </w:t>
      </w:r>
      <w:r>
        <w:rPr>
          <w:rFonts w:ascii="宋体" w:hAnsi="宋体" w:cs="宋体" w:eastAsia="宋体" w:hint="default"/>
          <w:sz w:val="21"/>
          <w:szCs w:val="21"/>
        </w:rPr>
        <w:t>存货</w:t>
      </w:r>
    </w:p>
    <w:p>
      <w:pPr>
        <w:spacing w:line="240" w:lineRule="auto" w:before="4"/>
        <w:rPr>
          <w:rFonts w:ascii="宋体" w:hAnsi="宋体" w:cs="宋体" w:eastAsia="宋体" w:hint="default"/>
          <w:sz w:val="20"/>
          <w:szCs w:val="20"/>
        </w:rPr>
      </w:pPr>
    </w:p>
    <w:p>
      <w:pPr>
        <w:spacing w:before="0"/>
        <w:ind w:left="857"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 </w:t>
      </w:r>
      <w:r>
        <w:rPr>
          <w:rFonts w:ascii="宋体" w:hAnsi="宋体" w:cs="宋体" w:eastAsia="宋体" w:hint="default"/>
          <w:spacing w:val="15"/>
          <w:sz w:val="21"/>
          <w:szCs w:val="21"/>
        </w:rPr>
        <w:t> </w:t>
      </w:r>
      <w:r>
        <w:rPr>
          <w:rFonts w:ascii="宋体" w:hAnsi="宋体" w:cs="宋体" w:eastAsia="宋体" w:hint="default"/>
          <w:sz w:val="21"/>
          <w:szCs w:val="21"/>
        </w:rPr>
        <w:t>存货的分类</w:t>
      </w:r>
    </w:p>
    <w:p>
      <w:pPr>
        <w:spacing w:before="136"/>
        <w:ind w:left="1399" w:right="0" w:firstLine="0"/>
        <w:jc w:val="both"/>
        <w:rPr>
          <w:rFonts w:ascii="宋体" w:hAnsi="宋体" w:cs="宋体" w:eastAsia="宋体" w:hint="default"/>
          <w:sz w:val="21"/>
          <w:szCs w:val="21"/>
        </w:rPr>
      </w:pPr>
      <w:r>
        <w:rPr>
          <w:rFonts w:ascii="宋体" w:hAnsi="宋体" w:cs="宋体" w:eastAsia="宋体" w:hint="default"/>
          <w:sz w:val="21"/>
          <w:szCs w:val="21"/>
        </w:rPr>
        <w:t>存货分类为：原材料、在产品以及产成品。</w:t>
      </w:r>
    </w:p>
    <w:p>
      <w:pPr>
        <w:spacing w:line="240" w:lineRule="auto" w:before="7"/>
        <w:rPr>
          <w:rFonts w:ascii="宋体" w:hAnsi="宋体" w:cs="宋体" w:eastAsia="宋体" w:hint="default"/>
          <w:sz w:val="21"/>
          <w:szCs w:val="21"/>
        </w:rPr>
      </w:pPr>
    </w:p>
    <w:p>
      <w:pPr>
        <w:spacing w:before="0"/>
        <w:ind w:left="857"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 </w:t>
      </w:r>
      <w:r>
        <w:rPr>
          <w:rFonts w:ascii="宋体" w:hAnsi="宋体" w:cs="宋体" w:eastAsia="宋体" w:hint="default"/>
          <w:spacing w:val="19"/>
          <w:sz w:val="21"/>
          <w:szCs w:val="21"/>
        </w:rPr>
        <w:t> </w:t>
      </w:r>
      <w:r>
        <w:rPr>
          <w:rFonts w:ascii="宋体" w:hAnsi="宋体" w:cs="宋体" w:eastAsia="宋体" w:hint="default"/>
          <w:sz w:val="21"/>
          <w:szCs w:val="21"/>
        </w:rPr>
        <w:t>发出存货的计价方法</w:t>
      </w:r>
    </w:p>
    <w:p>
      <w:pPr>
        <w:spacing w:line="272" w:lineRule="exact" w:before="165"/>
        <w:ind w:left="1399" w:right="147" w:firstLine="0"/>
        <w:jc w:val="both"/>
        <w:rPr>
          <w:rFonts w:ascii="宋体" w:hAnsi="宋体" w:cs="宋体" w:eastAsia="宋体" w:hint="default"/>
          <w:sz w:val="21"/>
          <w:szCs w:val="21"/>
        </w:rPr>
      </w:pPr>
      <w:r>
        <w:rPr>
          <w:rFonts w:ascii="宋体" w:hAnsi="宋体" w:cs="宋体" w:eastAsia="宋体" w:hint="default"/>
          <w:sz w:val="21"/>
          <w:szCs w:val="21"/>
        </w:rPr>
        <w:t>原材料的发出成本按移动加权平均法结转成本；在产品及产成品的成本包括直接材</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料、直接人工及按正常生产能力下适当百分比应分配的制造费用。</w:t>
      </w:r>
    </w:p>
    <w:p>
      <w:pPr>
        <w:spacing w:before="128"/>
        <w:ind w:left="1399" w:right="0" w:firstLine="0"/>
        <w:jc w:val="both"/>
        <w:rPr>
          <w:rFonts w:ascii="宋体" w:hAnsi="宋体" w:cs="宋体" w:eastAsia="宋体" w:hint="default"/>
          <w:sz w:val="21"/>
          <w:szCs w:val="21"/>
        </w:rPr>
      </w:pPr>
      <w:r>
        <w:rPr>
          <w:rFonts w:ascii="宋体" w:hAnsi="宋体" w:cs="宋体" w:eastAsia="宋体" w:hint="default"/>
          <w:sz w:val="21"/>
          <w:szCs w:val="21"/>
        </w:rPr>
        <w:t>在产品包括在建合同成本，其成本核算为：</w:t>
      </w:r>
    </w:p>
    <w:p>
      <w:pPr>
        <w:spacing w:line="240" w:lineRule="auto" w:before="11"/>
        <w:rPr>
          <w:rFonts w:ascii="宋体" w:hAnsi="宋体" w:cs="宋体" w:eastAsia="宋体" w:hint="default"/>
          <w:sz w:val="13"/>
          <w:szCs w:val="13"/>
        </w:rPr>
      </w:pPr>
    </w:p>
    <w:p>
      <w:pPr>
        <w:spacing w:line="272" w:lineRule="exact" w:before="0"/>
        <w:ind w:left="1399" w:right="147" w:firstLine="0"/>
        <w:jc w:val="both"/>
        <w:rPr>
          <w:rFonts w:ascii="宋体" w:hAnsi="宋体" w:cs="宋体" w:eastAsia="宋体" w:hint="default"/>
          <w:sz w:val="21"/>
          <w:szCs w:val="21"/>
        </w:rPr>
      </w:pPr>
      <w:r>
        <w:rPr>
          <w:rFonts w:ascii="宋体" w:hAnsi="宋体" w:cs="宋体" w:eastAsia="宋体" w:hint="default"/>
          <w:sz w:val="21"/>
          <w:szCs w:val="21"/>
        </w:rPr>
        <w:t>对于依照客户特定要求而订制的系统集成，由于其开工与完工日期通常分属于不同</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的会计年度，因此本集团按照建造合同准则进行核算。</w:t>
      </w:r>
    </w:p>
    <w:p>
      <w:pPr>
        <w:spacing w:line="237" w:lineRule="auto" w:before="131"/>
        <w:ind w:left="1399" w:right="147" w:firstLine="0"/>
        <w:jc w:val="both"/>
        <w:rPr>
          <w:rFonts w:ascii="宋体" w:hAnsi="宋体" w:cs="宋体" w:eastAsia="宋体" w:hint="default"/>
          <w:sz w:val="21"/>
          <w:szCs w:val="21"/>
        </w:rPr>
      </w:pPr>
      <w:r>
        <w:rPr>
          <w:rFonts w:ascii="宋体" w:hAnsi="宋体" w:cs="宋体" w:eastAsia="宋体" w:hint="default"/>
          <w:sz w:val="21"/>
          <w:szCs w:val="21"/>
        </w:rPr>
        <w:t>在建合同成本主要指在建合同项目所发生的成本，包括已经运送至客户指定的特定</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场所的系统硬件成本、尚在进行中的安装成本或系统整合成本、已发生的合同直接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人工及间接费用以及正在履行的其他合约义务所发生的成本。</w:t>
      </w:r>
    </w:p>
    <w:p>
      <w:pPr>
        <w:spacing w:line="240" w:lineRule="auto" w:before="11"/>
        <w:rPr>
          <w:rFonts w:ascii="宋体" w:hAnsi="宋体" w:cs="宋体" w:eastAsia="宋体" w:hint="default"/>
          <w:sz w:val="13"/>
          <w:szCs w:val="13"/>
        </w:rPr>
      </w:pPr>
    </w:p>
    <w:p>
      <w:pPr>
        <w:spacing w:line="272" w:lineRule="exact" w:before="0"/>
        <w:ind w:left="1399" w:right="142" w:firstLine="0"/>
        <w:jc w:val="both"/>
        <w:rPr>
          <w:rFonts w:ascii="宋体" w:hAnsi="宋体" w:cs="宋体" w:eastAsia="宋体" w:hint="default"/>
          <w:sz w:val="21"/>
          <w:szCs w:val="21"/>
        </w:rPr>
      </w:pPr>
      <w:r>
        <w:rPr>
          <w:rFonts w:ascii="宋体" w:hAnsi="宋体" w:cs="宋体" w:eastAsia="宋体" w:hint="default"/>
          <w:sz w:val="21"/>
          <w:szCs w:val="21"/>
        </w:rPr>
        <w:t>于资产负债表日，在建合同累计已发生的合同成本和依完工比例确认的累计合同毛</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6"/>
          <w:sz w:val="21"/>
          <w:szCs w:val="21"/>
        </w:rPr>
        <w:t>利之和大于已结算价款与累计已确认的预计亏损之和的差额列为流动资产中的存</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货；反之，则列为流动负债中的已结算尚未完工款。</w:t>
      </w:r>
    </w:p>
    <w:p>
      <w:pPr>
        <w:spacing w:line="240" w:lineRule="auto" w:before="8"/>
        <w:rPr>
          <w:rFonts w:ascii="宋体" w:hAnsi="宋体" w:cs="宋体" w:eastAsia="宋体" w:hint="default"/>
          <w:sz w:val="19"/>
          <w:szCs w:val="19"/>
        </w:rPr>
      </w:pPr>
    </w:p>
    <w:p>
      <w:pPr>
        <w:spacing w:before="0"/>
        <w:ind w:left="857"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 </w:t>
      </w:r>
      <w:r>
        <w:rPr>
          <w:rFonts w:ascii="宋体" w:hAnsi="宋体" w:cs="宋体" w:eastAsia="宋体" w:hint="default"/>
          <w:spacing w:val="28"/>
          <w:sz w:val="21"/>
          <w:szCs w:val="21"/>
        </w:rPr>
        <w:t> </w:t>
      </w:r>
      <w:r>
        <w:rPr>
          <w:rFonts w:ascii="宋体" w:hAnsi="宋体" w:cs="宋体" w:eastAsia="宋体" w:hint="default"/>
          <w:sz w:val="21"/>
          <w:szCs w:val="21"/>
        </w:rPr>
        <w:t>存货可变现净值的确定依据及存货跌价准备的计提方法</w:t>
      </w:r>
    </w:p>
    <w:p>
      <w:pPr>
        <w:spacing w:line="272" w:lineRule="exact" w:before="165"/>
        <w:ind w:left="1399" w:right="147" w:firstLine="0"/>
        <w:jc w:val="both"/>
        <w:rPr>
          <w:rFonts w:ascii="宋体" w:hAnsi="宋体" w:cs="宋体" w:eastAsia="宋体" w:hint="default"/>
          <w:sz w:val="21"/>
          <w:szCs w:val="21"/>
        </w:rPr>
      </w:pPr>
      <w:r>
        <w:rPr>
          <w:rFonts w:ascii="宋体" w:hAnsi="宋体" w:cs="宋体" w:eastAsia="宋体" w:hint="default"/>
          <w:sz w:val="21"/>
          <w:szCs w:val="21"/>
        </w:rPr>
        <w:t>期末对存货进行全面清查后，按存货的成本与可变现净值孰低提取或调整存货跌价</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准备。</w:t>
      </w:r>
    </w:p>
    <w:p>
      <w:pPr>
        <w:spacing w:line="237" w:lineRule="auto" w:before="131"/>
        <w:ind w:left="1399" w:right="147" w:firstLine="0"/>
        <w:jc w:val="both"/>
        <w:rPr>
          <w:rFonts w:ascii="宋体" w:hAnsi="宋体" w:cs="宋体" w:eastAsia="宋体" w:hint="default"/>
          <w:sz w:val="21"/>
          <w:szCs w:val="21"/>
        </w:rPr>
      </w:pPr>
      <w:r>
        <w:rPr>
          <w:rFonts w:ascii="宋体" w:hAnsi="宋体" w:cs="宋体" w:eastAsia="宋体" w:hint="default"/>
          <w:sz w:val="21"/>
          <w:szCs w:val="21"/>
        </w:rPr>
        <w:t>产成品、库存商品和用于出售的材料等直接用于出售的商品存货，在正常生产经营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过程中，以该存货的估计售价减去估计的销售费用和相关税费后的金额，确定其可</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变现净值；需要经过加工的材料存货，在正常生产经营过程中，以所生产的产成品</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的估计售价减去至完工时估计将要发生的成本、估计的销售费用和相关税费后的金</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额，确定其可变现净值；为执行销售合同或者劳务合同而持有的存货，其可变现净</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值以合同价格为基础计算，若持有存货的数量多于销售合同订购数量的，超出部分</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的存货的可变现净值以一般销售价格为基础计算。</w:t>
      </w:r>
    </w:p>
    <w:p>
      <w:pPr>
        <w:spacing w:after="0" w:line="237" w:lineRule="auto"/>
        <w:jc w:val="both"/>
        <w:rPr>
          <w:rFonts w:ascii="宋体" w:hAnsi="宋体" w:cs="宋体" w:eastAsia="宋体" w:hint="default"/>
          <w:sz w:val="21"/>
          <w:szCs w:val="21"/>
        </w:rPr>
        <w:sectPr>
          <w:pgSz w:w="11900" w:h="16840"/>
          <w:pgMar w:header="883" w:footer="1003" w:top="1540" w:bottom="1200" w:left="1660" w:right="112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45.1pt;height:.5pt;mso-position-horizontal-relative:char;mso-position-vertical-relative:line" coordorigin="0,0" coordsize="8902,10">
            <v:group style="position:absolute;left:5;top:5;width:8892;height:2" coordorigin="5,5" coordsize="8892,2">
              <v:shape style="position:absolute;left:5;top:5;width:8892;height:2" coordorigin="5,5" coordsize="8892,0" path="m5,5l8897,5e" filled="false" stroked="true" strokeweight=".47998pt" strokecolor="#000000">
                <v:path arrowok="t"/>
              </v:shape>
            </v:group>
          </v:group>
        </w:pict>
      </w:r>
      <w:r>
        <w:rPr>
          <w:rFonts w:ascii="宋体" w:hAnsi="宋体" w:cs="宋体" w:eastAsia="宋体" w:hint="default"/>
          <w:sz w:val="2"/>
          <w:szCs w:val="2"/>
        </w:rPr>
      </w:r>
    </w:p>
    <w:p>
      <w:pPr>
        <w:spacing w:line="272" w:lineRule="exact" w:before="0"/>
        <w:ind w:left="1400" w:right="207" w:firstLine="0"/>
        <w:jc w:val="both"/>
        <w:rPr>
          <w:rFonts w:ascii="宋体" w:hAnsi="宋体" w:cs="宋体" w:eastAsia="宋体" w:hint="default"/>
          <w:sz w:val="21"/>
          <w:szCs w:val="21"/>
        </w:rPr>
      </w:pPr>
      <w:r>
        <w:rPr>
          <w:rFonts w:ascii="宋体" w:hAnsi="宋体" w:cs="宋体" w:eastAsia="宋体" w:hint="default"/>
          <w:sz w:val="21"/>
          <w:szCs w:val="21"/>
        </w:rPr>
        <w:t>以前减记存货价值的影响因素已经消失的，减记的金额予以恢复，并在原已计提的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存货跌价准备金额内转回，转回的金额计入当期损益。</w:t>
      </w:r>
    </w:p>
    <w:p>
      <w:pPr>
        <w:spacing w:line="240" w:lineRule="auto" w:before="8"/>
        <w:rPr>
          <w:rFonts w:ascii="宋体" w:hAnsi="宋体" w:cs="宋体" w:eastAsia="宋体" w:hint="default"/>
          <w:sz w:val="19"/>
          <w:szCs w:val="19"/>
        </w:rPr>
      </w:pPr>
    </w:p>
    <w:p>
      <w:pPr>
        <w:tabs>
          <w:tab w:pos="1396" w:val="left" w:leader="none"/>
        </w:tabs>
        <w:spacing w:line="352" w:lineRule="auto" w:before="0"/>
        <w:ind w:left="1400" w:right="6306"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tab/>
        <w:t>存货的盘存制度</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采用永续盘存制</w:t>
      </w:r>
    </w:p>
    <w:p>
      <w:pPr>
        <w:spacing w:before="55"/>
        <w:ind w:left="125"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十二</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12"/>
          <w:sz w:val="21"/>
          <w:szCs w:val="21"/>
        </w:rPr>
        <w:t> </w:t>
      </w:r>
      <w:r>
        <w:rPr>
          <w:rFonts w:ascii="宋体" w:hAnsi="宋体" w:cs="宋体" w:eastAsia="宋体" w:hint="default"/>
          <w:sz w:val="21"/>
          <w:szCs w:val="21"/>
        </w:rPr>
        <w:t>长期股权投资 </w:t>
      </w:r>
      <w:r>
        <w:rPr>
          <w:rFonts w:ascii="宋体" w:hAnsi="宋体" w:cs="宋体" w:eastAsia="宋体" w:hint="default"/>
          <w:spacing w:val="1"/>
          <w:sz w:val="21"/>
          <w:szCs w:val="21"/>
        </w:rPr>
        <w:t> </w:t>
      </w:r>
      <w:r>
        <w:rPr>
          <w:rFonts w:ascii="宋体" w:hAnsi="宋体" w:cs="宋体" w:eastAsia="宋体" w:hint="default"/>
          <w:sz w:val="21"/>
          <w:szCs w:val="21"/>
        </w:rPr>
        <w:t> </w:t>
      </w:r>
      <w:r>
        <w:rPr>
          <w:rFonts w:ascii="宋体" w:hAnsi="宋体" w:cs="宋体" w:eastAsia="宋体" w:hint="default"/>
          <w:spacing w:val="1"/>
          <w:sz w:val="21"/>
          <w:szCs w:val="21"/>
        </w:rPr>
        <w:t> </w:t>
      </w:r>
      <w:r>
        <w:rPr>
          <w:rFonts w:ascii="宋体" w:hAnsi="宋体" w:cs="宋体" w:eastAsia="宋体" w:hint="default"/>
          <w:sz w:val="21"/>
          <w:szCs w:val="21"/>
        </w:rPr>
        <w:t>   </w:t>
      </w:r>
    </w:p>
    <w:p>
      <w:pPr>
        <w:spacing w:line="240" w:lineRule="auto" w:before="4"/>
        <w:rPr>
          <w:rFonts w:ascii="宋体" w:hAnsi="宋体" w:cs="宋体" w:eastAsia="宋体" w:hint="default"/>
          <w:sz w:val="20"/>
          <w:szCs w:val="20"/>
        </w:rPr>
      </w:pPr>
    </w:p>
    <w:p>
      <w:pPr>
        <w:tabs>
          <w:tab w:pos="1396" w:val="left" w:leader="none"/>
        </w:tabs>
        <w:spacing w:before="0"/>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初始投资成本确定</w:t>
      </w:r>
    </w:p>
    <w:p>
      <w:pPr>
        <w:spacing w:before="137"/>
        <w:ind w:left="1400"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）企业合并形成的长期股权投资</w:t>
      </w:r>
    </w:p>
    <w:p>
      <w:pPr>
        <w:spacing w:line="237" w:lineRule="auto" w:before="140"/>
        <w:ind w:left="1400" w:right="207" w:firstLine="0"/>
        <w:jc w:val="both"/>
        <w:rPr>
          <w:rFonts w:ascii="宋体" w:hAnsi="宋体" w:cs="宋体" w:eastAsia="宋体" w:hint="default"/>
          <w:sz w:val="21"/>
          <w:szCs w:val="21"/>
        </w:rPr>
      </w:pPr>
      <w:r>
        <w:rPr>
          <w:rFonts w:ascii="宋体" w:hAnsi="宋体" w:cs="宋体" w:eastAsia="宋体" w:hint="default"/>
          <w:sz w:val="21"/>
          <w:szCs w:val="21"/>
        </w:rPr>
        <w:t>同一控制下的企业合并：公司以支付现金、转让非现金资产或承担债务方式以及以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发行权益性证券作为合并对价的，在合并日按照取得被合并方所有者权益账面价值</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的份额作为长期股权投资的初始投资成本。长期股权投资初始投资成本与支付合并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对价之间的差额，调整资本公积；资本公积不足冲减的，调整留存收益。合并发生</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的各项直接相关费用，包括为进行合并而支付的审计费用、评估费用、法律服务费</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用等，于发生时计入当期损益。</w:t>
      </w:r>
    </w:p>
    <w:p>
      <w:pPr>
        <w:spacing w:line="240" w:lineRule="auto" w:before="11"/>
        <w:rPr>
          <w:rFonts w:ascii="宋体" w:hAnsi="宋体" w:cs="宋体" w:eastAsia="宋体" w:hint="default"/>
          <w:sz w:val="13"/>
          <w:szCs w:val="13"/>
        </w:rPr>
      </w:pPr>
    </w:p>
    <w:p>
      <w:pPr>
        <w:spacing w:line="272" w:lineRule="exact" w:before="0"/>
        <w:ind w:left="1400" w:right="207" w:firstLine="0"/>
        <w:jc w:val="both"/>
        <w:rPr>
          <w:rFonts w:ascii="宋体" w:hAnsi="宋体" w:cs="宋体" w:eastAsia="宋体" w:hint="default"/>
          <w:sz w:val="21"/>
          <w:szCs w:val="21"/>
        </w:rPr>
      </w:pPr>
      <w:r>
        <w:rPr>
          <w:rFonts w:ascii="宋体" w:hAnsi="宋体" w:cs="宋体" w:eastAsia="宋体" w:hint="default"/>
          <w:sz w:val="21"/>
          <w:szCs w:val="21"/>
        </w:rPr>
        <w:t>非同一控制下的企业合并：合并成本为购买日购买方为取得对被购买方的控制权而</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付出的资产、发生或承担的负债以及发行的权益性证券的公允价值，以及为企业合</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并而发生的各项直接相关费用。通过多次交换交易分步实现的企业合并，合并成本</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为每一单项交易成本之和。在合并合同中对可能影响合并成本的未来事项作出约定</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的，购买日如果估计未来事项很可能发生并且对合并成本的影响金额能够可靠计量</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的，也计入合并成本。</w:t>
      </w:r>
    </w:p>
    <w:p>
      <w:pPr>
        <w:spacing w:line="331" w:lineRule="auto" w:before="128"/>
        <w:ind w:left="1400" w:right="101"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）其他方式取得的长期股权投资 </w:t>
      </w:r>
      <w:r>
        <w:rPr>
          <w:rFonts w:ascii="宋体" w:hAnsi="宋体" w:cs="宋体" w:eastAsia="宋体" w:hint="default"/>
          <w:spacing w:val="-3"/>
          <w:sz w:val="21"/>
          <w:szCs w:val="21"/>
        </w:rPr>
        <w:t>以支付现金方式取得的长期股权投资，按照实际支付的购买价款作为初始投资成本。</w:t>
      </w:r>
    </w:p>
    <w:p>
      <w:pPr>
        <w:spacing w:line="272" w:lineRule="exact" w:before="100"/>
        <w:ind w:left="1400" w:right="207" w:firstLine="0"/>
        <w:jc w:val="both"/>
        <w:rPr>
          <w:rFonts w:ascii="宋体" w:hAnsi="宋体" w:cs="宋体" w:eastAsia="宋体" w:hint="default"/>
          <w:sz w:val="21"/>
          <w:szCs w:val="21"/>
        </w:rPr>
      </w:pPr>
      <w:r>
        <w:rPr>
          <w:rFonts w:ascii="宋体" w:hAnsi="宋体" w:cs="宋体" w:eastAsia="宋体" w:hint="default"/>
          <w:sz w:val="21"/>
          <w:szCs w:val="21"/>
        </w:rPr>
        <w:t>以发行权益性证券取得的长期股权投资，按照发行权益性证券的公允价值作为初始</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投资成本。</w:t>
      </w:r>
    </w:p>
    <w:p>
      <w:pPr>
        <w:spacing w:line="272" w:lineRule="exact" w:before="156"/>
        <w:ind w:left="1400" w:right="101" w:firstLine="0"/>
        <w:jc w:val="left"/>
        <w:rPr>
          <w:rFonts w:ascii="宋体" w:hAnsi="宋体" w:cs="宋体" w:eastAsia="宋体" w:hint="default"/>
          <w:sz w:val="21"/>
          <w:szCs w:val="21"/>
        </w:rPr>
      </w:pPr>
      <w:r>
        <w:rPr>
          <w:rFonts w:ascii="宋体" w:hAnsi="宋体" w:cs="宋体" w:eastAsia="宋体" w:hint="default"/>
          <w:sz w:val="21"/>
          <w:szCs w:val="21"/>
        </w:rPr>
        <w:t>投资者投入的长期股权投资，按照投资合同或协议约定的价值（扣除已宣告但尚未</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发放的现金股利或利润）作为初始投资成本，但合同或协议约定价值不公允的除外。</w:t>
      </w:r>
    </w:p>
    <w:p>
      <w:pPr>
        <w:spacing w:line="272" w:lineRule="exact" w:before="156"/>
        <w:ind w:left="1400" w:right="207" w:firstLine="0"/>
        <w:jc w:val="both"/>
        <w:rPr>
          <w:rFonts w:ascii="宋体" w:hAnsi="宋体" w:cs="宋体" w:eastAsia="宋体" w:hint="default"/>
          <w:sz w:val="21"/>
          <w:szCs w:val="21"/>
        </w:rPr>
      </w:pPr>
      <w:r>
        <w:rPr>
          <w:rFonts w:ascii="宋体" w:hAnsi="宋体" w:cs="宋体" w:eastAsia="宋体" w:hint="default"/>
          <w:sz w:val="21"/>
          <w:szCs w:val="21"/>
        </w:rPr>
        <w:t>在非货币性资产交换具备商业实质和换入资产或换出资产的公允价值能够可靠计量</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的前提下，非货币性资产交换换入的长期股权投资以换出资产的公允价值为基础确</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定其初始投资成本，除非有确凿证据表明换入资产的公允价值更加可靠；不满足上</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述前提的非货币性资产交换，以换出资产的账面价值和应支付的相关税费作为换入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长期股权投资的初始投资成本。</w:t>
      </w:r>
    </w:p>
    <w:p>
      <w:pPr>
        <w:spacing w:before="128"/>
        <w:ind w:left="1400" w:right="0" w:firstLine="0"/>
        <w:jc w:val="both"/>
        <w:rPr>
          <w:rFonts w:ascii="宋体" w:hAnsi="宋体" w:cs="宋体" w:eastAsia="宋体" w:hint="default"/>
          <w:sz w:val="21"/>
          <w:szCs w:val="21"/>
        </w:rPr>
      </w:pPr>
      <w:r>
        <w:rPr>
          <w:rFonts w:ascii="宋体" w:hAnsi="宋体" w:cs="宋体" w:eastAsia="宋体" w:hint="default"/>
          <w:sz w:val="21"/>
          <w:szCs w:val="21"/>
        </w:rPr>
        <w:t>通过债务重组取得的长期股权投资，其初始投资成本按照公允价值为基础确定。</w:t>
      </w:r>
    </w:p>
    <w:p>
      <w:pPr>
        <w:spacing w:line="240" w:lineRule="auto" w:before="7"/>
        <w:rPr>
          <w:rFonts w:ascii="宋体" w:hAnsi="宋体" w:cs="宋体" w:eastAsia="宋体" w:hint="default"/>
          <w:sz w:val="21"/>
          <w:szCs w:val="21"/>
        </w:rPr>
      </w:pPr>
    </w:p>
    <w:p>
      <w:pPr>
        <w:tabs>
          <w:tab w:pos="1396" w:val="left" w:leader="none"/>
        </w:tabs>
        <w:spacing w:before="0"/>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后续计量及损益确认</w:t>
      </w:r>
    </w:p>
    <w:p>
      <w:pPr>
        <w:spacing w:before="136"/>
        <w:ind w:left="1400"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）后续计量</w:t>
      </w:r>
    </w:p>
    <w:p>
      <w:pPr>
        <w:spacing w:line="272" w:lineRule="exact" w:before="165"/>
        <w:ind w:left="1400" w:right="207" w:firstLine="0"/>
        <w:jc w:val="both"/>
        <w:rPr>
          <w:rFonts w:ascii="宋体" w:hAnsi="宋体" w:cs="宋体" w:eastAsia="宋体" w:hint="default"/>
          <w:sz w:val="21"/>
          <w:szCs w:val="21"/>
        </w:rPr>
      </w:pPr>
      <w:r>
        <w:rPr>
          <w:rFonts w:ascii="宋体" w:hAnsi="宋体" w:cs="宋体" w:eastAsia="宋体" w:hint="default"/>
          <w:sz w:val="21"/>
          <w:szCs w:val="21"/>
        </w:rPr>
        <w:t>公司对子公司的长期股权投资，采用成本法核算，编制合并财务报表时按照权益法</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进行调整。</w:t>
      </w:r>
    </w:p>
    <w:p>
      <w:pPr>
        <w:spacing w:line="272" w:lineRule="exact" w:before="156"/>
        <w:ind w:left="1400" w:right="207" w:firstLine="0"/>
        <w:jc w:val="both"/>
        <w:rPr>
          <w:rFonts w:ascii="宋体" w:hAnsi="宋体" w:cs="宋体" w:eastAsia="宋体" w:hint="default"/>
          <w:sz w:val="21"/>
          <w:szCs w:val="21"/>
        </w:rPr>
      </w:pPr>
      <w:r>
        <w:rPr>
          <w:rFonts w:ascii="宋体" w:hAnsi="宋体" w:cs="宋体" w:eastAsia="宋体" w:hint="default"/>
          <w:sz w:val="21"/>
          <w:szCs w:val="21"/>
        </w:rPr>
        <w:t>对被投资单位不具有共同控制或重大影响，并且在活跃市场中没有报价、公允价值</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不能可靠计量的长期股权投资，采用成本法核算。</w:t>
      </w:r>
    </w:p>
    <w:p>
      <w:pPr>
        <w:spacing w:line="272" w:lineRule="exact" w:before="156"/>
        <w:ind w:left="1400" w:right="207" w:firstLine="0"/>
        <w:jc w:val="both"/>
        <w:rPr>
          <w:rFonts w:ascii="宋体" w:hAnsi="宋体" w:cs="宋体" w:eastAsia="宋体" w:hint="default"/>
          <w:sz w:val="21"/>
          <w:szCs w:val="21"/>
        </w:rPr>
      </w:pPr>
      <w:r>
        <w:rPr>
          <w:rFonts w:ascii="宋体" w:hAnsi="宋体" w:cs="宋体" w:eastAsia="宋体" w:hint="default"/>
          <w:sz w:val="21"/>
          <w:szCs w:val="21"/>
        </w:rPr>
        <w:t>对被投资单位具有共同控制或重大影响的长期股权投资，采用权益法核算。初始投</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资成本大于投资时应享有被投资单位可辨认净资产公允价值份额的差额，不调整长</w:t>
      </w:r>
    </w:p>
    <w:p>
      <w:pPr>
        <w:spacing w:after="0" w:line="272" w:lineRule="exact"/>
        <w:jc w:val="both"/>
        <w:rPr>
          <w:rFonts w:ascii="宋体" w:hAnsi="宋体" w:cs="宋体" w:eastAsia="宋体" w:hint="default"/>
          <w:sz w:val="21"/>
          <w:szCs w:val="21"/>
        </w:rPr>
        <w:sectPr>
          <w:pgSz w:w="11900" w:h="16840"/>
          <w:pgMar w:header="883" w:footer="1003" w:top="1540" w:bottom="1200" w:left="1660" w:right="106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45.1pt;height:.5pt;mso-position-horizontal-relative:char;mso-position-vertical-relative:line" coordorigin="0,0" coordsize="8902,10">
            <v:group style="position:absolute;left:5;top:5;width:8892;height:2" coordorigin="5,5" coordsize="8892,2">
              <v:shape style="position:absolute;left:5;top:5;width:8892;height:2" coordorigin="5,5" coordsize="8892,0" path="m5,5l8897,5e" filled="false" stroked="true" strokeweight=".47998pt" strokecolor="#000000">
                <v:path arrowok="t"/>
              </v:shape>
            </v:group>
          </v:group>
        </w:pict>
      </w:r>
      <w:r>
        <w:rPr>
          <w:rFonts w:ascii="宋体" w:hAnsi="宋体" w:cs="宋体" w:eastAsia="宋体" w:hint="default"/>
          <w:sz w:val="2"/>
          <w:szCs w:val="2"/>
        </w:rPr>
      </w:r>
    </w:p>
    <w:p>
      <w:pPr>
        <w:spacing w:line="272" w:lineRule="exact" w:before="0"/>
        <w:ind w:left="1400" w:right="207" w:firstLine="0"/>
        <w:jc w:val="both"/>
        <w:rPr>
          <w:rFonts w:ascii="宋体" w:hAnsi="宋体" w:cs="宋体" w:eastAsia="宋体" w:hint="default"/>
          <w:sz w:val="21"/>
          <w:szCs w:val="21"/>
        </w:rPr>
      </w:pPr>
      <w:r>
        <w:rPr>
          <w:rFonts w:ascii="宋体" w:hAnsi="宋体" w:cs="宋体" w:eastAsia="宋体" w:hint="default"/>
          <w:sz w:val="21"/>
          <w:szCs w:val="21"/>
        </w:rPr>
        <w:t>期股权投资的初始投资成本；初始投资成本小于投资时应享有被投资单位可辨认净</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资产公允价值份额的差额，计入当期损益。</w:t>
      </w:r>
    </w:p>
    <w:p>
      <w:pPr>
        <w:spacing w:line="272" w:lineRule="exact" w:before="156"/>
        <w:ind w:left="1400" w:right="207" w:firstLine="0"/>
        <w:jc w:val="both"/>
        <w:rPr>
          <w:rFonts w:ascii="宋体" w:hAnsi="宋体" w:cs="宋体" w:eastAsia="宋体" w:hint="default"/>
          <w:sz w:val="21"/>
          <w:szCs w:val="21"/>
        </w:rPr>
      </w:pPr>
      <w:r>
        <w:rPr>
          <w:rFonts w:ascii="宋体" w:hAnsi="宋体" w:cs="宋体" w:eastAsia="宋体" w:hint="default"/>
          <w:sz w:val="21"/>
          <w:szCs w:val="21"/>
        </w:rPr>
        <w:t>被投资单位除净损益以外所有者权益其他变动的处理：对于被投资单位除净损益以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外所有者权益的其他变动，在持股比例不变的情况下，公司按照持股比例计算应享</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有或承担的部分，调整长期股权投资的账面价值，同时增加或减少资本公积（其他</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8"/>
          <w:sz w:val="21"/>
          <w:szCs w:val="21"/>
        </w:rPr>
        <w:t>资本公积）。</w:t>
      </w:r>
    </w:p>
    <w:p>
      <w:pPr>
        <w:spacing w:before="128"/>
        <w:ind w:left="1400"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）损益确认</w:t>
      </w:r>
    </w:p>
    <w:p>
      <w:pPr>
        <w:spacing w:line="272" w:lineRule="exact" w:before="165"/>
        <w:ind w:left="1400" w:right="101" w:firstLine="0"/>
        <w:jc w:val="left"/>
        <w:rPr>
          <w:rFonts w:ascii="宋体" w:hAnsi="宋体" w:cs="宋体" w:eastAsia="宋体" w:hint="default"/>
          <w:sz w:val="21"/>
          <w:szCs w:val="21"/>
        </w:rPr>
      </w:pPr>
      <w:r>
        <w:rPr>
          <w:rFonts w:ascii="宋体" w:hAnsi="宋体" w:cs="宋体" w:eastAsia="宋体" w:hint="default"/>
          <w:sz w:val="21"/>
          <w:szCs w:val="21"/>
        </w:rPr>
        <w:t>成本法下，除取得投资时实际支付的价款或对价中包含的已宣告但尚未发放的现金</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股利或利润外，公司按照享有被投资单位宣告发放的现金股利或利润确认投资收益。</w:t>
      </w:r>
    </w:p>
    <w:p>
      <w:pPr>
        <w:spacing w:line="237" w:lineRule="auto" w:before="131"/>
        <w:ind w:left="1400" w:right="101" w:firstLine="0"/>
        <w:jc w:val="left"/>
        <w:rPr>
          <w:rFonts w:ascii="宋体" w:hAnsi="宋体" w:cs="宋体" w:eastAsia="宋体" w:hint="default"/>
          <w:sz w:val="21"/>
          <w:szCs w:val="21"/>
        </w:rPr>
      </w:pPr>
      <w:r>
        <w:rPr>
          <w:rFonts w:ascii="宋体" w:hAnsi="宋体" w:cs="宋体" w:eastAsia="宋体" w:hint="default"/>
          <w:sz w:val="21"/>
          <w:szCs w:val="21"/>
        </w:rPr>
        <w:t>权益法下，按照应享有或应分担的被投资单位实现的净损益的份额确认投资收益并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调整长期股权投资账面价值。在公司确认应分担被投资单位发生的亏损时，按照以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下顺序进行处理：首先，冲减长期股权投资的账面价值。其次，长期股权投资的账</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面价值不足以冲减的，以其他实质上构成对被投资单位净投资的长期权益账面价值</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为限继续确认投资损失，冲减长期应收项目等的账面价值。最后，经过上述处理，</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按照投资合同或协议约定企业仍承担额外义务的，按预计承担的义务确认预计负债，</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计入当期投资损失。</w:t>
      </w:r>
    </w:p>
    <w:p>
      <w:pPr>
        <w:spacing w:line="240" w:lineRule="auto" w:before="11"/>
        <w:rPr>
          <w:rFonts w:ascii="宋体" w:hAnsi="宋体" w:cs="宋体" w:eastAsia="宋体" w:hint="default"/>
          <w:sz w:val="13"/>
          <w:szCs w:val="13"/>
        </w:rPr>
      </w:pPr>
    </w:p>
    <w:p>
      <w:pPr>
        <w:spacing w:line="272" w:lineRule="exact" w:before="0"/>
        <w:ind w:left="1400" w:right="207" w:firstLine="0"/>
        <w:jc w:val="both"/>
        <w:rPr>
          <w:rFonts w:ascii="宋体" w:hAnsi="宋体" w:cs="宋体" w:eastAsia="宋体" w:hint="default"/>
          <w:sz w:val="21"/>
          <w:szCs w:val="21"/>
        </w:rPr>
      </w:pPr>
      <w:r>
        <w:rPr>
          <w:rFonts w:ascii="宋体" w:hAnsi="宋体" w:cs="宋体" w:eastAsia="宋体" w:hint="default"/>
          <w:sz w:val="21"/>
          <w:szCs w:val="21"/>
        </w:rPr>
        <w:t>被投资单位以后期间实现盈利的，公司在扣除未确认的亏损分担额后，按与上述相</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反的顺序处理，减记已确认预计负债的账面余额、恢复其他实质上构成对被投资单</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位净投资的长期权益及长期股权投资的账面价值，同时确认投资收益。</w:t>
      </w:r>
    </w:p>
    <w:p>
      <w:pPr>
        <w:spacing w:line="240" w:lineRule="auto" w:before="8"/>
        <w:rPr>
          <w:rFonts w:ascii="宋体" w:hAnsi="宋体" w:cs="宋体" w:eastAsia="宋体" w:hint="default"/>
          <w:sz w:val="19"/>
          <w:szCs w:val="19"/>
        </w:rPr>
      </w:pPr>
    </w:p>
    <w:p>
      <w:pPr>
        <w:spacing w:before="0"/>
        <w:ind w:left="857"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 </w:t>
      </w:r>
      <w:r>
        <w:rPr>
          <w:rFonts w:ascii="宋体" w:hAnsi="宋体" w:cs="宋体" w:eastAsia="宋体" w:hint="default"/>
          <w:spacing w:val="25"/>
          <w:sz w:val="21"/>
          <w:szCs w:val="21"/>
        </w:rPr>
        <w:t> </w:t>
      </w:r>
      <w:r>
        <w:rPr>
          <w:rFonts w:ascii="宋体" w:hAnsi="宋体" w:cs="宋体" w:eastAsia="宋体" w:hint="default"/>
          <w:sz w:val="21"/>
          <w:szCs w:val="21"/>
        </w:rPr>
        <w:t>确定对被投资单位具有共同控制、重大影响的依据</w:t>
      </w:r>
    </w:p>
    <w:p>
      <w:pPr>
        <w:spacing w:line="237" w:lineRule="auto" w:before="140"/>
        <w:ind w:left="1400" w:right="207" w:firstLine="0"/>
        <w:jc w:val="both"/>
        <w:rPr>
          <w:rFonts w:ascii="宋体" w:hAnsi="宋体" w:cs="宋体" w:eastAsia="宋体" w:hint="default"/>
          <w:sz w:val="21"/>
          <w:szCs w:val="21"/>
        </w:rPr>
      </w:pPr>
      <w:r>
        <w:rPr>
          <w:rFonts w:ascii="宋体" w:hAnsi="宋体" w:cs="宋体" w:eastAsia="宋体" w:hint="default"/>
          <w:sz w:val="21"/>
          <w:szCs w:val="21"/>
        </w:rPr>
        <w:t>按照合同约定对某项经济活动所共有的控制，仅在与该项经济活动相关的重要财务</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和经营决策需要分享控制权的投资方一致同意时存在，则视为与其他方对被投资单</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位实施共同控制；对一个企业的财务和经营决策有参与决策的权力，但并不能够控</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制或者与其他方一起共同控制这些政策的制定，则视为投资企业能够对被投资单位</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施加重大影响。</w:t>
      </w:r>
    </w:p>
    <w:p>
      <w:pPr>
        <w:spacing w:line="240" w:lineRule="auto" w:before="7"/>
        <w:rPr>
          <w:rFonts w:ascii="宋体" w:hAnsi="宋体" w:cs="宋体" w:eastAsia="宋体" w:hint="default"/>
          <w:sz w:val="21"/>
          <w:szCs w:val="21"/>
        </w:rPr>
      </w:pPr>
    </w:p>
    <w:p>
      <w:pPr>
        <w:spacing w:before="0"/>
        <w:ind w:left="857"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sz w:val="21"/>
          <w:szCs w:val="21"/>
        </w:rPr>
        <w:t>、 </w:t>
      </w:r>
      <w:r>
        <w:rPr>
          <w:rFonts w:ascii="宋体" w:hAnsi="宋体" w:cs="宋体" w:eastAsia="宋体" w:hint="default"/>
          <w:spacing w:val="21"/>
          <w:sz w:val="21"/>
          <w:szCs w:val="21"/>
        </w:rPr>
        <w:t> </w:t>
      </w:r>
      <w:r>
        <w:rPr>
          <w:rFonts w:ascii="宋体" w:hAnsi="宋体" w:cs="宋体" w:eastAsia="宋体" w:hint="default"/>
          <w:sz w:val="21"/>
          <w:szCs w:val="21"/>
        </w:rPr>
        <w:t>减值测试方法及减值准备计提方法</w:t>
      </w:r>
    </w:p>
    <w:p>
      <w:pPr>
        <w:spacing w:line="272" w:lineRule="exact" w:before="165"/>
        <w:ind w:left="1400" w:right="101" w:firstLine="0"/>
        <w:jc w:val="left"/>
        <w:rPr>
          <w:rFonts w:ascii="宋体" w:hAnsi="宋体" w:cs="宋体" w:eastAsia="宋体" w:hint="default"/>
          <w:sz w:val="21"/>
          <w:szCs w:val="21"/>
        </w:rPr>
      </w:pPr>
      <w:r>
        <w:rPr>
          <w:rFonts w:ascii="宋体" w:hAnsi="宋体" w:cs="宋体" w:eastAsia="宋体" w:hint="default"/>
          <w:spacing w:val="-3"/>
          <w:sz w:val="21"/>
          <w:szCs w:val="21"/>
        </w:rPr>
        <w:t>重大影响以下的、在活跃市场中没有报价、公允价值不能可靠计量的长期股权投资，</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其减值损失是根据其账面价值与按类似金融资产当时市场收益率对未来现金流量折</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现确定的现值之间的差额进行确定。</w:t>
      </w:r>
    </w:p>
    <w:p>
      <w:pPr>
        <w:spacing w:line="237" w:lineRule="auto" w:before="131"/>
        <w:ind w:left="1400" w:right="207" w:firstLine="0"/>
        <w:jc w:val="both"/>
        <w:rPr>
          <w:rFonts w:ascii="宋体" w:hAnsi="宋体" w:cs="宋体" w:eastAsia="宋体" w:hint="default"/>
          <w:sz w:val="21"/>
          <w:szCs w:val="21"/>
        </w:rPr>
      </w:pPr>
      <w:r>
        <w:rPr>
          <w:rFonts w:ascii="宋体" w:hAnsi="宋体" w:cs="宋体" w:eastAsia="宋体" w:hint="default"/>
          <w:sz w:val="21"/>
          <w:szCs w:val="21"/>
        </w:rPr>
        <w:t>除因企业合并形成的商誉以外的存在减值迹象的其他长期股权投资，如果可收回金</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额的计量结果表明，该长期股权投资的可收回金额低于其账面价值的，将差额确认</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为减值损失。</w:t>
      </w:r>
    </w:p>
    <w:p>
      <w:pPr>
        <w:spacing w:line="374" w:lineRule="auto" w:before="154"/>
        <w:ind w:left="1400" w:right="1040" w:firstLine="0"/>
        <w:jc w:val="left"/>
        <w:rPr>
          <w:rFonts w:ascii="宋体" w:hAnsi="宋体" w:cs="宋体" w:eastAsia="宋体" w:hint="default"/>
          <w:sz w:val="21"/>
          <w:szCs w:val="21"/>
        </w:rPr>
      </w:pPr>
      <w:r>
        <w:rPr>
          <w:rFonts w:ascii="宋体" w:hAnsi="宋体" w:cs="宋体" w:eastAsia="宋体" w:hint="default"/>
          <w:sz w:val="21"/>
          <w:szCs w:val="21"/>
        </w:rPr>
        <w:t>因企业合并形成的商誉，无论是否存在减值迹象，每年都进行减值测试。 长期股权投资减值损失一经确认，不再转回。</w:t>
      </w:r>
    </w:p>
    <w:p>
      <w:pPr>
        <w:spacing w:before="36"/>
        <w:ind w:left="125"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十三</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11"/>
          <w:sz w:val="21"/>
          <w:szCs w:val="21"/>
        </w:rPr>
        <w:t> </w:t>
      </w:r>
      <w:r>
        <w:rPr>
          <w:rFonts w:ascii="宋体" w:hAnsi="宋体" w:cs="宋体" w:eastAsia="宋体" w:hint="default"/>
          <w:sz w:val="21"/>
          <w:szCs w:val="21"/>
        </w:rPr>
        <w:t>投资性房地产</w:t>
      </w:r>
    </w:p>
    <w:p>
      <w:pPr>
        <w:spacing w:line="272" w:lineRule="exact" w:before="165"/>
        <w:ind w:left="857" w:right="205" w:firstLine="0"/>
        <w:jc w:val="both"/>
        <w:rPr>
          <w:rFonts w:ascii="宋体" w:hAnsi="宋体" w:cs="宋体" w:eastAsia="宋体" w:hint="default"/>
          <w:sz w:val="21"/>
          <w:szCs w:val="21"/>
        </w:rPr>
      </w:pPr>
      <w:r>
        <w:rPr>
          <w:rFonts w:ascii="宋体" w:hAnsi="宋体" w:cs="宋体" w:eastAsia="宋体" w:hint="default"/>
          <w:spacing w:val="-2"/>
          <w:sz w:val="21"/>
          <w:szCs w:val="21"/>
        </w:rPr>
        <w:t>投资性房地产是指为赚取租金或资本增值，或两者兼有而持有的房地产，包括已出租的土</w:t>
      </w:r>
      <w:r>
        <w:rPr>
          <w:rFonts w:ascii="宋体" w:hAnsi="宋体" w:cs="宋体" w:eastAsia="宋体" w:hint="default"/>
          <w:sz w:val="21"/>
          <w:szCs w:val="21"/>
        </w:rPr>
        <w:t> 地使用权、持有并准备增值后转让的土地使用权、已出租的建筑物。</w:t>
      </w:r>
    </w:p>
    <w:p>
      <w:pPr>
        <w:spacing w:line="272" w:lineRule="exact" w:before="156"/>
        <w:ind w:left="857" w:right="205" w:firstLine="0"/>
        <w:jc w:val="both"/>
        <w:rPr>
          <w:rFonts w:ascii="宋体" w:hAnsi="宋体" w:cs="宋体" w:eastAsia="宋体" w:hint="default"/>
          <w:sz w:val="21"/>
          <w:szCs w:val="21"/>
        </w:rPr>
      </w:pPr>
      <w:r>
        <w:rPr>
          <w:rFonts w:ascii="宋体" w:hAnsi="宋体" w:cs="宋体" w:eastAsia="宋体" w:hint="default"/>
          <w:spacing w:val="-2"/>
          <w:sz w:val="21"/>
          <w:szCs w:val="21"/>
        </w:rPr>
        <w:t>公司对现有投资性房地产采用成本模式计量。对按照成本模式计量的投资性房地产－出租</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2"/>
          <w:sz w:val="21"/>
          <w:szCs w:val="21"/>
        </w:rPr>
        <w:t>用建筑物采用与本集团固定资产相同的折旧政策，出租用土地使用权按与无形资产相同的</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摊销政策。</w:t>
      </w:r>
    </w:p>
    <w:p>
      <w:pPr>
        <w:spacing w:after="0" w:line="272" w:lineRule="exact"/>
        <w:jc w:val="both"/>
        <w:rPr>
          <w:rFonts w:ascii="宋体" w:hAnsi="宋体" w:cs="宋体" w:eastAsia="宋体" w:hint="default"/>
          <w:sz w:val="21"/>
          <w:szCs w:val="21"/>
        </w:rPr>
        <w:sectPr>
          <w:pgSz w:w="11900" w:h="16840"/>
          <w:pgMar w:header="883" w:footer="1003" w:top="1540" w:bottom="1200" w:left="1660" w:right="106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45.1pt;height:.5pt;mso-position-horizontal-relative:char;mso-position-vertical-relative:line" coordorigin="0,0" coordsize="8902,10">
            <v:group style="position:absolute;left:5;top:5;width:8892;height:2" coordorigin="5,5" coordsize="8892,2">
              <v:shape style="position:absolute;left:5;top:5;width:8892;height:2" coordorigin="5,5" coordsize="8892,0" path="m5,5l8897,5e" filled="false" stroked="true" strokeweight=".47998pt" strokecolor="#000000">
                <v:path arrowok="t"/>
              </v:shape>
            </v:group>
          </v:group>
        </w:pict>
      </w:r>
      <w:r>
        <w:rPr>
          <w:rFonts w:ascii="宋体" w:hAnsi="宋体" w:cs="宋体" w:eastAsia="宋体" w:hint="default"/>
          <w:sz w:val="2"/>
          <w:szCs w:val="2"/>
        </w:rPr>
      </w:r>
    </w:p>
    <w:p>
      <w:pPr>
        <w:spacing w:line="272" w:lineRule="exact" w:before="0"/>
        <w:ind w:left="857" w:right="131" w:firstLine="0"/>
        <w:jc w:val="left"/>
        <w:rPr>
          <w:rFonts w:ascii="宋体" w:hAnsi="宋体" w:cs="宋体" w:eastAsia="宋体" w:hint="default"/>
          <w:sz w:val="21"/>
          <w:szCs w:val="21"/>
        </w:rPr>
      </w:pPr>
      <w:r>
        <w:rPr>
          <w:rFonts w:ascii="宋体" w:hAnsi="宋体" w:cs="宋体" w:eastAsia="宋体" w:hint="default"/>
          <w:spacing w:val="-2"/>
          <w:sz w:val="21"/>
          <w:szCs w:val="21"/>
        </w:rPr>
        <w:t>公司对存在减值迹象的，估计其可收回金额，可收回金额低于其账面价值的，确认相应的</w:t>
      </w:r>
      <w:r>
        <w:rPr>
          <w:rFonts w:ascii="宋体" w:hAnsi="宋体" w:cs="宋体" w:eastAsia="宋体" w:hint="default"/>
          <w:sz w:val="21"/>
          <w:szCs w:val="21"/>
        </w:rPr>
        <w:t> 减值损失。</w:t>
      </w:r>
    </w:p>
    <w:p>
      <w:pPr>
        <w:spacing w:before="128"/>
        <w:ind w:left="857" w:right="131" w:firstLine="0"/>
        <w:jc w:val="left"/>
        <w:rPr>
          <w:rFonts w:ascii="宋体" w:hAnsi="宋体" w:cs="宋体" w:eastAsia="宋体" w:hint="default"/>
          <w:sz w:val="21"/>
          <w:szCs w:val="21"/>
        </w:rPr>
      </w:pPr>
      <w:r>
        <w:rPr>
          <w:rFonts w:ascii="宋体" w:hAnsi="宋体" w:cs="宋体" w:eastAsia="宋体" w:hint="default"/>
          <w:sz w:val="21"/>
          <w:szCs w:val="21"/>
        </w:rPr>
        <w:t>投资性房地产减值损失一经确认，不再转回。</w:t>
      </w:r>
    </w:p>
    <w:p>
      <w:pPr>
        <w:spacing w:line="240" w:lineRule="auto" w:before="9"/>
        <w:rPr>
          <w:rFonts w:ascii="宋体" w:hAnsi="宋体" w:cs="宋体" w:eastAsia="宋体" w:hint="default"/>
          <w:sz w:val="23"/>
          <w:szCs w:val="23"/>
        </w:rPr>
      </w:pPr>
    </w:p>
    <w:p>
      <w:pPr>
        <w:spacing w:before="0"/>
        <w:ind w:left="125"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十四</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12"/>
          <w:sz w:val="21"/>
          <w:szCs w:val="21"/>
        </w:rPr>
        <w:t> </w:t>
      </w:r>
      <w:r>
        <w:rPr>
          <w:rFonts w:ascii="宋体" w:hAnsi="宋体" w:cs="宋体" w:eastAsia="宋体" w:hint="default"/>
          <w:sz w:val="21"/>
          <w:szCs w:val="21"/>
        </w:rPr>
        <w:t>固定资产</w:t>
      </w:r>
    </w:p>
    <w:p>
      <w:pPr>
        <w:spacing w:line="240" w:lineRule="auto" w:before="4"/>
        <w:rPr>
          <w:rFonts w:ascii="宋体" w:hAnsi="宋体" w:cs="宋体" w:eastAsia="宋体" w:hint="default"/>
          <w:sz w:val="20"/>
          <w:szCs w:val="20"/>
        </w:rPr>
      </w:pPr>
    </w:p>
    <w:p>
      <w:pPr>
        <w:tabs>
          <w:tab w:pos="1396" w:val="left" w:leader="none"/>
        </w:tabs>
        <w:spacing w:before="0"/>
        <w:ind w:left="857"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固定资产确认条件</w:t>
      </w:r>
    </w:p>
    <w:p>
      <w:pPr>
        <w:spacing w:line="272" w:lineRule="exact" w:before="164"/>
        <w:ind w:left="1400" w:right="140" w:firstLine="0"/>
        <w:jc w:val="left"/>
        <w:rPr>
          <w:rFonts w:ascii="宋体" w:hAnsi="宋体" w:cs="宋体" w:eastAsia="宋体" w:hint="default"/>
          <w:sz w:val="21"/>
          <w:szCs w:val="21"/>
        </w:rPr>
      </w:pPr>
      <w:r>
        <w:rPr>
          <w:rFonts w:ascii="宋体" w:hAnsi="宋体" w:cs="宋体" w:eastAsia="宋体" w:hint="default"/>
          <w:sz w:val="21"/>
          <w:szCs w:val="21"/>
        </w:rPr>
        <w:t>固定资产指为生产商品、提供劳务、出租或经营管理而持有，并且使用寿命超过一</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个会计年度的有形资产。固定资产在同时满足下列条件时予以确认：</w:t>
      </w:r>
    </w:p>
    <w:p>
      <w:pPr>
        <w:spacing w:before="128"/>
        <w:ind w:left="1400" w:right="13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）与该固定资产有关的经济利益很可能流入企业；</w:t>
      </w:r>
    </w:p>
    <w:p>
      <w:pPr>
        <w:spacing w:before="137"/>
        <w:ind w:left="1400" w:right="13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）该固定资产的成本能够可靠地计量。</w:t>
      </w:r>
    </w:p>
    <w:p>
      <w:pPr>
        <w:spacing w:line="240" w:lineRule="auto" w:before="4"/>
        <w:rPr>
          <w:rFonts w:ascii="宋体" w:hAnsi="宋体" w:cs="宋体" w:eastAsia="宋体" w:hint="default"/>
          <w:sz w:val="20"/>
          <w:szCs w:val="20"/>
        </w:rPr>
      </w:pPr>
    </w:p>
    <w:p>
      <w:pPr>
        <w:tabs>
          <w:tab w:pos="1396" w:val="left" w:leader="none"/>
        </w:tabs>
        <w:spacing w:before="0"/>
        <w:ind w:left="857"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各类固定资产的折旧方法</w:t>
      </w:r>
    </w:p>
    <w:p>
      <w:pPr>
        <w:spacing w:line="272" w:lineRule="exact" w:before="164"/>
        <w:ind w:left="1400" w:right="140" w:firstLine="0"/>
        <w:jc w:val="left"/>
        <w:rPr>
          <w:rFonts w:ascii="宋体" w:hAnsi="宋体" w:cs="宋体" w:eastAsia="宋体" w:hint="default"/>
          <w:sz w:val="21"/>
          <w:szCs w:val="21"/>
        </w:rPr>
      </w:pPr>
      <w:r>
        <w:rPr>
          <w:rFonts w:ascii="宋体" w:hAnsi="宋体" w:cs="宋体" w:eastAsia="宋体" w:hint="default"/>
          <w:sz w:val="21"/>
          <w:szCs w:val="21"/>
        </w:rPr>
        <w:t>固定资产折旧采用年限平均法分类计提，根据固定资产类别、预计使用寿命和预计</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净残值率确定折旧率。</w:t>
      </w:r>
    </w:p>
    <w:p>
      <w:pPr>
        <w:spacing w:before="128"/>
        <w:ind w:left="1400" w:right="131" w:firstLine="0"/>
        <w:jc w:val="left"/>
        <w:rPr>
          <w:rFonts w:ascii="宋体" w:hAnsi="宋体" w:cs="宋体" w:eastAsia="宋体" w:hint="default"/>
          <w:sz w:val="21"/>
          <w:szCs w:val="21"/>
        </w:rPr>
      </w:pPr>
      <w:r>
        <w:rPr/>
        <w:pict>
          <v:group style="position:absolute;margin-left:125.639992pt;margin-top:21.785175pt;width:407.6pt;height:87.55pt;mso-position-horizontal-relative:page;mso-position-vertical-relative:paragraph;z-index:-996088" coordorigin="2513,436" coordsize="8152,1751">
            <v:group style="position:absolute;left:2518;top:441;width:8136;height:2" coordorigin="2518,441" coordsize="8136,2">
              <v:shape style="position:absolute;left:2518;top:441;width:8136;height:2" coordorigin="2518,441" coordsize="8136,0" path="m2518,441l10654,441e" filled="false" stroked="true" strokeweight=".48001pt" strokecolor="#000000">
                <v:path arrowok="t"/>
              </v:shape>
              <v:shape style="position:absolute;left:2518;top:445;width:8147;height:1741" type="#_x0000_t75" stroked="false">
                <v:imagedata r:id="rId30" o:title=""/>
              </v:shape>
              <v:shape style="position:absolute;left:2518;top:50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类别</w:t>
                      </w:r>
                    </w:p>
                  </w:txbxContent>
                </v:textbox>
                <w10:wrap type="none"/>
              </v:shape>
              <v:shape style="position:absolute;left:4879;top:508;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折旧年限（年）</w:t>
                      </w:r>
                    </w:p>
                  </w:txbxContent>
                </v:textbox>
                <w10:wrap type="none"/>
              </v:shape>
              <v:shape style="position:absolute;left:7013;top:508;width:1226;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残值率（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xbxContent>
                </v:textbox>
                <w10:wrap type="none"/>
              </v:shape>
              <v:shape style="position:absolute;left:9122;top:508;width:1436;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年折旧率（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xbxContent>
                </v:textbox>
                <w10:wrap type="none"/>
              </v:shape>
            </v:group>
            <w10:wrap type="none"/>
          </v:group>
        </w:pict>
      </w:r>
      <w:r>
        <w:rPr>
          <w:rFonts w:ascii="宋体" w:hAnsi="宋体" w:cs="宋体" w:eastAsia="宋体" w:hint="default"/>
          <w:sz w:val="21"/>
          <w:szCs w:val="21"/>
        </w:rPr>
        <w:t>各类固定资产折旧年限和年折旧率如下：</w:t>
      </w:r>
    </w:p>
    <w:p>
      <w:pPr>
        <w:spacing w:line="240" w:lineRule="auto" w:before="1"/>
        <w:rPr>
          <w:rFonts w:ascii="宋体" w:hAnsi="宋体" w:cs="宋体" w:eastAsia="宋体" w:hint="default"/>
          <w:sz w:val="28"/>
          <w:szCs w:val="28"/>
        </w:rPr>
      </w:pPr>
    </w:p>
    <w:tbl>
      <w:tblPr>
        <w:tblW w:w="0" w:type="auto"/>
        <w:jc w:val="left"/>
        <w:tblInd w:w="843" w:type="dxa"/>
        <w:tblLayout w:type="fixed"/>
        <w:tblCellMar>
          <w:top w:w="0" w:type="dxa"/>
          <w:left w:w="0" w:type="dxa"/>
          <w:bottom w:w="0" w:type="dxa"/>
          <w:right w:w="0" w:type="dxa"/>
        </w:tblCellMar>
        <w:tblLook w:val="01E0"/>
      </w:tblPr>
      <w:tblGrid>
        <w:gridCol w:w="2009"/>
        <w:gridCol w:w="2004"/>
        <w:gridCol w:w="1708"/>
        <w:gridCol w:w="2436"/>
      </w:tblGrid>
      <w:tr>
        <w:trPr>
          <w:trHeight w:val="358" w:hRule="exact"/>
        </w:trPr>
        <w:tc>
          <w:tcPr>
            <w:tcW w:w="2009" w:type="dxa"/>
            <w:tcBorders>
              <w:top w:val="nil" w:sz="6" w:space="0" w:color="auto"/>
              <w:left w:val="nil" w:sz="6" w:space="0" w:color="auto"/>
              <w:bottom w:val="nil" w:sz="6" w:space="0" w:color="auto"/>
              <w:right w:val="nil" w:sz="6" w:space="0" w:color="auto"/>
            </w:tcBorders>
          </w:tcPr>
          <w:p>
            <w:pPr>
              <w:pStyle w:val="TableParagraph"/>
              <w:spacing w:line="265" w:lineRule="exact"/>
              <w:ind w:left="14"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41"/>
              <w:jc w:val="center"/>
              <w:rPr>
                <w:rFonts w:ascii="Times New Roman" w:hAnsi="Times New Roman" w:cs="Times New Roman" w:eastAsia="Times New Roman" w:hint="default"/>
                <w:sz w:val="21"/>
                <w:szCs w:val="21"/>
              </w:rPr>
            </w:pPr>
            <w:r>
              <w:rPr>
                <w:rFonts w:ascii="Times New Roman"/>
                <w:sz w:val="21"/>
              </w:rPr>
              <w:t>30-50</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73"/>
              <w:ind w:left="778" w:right="0"/>
              <w:jc w:val="left"/>
              <w:rPr>
                <w:rFonts w:ascii="Times New Roman" w:hAnsi="Times New Roman" w:cs="Times New Roman" w:eastAsia="Times New Roman" w:hint="default"/>
                <w:sz w:val="21"/>
                <w:szCs w:val="21"/>
              </w:rPr>
            </w:pPr>
            <w:r>
              <w:rPr>
                <w:rFonts w:ascii="Times New Roman"/>
                <w:sz w:val="21"/>
              </w:rPr>
              <w:t>5</w:t>
            </w:r>
          </w:p>
        </w:tc>
        <w:tc>
          <w:tcPr>
            <w:tcW w:w="2436"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8" w:right="0"/>
              <w:jc w:val="center"/>
              <w:rPr>
                <w:rFonts w:ascii="Times New Roman" w:hAnsi="Times New Roman" w:cs="Times New Roman" w:eastAsia="Times New Roman" w:hint="default"/>
                <w:sz w:val="21"/>
                <w:szCs w:val="21"/>
              </w:rPr>
            </w:pPr>
            <w:r>
              <w:rPr>
                <w:rFonts w:ascii="Times New Roman"/>
                <w:sz w:val="21"/>
              </w:rPr>
              <w:t>1.9-3.2</w:t>
            </w:r>
          </w:p>
        </w:tc>
      </w:tr>
      <w:tr>
        <w:trPr>
          <w:trHeight w:val="350" w:hRule="exact"/>
        </w:trPr>
        <w:tc>
          <w:tcPr>
            <w:tcW w:w="2009" w:type="dxa"/>
            <w:tcBorders>
              <w:top w:val="nil" w:sz="6" w:space="0" w:color="auto"/>
              <w:left w:val="nil" w:sz="6" w:space="0" w:color="auto"/>
              <w:bottom w:val="nil" w:sz="6" w:space="0" w:color="auto"/>
              <w:right w:val="nil" w:sz="6" w:space="0" w:color="auto"/>
            </w:tcBorders>
          </w:tcPr>
          <w:p>
            <w:pPr>
              <w:pStyle w:val="TableParagraph"/>
              <w:spacing w:line="258" w:lineRule="exact"/>
              <w:ind w:left="14"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42"/>
              <w:jc w:val="center"/>
              <w:rPr>
                <w:rFonts w:ascii="Times New Roman" w:hAnsi="Times New Roman" w:cs="Times New Roman" w:eastAsia="Times New Roman" w:hint="default"/>
                <w:sz w:val="21"/>
                <w:szCs w:val="21"/>
              </w:rPr>
            </w:pPr>
            <w:r>
              <w:rPr>
                <w:rFonts w:ascii="Times New Roman"/>
                <w:sz w:val="21"/>
              </w:rPr>
              <w:t>3</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778" w:right="0"/>
              <w:jc w:val="left"/>
              <w:rPr>
                <w:rFonts w:ascii="Times New Roman" w:hAnsi="Times New Roman" w:cs="Times New Roman" w:eastAsia="Times New Roman" w:hint="default"/>
                <w:sz w:val="21"/>
                <w:szCs w:val="21"/>
              </w:rPr>
            </w:pPr>
            <w:r>
              <w:rPr>
                <w:rFonts w:ascii="Times New Roman"/>
                <w:sz w:val="21"/>
              </w:rPr>
              <w:t>5</w:t>
            </w:r>
          </w:p>
        </w:tc>
        <w:tc>
          <w:tcPr>
            <w:tcW w:w="243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7" w:right="0"/>
              <w:jc w:val="center"/>
              <w:rPr>
                <w:rFonts w:ascii="Times New Roman" w:hAnsi="Times New Roman" w:cs="Times New Roman" w:eastAsia="Times New Roman" w:hint="default"/>
                <w:sz w:val="21"/>
                <w:szCs w:val="21"/>
              </w:rPr>
            </w:pPr>
            <w:r>
              <w:rPr>
                <w:rFonts w:ascii="Times New Roman"/>
                <w:sz w:val="21"/>
              </w:rPr>
              <w:t>31.7</w:t>
            </w:r>
          </w:p>
        </w:tc>
      </w:tr>
      <w:tr>
        <w:trPr>
          <w:trHeight w:val="350" w:hRule="exact"/>
        </w:trPr>
        <w:tc>
          <w:tcPr>
            <w:tcW w:w="2009" w:type="dxa"/>
            <w:tcBorders>
              <w:top w:val="nil" w:sz="6" w:space="0" w:color="auto"/>
              <w:left w:val="nil" w:sz="6" w:space="0" w:color="auto"/>
              <w:bottom w:val="nil" w:sz="6" w:space="0" w:color="auto"/>
              <w:right w:val="nil" w:sz="6" w:space="0" w:color="auto"/>
            </w:tcBorders>
          </w:tcPr>
          <w:p>
            <w:pPr>
              <w:pStyle w:val="TableParagraph"/>
              <w:spacing w:line="257" w:lineRule="exact"/>
              <w:ind w:left="14"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42"/>
              <w:jc w:val="center"/>
              <w:rPr>
                <w:rFonts w:ascii="Times New Roman" w:hAnsi="Times New Roman" w:cs="Times New Roman" w:eastAsia="Times New Roman" w:hint="default"/>
                <w:sz w:val="21"/>
                <w:szCs w:val="21"/>
              </w:rPr>
            </w:pPr>
            <w:r>
              <w:rPr>
                <w:rFonts w:ascii="Times New Roman"/>
                <w:sz w:val="21"/>
              </w:rPr>
              <w:t>5</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778" w:right="0"/>
              <w:jc w:val="left"/>
              <w:rPr>
                <w:rFonts w:ascii="Times New Roman" w:hAnsi="Times New Roman" w:cs="Times New Roman" w:eastAsia="Times New Roman" w:hint="default"/>
                <w:sz w:val="21"/>
                <w:szCs w:val="21"/>
              </w:rPr>
            </w:pPr>
            <w:r>
              <w:rPr>
                <w:rFonts w:ascii="Times New Roman"/>
                <w:sz w:val="21"/>
              </w:rPr>
              <w:t>5</w:t>
            </w:r>
          </w:p>
        </w:tc>
        <w:tc>
          <w:tcPr>
            <w:tcW w:w="243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7" w:right="0"/>
              <w:jc w:val="center"/>
              <w:rPr>
                <w:rFonts w:ascii="Times New Roman" w:hAnsi="Times New Roman" w:cs="Times New Roman" w:eastAsia="Times New Roman" w:hint="default"/>
                <w:sz w:val="21"/>
                <w:szCs w:val="21"/>
              </w:rPr>
            </w:pPr>
            <w:r>
              <w:rPr>
                <w:rFonts w:ascii="Times New Roman"/>
                <w:sz w:val="21"/>
              </w:rPr>
              <w:t>19.0</w:t>
            </w:r>
          </w:p>
        </w:tc>
      </w:tr>
      <w:tr>
        <w:trPr>
          <w:trHeight w:val="364" w:hRule="exact"/>
        </w:trPr>
        <w:tc>
          <w:tcPr>
            <w:tcW w:w="2009" w:type="dxa"/>
            <w:tcBorders>
              <w:top w:val="nil" w:sz="6" w:space="0" w:color="auto"/>
              <w:left w:val="nil" w:sz="6" w:space="0" w:color="auto"/>
              <w:bottom w:val="single" w:sz="4" w:space="0" w:color="000000"/>
              <w:right w:val="nil" w:sz="6" w:space="0" w:color="auto"/>
            </w:tcBorders>
          </w:tcPr>
          <w:p>
            <w:pPr>
              <w:pStyle w:val="TableParagraph"/>
              <w:spacing w:line="258" w:lineRule="exact"/>
              <w:ind w:left="14"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2004" w:type="dxa"/>
            <w:tcBorders>
              <w:top w:val="nil" w:sz="6" w:space="0" w:color="auto"/>
              <w:left w:val="nil" w:sz="6" w:space="0" w:color="auto"/>
              <w:bottom w:val="single" w:sz="4" w:space="0" w:color="000000"/>
              <w:right w:val="nil" w:sz="6" w:space="0" w:color="auto"/>
            </w:tcBorders>
          </w:tcPr>
          <w:p>
            <w:pPr>
              <w:pStyle w:val="TableParagraph"/>
              <w:spacing w:line="240" w:lineRule="auto" w:before="65"/>
              <w:ind w:right="41"/>
              <w:jc w:val="center"/>
              <w:rPr>
                <w:rFonts w:ascii="Times New Roman" w:hAnsi="Times New Roman" w:cs="Times New Roman" w:eastAsia="Times New Roman" w:hint="default"/>
                <w:sz w:val="21"/>
                <w:szCs w:val="21"/>
              </w:rPr>
            </w:pPr>
            <w:r>
              <w:rPr>
                <w:rFonts w:ascii="Times New Roman"/>
                <w:sz w:val="21"/>
              </w:rPr>
              <w:t>3-5</w:t>
            </w:r>
          </w:p>
        </w:tc>
        <w:tc>
          <w:tcPr>
            <w:tcW w:w="1708" w:type="dxa"/>
            <w:tcBorders>
              <w:top w:val="nil" w:sz="6" w:space="0" w:color="auto"/>
              <w:left w:val="nil" w:sz="6" w:space="0" w:color="auto"/>
              <w:bottom w:val="single" w:sz="4" w:space="0" w:color="000000"/>
              <w:right w:val="nil" w:sz="6" w:space="0" w:color="auto"/>
            </w:tcBorders>
          </w:tcPr>
          <w:p>
            <w:pPr>
              <w:pStyle w:val="TableParagraph"/>
              <w:spacing w:line="240" w:lineRule="auto" w:before="65"/>
              <w:ind w:left="778" w:right="0"/>
              <w:jc w:val="left"/>
              <w:rPr>
                <w:rFonts w:ascii="Times New Roman" w:hAnsi="Times New Roman" w:cs="Times New Roman" w:eastAsia="Times New Roman" w:hint="default"/>
                <w:sz w:val="21"/>
                <w:szCs w:val="21"/>
              </w:rPr>
            </w:pPr>
            <w:r>
              <w:rPr>
                <w:rFonts w:ascii="Times New Roman"/>
                <w:sz w:val="21"/>
              </w:rPr>
              <w:t>5</w:t>
            </w:r>
          </w:p>
        </w:tc>
        <w:tc>
          <w:tcPr>
            <w:tcW w:w="2436" w:type="dxa"/>
            <w:tcBorders>
              <w:top w:val="nil" w:sz="6" w:space="0" w:color="auto"/>
              <w:left w:val="nil" w:sz="6" w:space="0" w:color="auto"/>
              <w:bottom w:val="single" w:sz="4" w:space="0" w:color="000000"/>
              <w:right w:val="nil" w:sz="6" w:space="0" w:color="auto"/>
            </w:tcBorders>
          </w:tcPr>
          <w:p>
            <w:pPr>
              <w:pStyle w:val="TableParagraph"/>
              <w:spacing w:line="240" w:lineRule="auto" w:before="65"/>
              <w:ind w:left="18" w:right="0"/>
              <w:jc w:val="center"/>
              <w:rPr>
                <w:rFonts w:ascii="Times New Roman" w:hAnsi="Times New Roman" w:cs="Times New Roman" w:eastAsia="Times New Roman" w:hint="default"/>
                <w:sz w:val="21"/>
                <w:szCs w:val="21"/>
              </w:rPr>
            </w:pPr>
            <w:r>
              <w:rPr>
                <w:rFonts w:ascii="Times New Roman"/>
                <w:sz w:val="21"/>
              </w:rPr>
              <w:t>19.0-31.7</w:t>
            </w:r>
          </w:p>
        </w:tc>
      </w:tr>
    </w:tbl>
    <w:p>
      <w:pPr>
        <w:spacing w:line="240" w:lineRule="auto" w:before="13"/>
        <w:rPr>
          <w:rFonts w:ascii="宋体" w:hAnsi="宋体" w:cs="宋体" w:eastAsia="宋体" w:hint="default"/>
          <w:sz w:val="15"/>
          <w:szCs w:val="15"/>
        </w:rPr>
      </w:pPr>
    </w:p>
    <w:p>
      <w:pPr>
        <w:tabs>
          <w:tab w:pos="1396" w:val="left" w:leader="none"/>
        </w:tabs>
        <w:spacing w:line="352" w:lineRule="auto" w:before="35"/>
        <w:ind w:left="1400" w:right="2049"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固定资产的减值测试方法、减值准备计提方法</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公司在每期末判断固定资产是否存在可能发生减值的迹象。</w:t>
      </w:r>
    </w:p>
    <w:p>
      <w:pPr>
        <w:spacing w:line="272" w:lineRule="exact" w:before="82"/>
        <w:ind w:left="1400" w:right="142" w:firstLine="0"/>
        <w:jc w:val="both"/>
        <w:rPr>
          <w:rFonts w:ascii="宋体" w:hAnsi="宋体" w:cs="宋体" w:eastAsia="宋体" w:hint="default"/>
          <w:sz w:val="21"/>
          <w:szCs w:val="21"/>
        </w:rPr>
      </w:pPr>
      <w:r>
        <w:rPr>
          <w:rFonts w:ascii="宋体" w:hAnsi="宋体" w:cs="宋体" w:eastAsia="宋体" w:hint="default"/>
          <w:sz w:val="21"/>
          <w:szCs w:val="21"/>
        </w:rPr>
        <w:t>固定资产存在减值迹象的，估计其可收回金额。可收回金额根据固定资产的公允价</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6"/>
          <w:sz w:val="21"/>
          <w:szCs w:val="21"/>
        </w:rPr>
        <w:t>值减去处置费用后的净额与固定资产预计未来现金流量的现值两者之间较高者确</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定。</w:t>
      </w:r>
    </w:p>
    <w:p>
      <w:pPr>
        <w:spacing w:line="272" w:lineRule="exact" w:before="156"/>
        <w:ind w:left="1400" w:right="147" w:firstLine="0"/>
        <w:jc w:val="both"/>
        <w:rPr>
          <w:rFonts w:ascii="宋体" w:hAnsi="宋体" w:cs="宋体" w:eastAsia="宋体" w:hint="default"/>
          <w:sz w:val="21"/>
          <w:szCs w:val="21"/>
        </w:rPr>
      </w:pPr>
      <w:r>
        <w:rPr>
          <w:rFonts w:ascii="宋体" w:hAnsi="宋体" w:cs="宋体" w:eastAsia="宋体" w:hint="default"/>
          <w:sz w:val="21"/>
          <w:szCs w:val="21"/>
        </w:rPr>
        <w:t>当固定资产的可收回金额低于其账面价值的，将固定资产的账面价值减记至可收回</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金额，减记的金额确认为固定资产减值损失，计入当期损益，同时计提相应的固定</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资产减值准备。</w:t>
      </w:r>
    </w:p>
    <w:p>
      <w:pPr>
        <w:spacing w:line="272" w:lineRule="exact" w:before="156"/>
        <w:ind w:left="1400" w:right="147" w:firstLine="0"/>
        <w:jc w:val="both"/>
        <w:rPr>
          <w:rFonts w:ascii="宋体" w:hAnsi="宋体" w:cs="宋体" w:eastAsia="宋体" w:hint="default"/>
          <w:sz w:val="21"/>
          <w:szCs w:val="21"/>
        </w:rPr>
      </w:pPr>
      <w:r>
        <w:rPr>
          <w:rFonts w:ascii="宋体" w:hAnsi="宋体" w:cs="宋体" w:eastAsia="宋体" w:hint="default"/>
          <w:sz w:val="21"/>
          <w:szCs w:val="21"/>
        </w:rPr>
        <w:t>固定资产减值损失确认后，减值固定资产的折旧在未来期间作相应调整，以使该固</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定资产在剩余使用寿命内，系统地分摊调整后的固定资产账面价值（扣除预计净残</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5"/>
          <w:sz w:val="21"/>
          <w:szCs w:val="21"/>
        </w:rPr>
        <w:t>值）。</w:t>
      </w:r>
    </w:p>
    <w:p>
      <w:pPr>
        <w:spacing w:before="128"/>
        <w:ind w:left="1400" w:right="0" w:firstLine="0"/>
        <w:jc w:val="both"/>
        <w:rPr>
          <w:rFonts w:ascii="宋体" w:hAnsi="宋体" w:cs="宋体" w:eastAsia="宋体" w:hint="default"/>
          <w:sz w:val="21"/>
          <w:szCs w:val="21"/>
        </w:rPr>
      </w:pPr>
      <w:r>
        <w:rPr>
          <w:rFonts w:ascii="宋体" w:hAnsi="宋体" w:cs="宋体" w:eastAsia="宋体" w:hint="default"/>
          <w:sz w:val="21"/>
          <w:szCs w:val="21"/>
        </w:rPr>
        <w:t>固定资产的减值损失一经确认，在以后会计期间不再转回。</w:t>
      </w:r>
    </w:p>
    <w:p>
      <w:pPr>
        <w:spacing w:line="240" w:lineRule="auto" w:before="11"/>
        <w:rPr>
          <w:rFonts w:ascii="宋体" w:hAnsi="宋体" w:cs="宋体" w:eastAsia="宋体" w:hint="default"/>
          <w:sz w:val="13"/>
          <w:szCs w:val="13"/>
        </w:rPr>
      </w:pPr>
    </w:p>
    <w:p>
      <w:pPr>
        <w:spacing w:line="272" w:lineRule="exact" w:before="0"/>
        <w:ind w:left="1400" w:right="147" w:firstLine="0"/>
        <w:jc w:val="both"/>
        <w:rPr>
          <w:rFonts w:ascii="宋体" w:hAnsi="宋体" w:cs="宋体" w:eastAsia="宋体" w:hint="default"/>
          <w:sz w:val="21"/>
          <w:szCs w:val="21"/>
        </w:rPr>
      </w:pPr>
      <w:r>
        <w:rPr>
          <w:rFonts w:ascii="宋体" w:hAnsi="宋体" w:cs="宋体" w:eastAsia="宋体" w:hint="default"/>
          <w:sz w:val="21"/>
          <w:szCs w:val="21"/>
        </w:rPr>
        <w:t>有迹象表明一项固定资产可能发生减值的，企业以单项固定资产为基础估计其可收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回金额。企业难以对单项固定资产的可收回金额进行估计的，以该固定资产所属的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资产组为基础确定资产组的可收回金额。</w:t>
      </w:r>
    </w:p>
    <w:p>
      <w:pPr>
        <w:spacing w:line="240" w:lineRule="auto" w:before="8"/>
        <w:rPr>
          <w:rFonts w:ascii="宋体" w:hAnsi="宋体" w:cs="宋体" w:eastAsia="宋体" w:hint="default"/>
          <w:sz w:val="19"/>
          <w:szCs w:val="19"/>
        </w:rPr>
      </w:pPr>
    </w:p>
    <w:p>
      <w:pPr>
        <w:tabs>
          <w:tab w:pos="1396" w:val="left" w:leader="none"/>
        </w:tabs>
        <w:spacing w:before="0"/>
        <w:ind w:left="857"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tab/>
        <w:t>其他说明</w:t>
      </w:r>
    </w:p>
    <w:p>
      <w:pPr>
        <w:spacing w:line="282" w:lineRule="exact" w:before="136"/>
        <w:ind w:left="1400" w:right="0" w:firstLine="0"/>
        <w:jc w:val="both"/>
        <w:rPr>
          <w:rFonts w:ascii="宋体" w:hAnsi="宋体" w:cs="宋体" w:eastAsia="宋体" w:hint="default"/>
          <w:sz w:val="21"/>
          <w:szCs w:val="21"/>
        </w:rPr>
      </w:pPr>
      <w:r>
        <w:rPr>
          <w:rFonts w:ascii="宋体" w:hAnsi="宋体" w:cs="宋体" w:eastAsia="宋体" w:hint="default"/>
          <w:sz w:val="21"/>
          <w:szCs w:val="21"/>
        </w:rPr>
        <w:t>自</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日间利用土地建造自用项目的，土地使用权</w:t>
      </w:r>
    </w:p>
    <w:p>
      <w:pPr>
        <w:spacing w:line="282" w:lineRule="exact" w:before="0"/>
        <w:ind w:left="1400" w:right="0" w:firstLine="0"/>
        <w:jc w:val="both"/>
        <w:rPr>
          <w:rFonts w:ascii="宋体" w:hAnsi="宋体" w:cs="宋体" w:eastAsia="宋体" w:hint="default"/>
          <w:sz w:val="21"/>
          <w:szCs w:val="21"/>
        </w:rPr>
      </w:pPr>
      <w:r>
        <w:rPr>
          <w:rFonts w:ascii="宋体" w:hAnsi="宋体" w:cs="宋体" w:eastAsia="宋体" w:hint="default"/>
          <w:spacing w:val="-3"/>
          <w:sz w:val="21"/>
          <w:szCs w:val="21"/>
        </w:rPr>
        <w:t>的账面价值构成房屋、建筑物成本的一部分。本集团于</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pacing w:val="-6"/>
          <w:sz w:val="21"/>
          <w:szCs w:val="21"/>
        </w:rPr>
        <w:t>日，对已计入</w:t>
      </w:r>
    </w:p>
    <w:p>
      <w:pPr>
        <w:spacing w:after="0" w:line="282" w:lineRule="exact"/>
        <w:jc w:val="both"/>
        <w:rPr>
          <w:rFonts w:ascii="宋体" w:hAnsi="宋体" w:cs="宋体" w:eastAsia="宋体" w:hint="default"/>
          <w:sz w:val="21"/>
          <w:szCs w:val="21"/>
        </w:rPr>
        <w:sectPr>
          <w:pgSz w:w="11900" w:h="16840"/>
          <w:pgMar w:header="883" w:footer="1003" w:top="1540" w:bottom="1200" w:left="1660" w:right="112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45.1pt;height:.5pt;mso-position-horizontal-relative:char;mso-position-vertical-relative:line" coordorigin="0,0" coordsize="8902,10">
            <v:group style="position:absolute;left:5;top:5;width:8892;height:2" coordorigin="5,5" coordsize="8892,2">
              <v:shape style="position:absolute;left:5;top:5;width:8892;height:2" coordorigin="5,5" coordsize="8892,0" path="m5,5l8897,5e" filled="false" stroked="true" strokeweight=".47998pt" strokecolor="#000000">
                <v:path arrowok="t"/>
              </v:shape>
            </v:group>
          </v:group>
        </w:pict>
      </w:r>
      <w:r>
        <w:rPr>
          <w:rFonts w:ascii="宋体" w:hAnsi="宋体" w:cs="宋体" w:eastAsia="宋体" w:hint="default"/>
          <w:sz w:val="2"/>
          <w:szCs w:val="2"/>
        </w:rPr>
      </w:r>
    </w:p>
    <w:p>
      <w:pPr>
        <w:spacing w:line="272" w:lineRule="exact" w:before="0"/>
        <w:ind w:left="1400" w:right="207" w:firstLine="0"/>
        <w:jc w:val="both"/>
        <w:rPr>
          <w:rFonts w:ascii="宋体" w:hAnsi="宋体" w:cs="宋体" w:eastAsia="宋体" w:hint="default"/>
          <w:sz w:val="21"/>
          <w:szCs w:val="21"/>
        </w:rPr>
      </w:pPr>
      <w:r>
        <w:rPr>
          <w:rFonts w:ascii="宋体" w:hAnsi="宋体" w:cs="宋体" w:eastAsia="宋体" w:hint="default"/>
          <w:sz w:val="21"/>
          <w:szCs w:val="21"/>
        </w:rPr>
        <w:t>房屋、建筑物成本中的土地使用权，如符合无形资产准则规定可单独确认为无形资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4"/>
          <w:sz w:val="21"/>
          <w:szCs w:val="21"/>
        </w:rPr>
        <w:t>产的，从原资产的账面价值中分离，作为无形资产列报。自</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2007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日起利用 土地建造自用项目时，房屋、建筑物成本中不再包括土地使用权成本。</w:t>
      </w:r>
    </w:p>
    <w:p>
      <w:pPr>
        <w:spacing w:line="240" w:lineRule="auto" w:before="10"/>
        <w:rPr>
          <w:rFonts w:ascii="宋体" w:hAnsi="宋体" w:cs="宋体" w:eastAsia="宋体" w:hint="default"/>
          <w:sz w:val="21"/>
          <w:szCs w:val="21"/>
        </w:rPr>
      </w:pPr>
    </w:p>
    <w:p>
      <w:pPr>
        <w:spacing w:before="0"/>
        <w:ind w:left="125"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12"/>
          <w:sz w:val="21"/>
          <w:szCs w:val="21"/>
        </w:rPr>
        <w:t> </w:t>
      </w:r>
      <w:r>
        <w:rPr>
          <w:rFonts w:ascii="宋体" w:hAnsi="宋体" w:cs="宋体" w:eastAsia="宋体" w:hint="default"/>
          <w:sz w:val="21"/>
          <w:szCs w:val="21"/>
        </w:rPr>
        <w:t>在建工程</w:t>
      </w:r>
    </w:p>
    <w:p>
      <w:pPr>
        <w:spacing w:line="240" w:lineRule="auto" w:before="4"/>
        <w:rPr>
          <w:rFonts w:ascii="宋体" w:hAnsi="宋体" w:cs="宋体" w:eastAsia="宋体" w:hint="default"/>
          <w:sz w:val="20"/>
          <w:szCs w:val="20"/>
        </w:rPr>
      </w:pPr>
    </w:p>
    <w:p>
      <w:pPr>
        <w:tabs>
          <w:tab w:pos="1396" w:val="left" w:leader="none"/>
        </w:tabs>
        <w:spacing w:line="352" w:lineRule="auto" w:before="0"/>
        <w:ind w:left="1400" w:right="4837"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在建工程的类别</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在建工程以立项项目分类核算。</w:t>
      </w:r>
    </w:p>
    <w:p>
      <w:pPr>
        <w:spacing w:line="240" w:lineRule="auto" w:before="0"/>
        <w:rPr>
          <w:rFonts w:ascii="宋体" w:hAnsi="宋体" w:cs="宋体" w:eastAsia="宋体" w:hint="default"/>
          <w:sz w:val="14"/>
          <w:szCs w:val="14"/>
        </w:rPr>
      </w:pPr>
    </w:p>
    <w:p>
      <w:pPr>
        <w:tabs>
          <w:tab w:pos="1396" w:val="left" w:leader="none"/>
        </w:tabs>
        <w:spacing w:before="0"/>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在建工程结转为固定资产的标准和时点</w:t>
      </w:r>
    </w:p>
    <w:p>
      <w:pPr>
        <w:spacing w:line="237" w:lineRule="auto" w:before="140"/>
        <w:ind w:left="1400" w:right="207" w:firstLine="0"/>
        <w:jc w:val="both"/>
        <w:rPr>
          <w:rFonts w:ascii="宋体" w:hAnsi="宋体" w:cs="宋体" w:eastAsia="宋体" w:hint="default"/>
          <w:sz w:val="21"/>
          <w:szCs w:val="21"/>
        </w:rPr>
      </w:pPr>
      <w:r>
        <w:rPr>
          <w:rFonts w:ascii="宋体" w:hAnsi="宋体" w:cs="宋体" w:eastAsia="宋体" w:hint="default"/>
          <w:sz w:val="21"/>
          <w:szCs w:val="21"/>
        </w:rPr>
        <w:t>在建工程项目按建造该项资产达到预定可使用状态前所发生的全部支出，作为固定</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资产的入账价值。所建造的固定资产在建工程已达到预定可使用状态，但尚未办理</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竣工决算的，自达到预定可使用状态之日起，根据工程预算、造价或者工程实际成</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本等，按估计的价值转入固定资产，并按本集团固定资产折旧政策计提固定资产的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折旧，待办理竣工决算后，再按实际成本调整原来的暂估价值，但不调整原已计提</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的折旧额。</w:t>
      </w:r>
    </w:p>
    <w:p>
      <w:pPr>
        <w:spacing w:line="240" w:lineRule="auto" w:before="7"/>
        <w:rPr>
          <w:rFonts w:ascii="宋体" w:hAnsi="宋体" w:cs="宋体" w:eastAsia="宋体" w:hint="default"/>
          <w:sz w:val="21"/>
          <w:szCs w:val="21"/>
        </w:rPr>
      </w:pPr>
    </w:p>
    <w:p>
      <w:pPr>
        <w:tabs>
          <w:tab w:pos="1396" w:val="left" w:leader="none"/>
        </w:tabs>
        <w:spacing w:line="352" w:lineRule="auto" w:before="0"/>
        <w:ind w:left="1400" w:right="206"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在建工程的减值测试方法、减值准备计提方法</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公司在每期末判断在建工程是否存在可能发生减值的迹象。</w:t>
      </w:r>
    </w:p>
    <w:p>
      <w:pPr>
        <w:spacing w:line="272" w:lineRule="exact" w:before="82"/>
        <w:ind w:left="1400" w:right="202" w:firstLine="0"/>
        <w:jc w:val="both"/>
        <w:rPr>
          <w:rFonts w:ascii="宋体" w:hAnsi="宋体" w:cs="宋体" w:eastAsia="宋体" w:hint="default"/>
          <w:sz w:val="21"/>
          <w:szCs w:val="21"/>
        </w:rPr>
      </w:pPr>
      <w:r>
        <w:rPr>
          <w:rFonts w:ascii="宋体" w:hAnsi="宋体" w:cs="宋体" w:eastAsia="宋体" w:hint="default"/>
          <w:sz w:val="21"/>
          <w:szCs w:val="21"/>
        </w:rPr>
        <w:t>在建工程存在减值迹象的，估计其可收回金额。可收回金额根据在建工程的公允价</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6"/>
          <w:sz w:val="21"/>
          <w:szCs w:val="21"/>
        </w:rPr>
        <w:t>值减去处置费用后的净额与在建工程预计未来现金流量的现值两者之间较高者确</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定。</w:t>
      </w:r>
    </w:p>
    <w:p>
      <w:pPr>
        <w:spacing w:line="272" w:lineRule="exact" w:before="155"/>
        <w:ind w:left="1400" w:right="207" w:firstLine="0"/>
        <w:jc w:val="both"/>
        <w:rPr>
          <w:rFonts w:ascii="宋体" w:hAnsi="宋体" w:cs="宋体" w:eastAsia="宋体" w:hint="default"/>
          <w:sz w:val="21"/>
          <w:szCs w:val="21"/>
        </w:rPr>
      </w:pPr>
      <w:r>
        <w:rPr>
          <w:rFonts w:ascii="宋体" w:hAnsi="宋体" w:cs="宋体" w:eastAsia="宋体" w:hint="default"/>
          <w:sz w:val="21"/>
          <w:szCs w:val="21"/>
        </w:rPr>
        <w:t>当在建工程的可收回金额低于其账面价值的，将在建工程的账面价值减记至可收回</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金额，减记的金额确认为在建工程减值损失，计入当期损益，同时计提相应的在建</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工程减值准备。</w:t>
      </w:r>
    </w:p>
    <w:p>
      <w:pPr>
        <w:spacing w:before="128"/>
        <w:ind w:left="1400" w:right="0" w:firstLine="0"/>
        <w:jc w:val="both"/>
        <w:rPr>
          <w:rFonts w:ascii="宋体" w:hAnsi="宋体" w:cs="宋体" w:eastAsia="宋体" w:hint="default"/>
          <w:sz w:val="21"/>
          <w:szCs w:val="21"/>
        </w:rPr>
      </w:pPr>
      <w:r>
        <w:rPr>
          <w:rFonts w:ascii="宋体" w:hAnsi="宋体" w:cs="宋体" w:eastAsia="宋体" w:hint="default"/>
          <w:sz w:val="21"/>
          <w:szCs w:val="21"/>
        </w:rPr>
        <w:t>在建工程的减值损失一经确认，在以后会计期间不再转回。</w:t>
      </w:r>
    </w:p>
    <w:p>
      <w:pPr>
        <w:spacing w:line="240" w:lineRule="auto" w:before="11"/>
        <w:rPr>
          <w:rFonts w:ascii="宋体" w:hAnsi="宋体" w:cs="宋体" w:eastAsia="宋体" w:hint="default"/>
          <w:sz w:val="13"/>
          <w:szCs w:val="13"/>
        </w:rPr>
      </w:pPr>
    </w:p>
    <w:p>
      <w:pPr>
        <w:spacing w:line="272" w:lineRule="exact" w:before="0"/>
        <w:ind w:left="1400" w:right="207" w:firstLine="0"/>
        <w:jc w:val="both"/>
        <w:rPr>
          <w:rFonts w:ascii="宋体" w:hAnsi="宋体" w:cs="宋体" w:eastAsia="宋体" w:hint="default"/>
          <w:sz w:val="21"/>
          <w:szCs w:val="21"/>
        </w:rPr>
      </w:pPr>
      <w:r>
        <w:rPr>
          <w:rFonts w:ascii="宋体" w:hAnsi="宋体" w:cs="宋体" w:eastAsia="宋体" w:hint="default"/>
          <w:sz w:val="21"/>
          <w:szCs w:val="21"/>
        </w:rPr>
        <w:t>有迹象表明一项在建工程可能发生减值的，企业以单项在建工程为基础估计其可收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回金额。企业难以对单项在建工程的可收回金额进行估计的，以该在建工程所属的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资产组为基础确定资产组的可收回金额。</w:t>
      </w:r>
    </w:p>
    <w:p>
      <w:pPr>
        <w:spacing w:line="240" w:lineRule="auto" w:before="10"/>
        <w:rPr>
          <w:rFonts w:ascii="宋体" w:hAnsi="宋体" w:cs="宋体" w:eastAsia="宋体" w:hint="default"/>
          <w:sz w:val="21"/>
          <w:szCs w:val="21"/>
        </w:rPr>
      </w:pPr>
    </w:p>
    <w:p>
      <w:pPr>
        <w:spacing w:before="0"/>
        <w:ind w:left="125"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十六</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12"/>
          <w:sz w:val="21"/>
          <w:szCs w:val="21"/>
        </w:rPr>
        <w:t> </w:t>
      </w:r>
      <w:r>
        <w:rPr>
          <w:rFonts w:ascii="宋体" w:hAnsi="宋体" w:cs="宋体" w:eastAsia="宋体" w:hint="default"/>
          <w:sz w:val="21"/>
          <w:szCs w:val="21"/>
        </w:rPr>
        <w:t>借款费用</w:t>
      </w:r>
    </w:p>
    <w:p>
      <w:pPr>
        <w:spacing w:line="240" w:lineRule="auto" w:before="4"/>
        <w:rPr>
          <w:rFonts w:ascii="宋体" w:hAnsi="宋体" w:cs="宋体" w:eastAsia="宋体" w:hint="default"/>
          <w:sz w:val="20"/>
          <w:szCs w:val="20"/>
        </w:rPr>
      </w:pPr>
    </w:p>
    <w:p>
      <w:pPr>
        <w:tabs>
          <w:tab w:pos="1396" w:val="left" w:leader="none"/>
        </w:tabs>
        <w:spacing w:before="0"/>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借款费用资本化的确认原则</w:t>
      </w:r>
    </w:p>
    <w:p>
      <w:pPr>
        <w:spacing w:line="272" w:lineRule="exact" w:before="164"/>
        <w:ind w:left="1400" w:right="101" w:firstLine="0"/>
        <w:jc w:val="left"/>
        <w:rPr>
          <w:rFonts w:ascii="宋体" w:hAnsi="宋体" w:cs="宋体" w:eastAsia="宋体" w:hint="default"/>
          <w:sz w:val="21"/>
          <w:szCs w:val="21"/>
        </w:rPr>
      </w:pPr>
      <w:r>
        <w:rPr>
          <w:rFonts w:ascii="宋体" w:hAnsi="宋体" w:cs="宋体" w:eastAsia="宋体" w:hint="default"/>
          <w:sz w:val="21"/>
          <w:szCs w:val="21"/>
        </w:rPr>
        <w:t>公司发生的借款费用，可直接归属于符合资本化条件的资产的购建或者生产的，予</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以资本化，计入相关资产成本；其他借款费用，在发生时根据其发生额确认为费用，</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计入当期损益。</w:t>
      </w:r>
    </w:p>
    <w:p>
      <w:pPr>
        <w:spacing w:line="272" w:lineRule="exact" w:before="156"/>
        <w:ind w:left="1400" w:right="207" w:firstLine="0"/>
        <w:jc w:val="both"/>
        <w:rPr>
          <w:rFonts w:ascii="宋体" w:hAnsi="宋体" w:cs="宋体" w:eastAsia="宋体" w:hint="default"/>
          <w:sz w:val="21"/>
          <w:szCs w:val="21"/>
        </w:rPr>
      </w:pPr>
      <w:r>
        <w:rPr>
          <w:rFonts w:ascii="宋体" w:hAnsi="宋体" w:cs="宋体" w:eastAsia="宋体" w:hint="default"/>
          <w:sz w:val="21"/>
          <w:szCs w:val="21"/>
        </w:rPr>
        <w:t>符合资本化条件的资产，是指需要经过相当长时间的购建或者生产活动才能达到预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定可使用或者可销售状态的固定资产、投资性房地产和存货等资产。</w:t>
      </w:r>
    </w:p>
    <w:p>
      <w:pPr>
        <w:spacing w:before="128"/>
        <w:ind w:left="1400" w:right="0" w:firstLine="0"/>
        <w:jc w:val="both"/>
        <w:rPr>
          <w:rFonts w:ascii="宋体" w:hAnsi="宋体" w:cs="宋体" w:eastAsia="宋体" w:hint="default"/>
          <w:sz w:val="21"/>
          <w:szCs w:val="21"/>
        </w:rPr>
      </w:pPr>
      <w:r>
        <w:rPr>
          <w:rFonts w:ascii="宋体" w:hAnsi="宋体" w:cs="宋体" w:eastAsia="宋体" w:hint="default"/>
          <w:sz w:val="21"/>
          <w:szCs w:val="21"/>
        </w:rPr>
        <w:t>借款费用同时满足下列条件时开始资本化：</w:t>
      </w:r>
    </w:p>
    <w:p>
      <w:pPr>
        <w:spacing w:line="240" w:lineRule="auto" w:before="11"/>
        <w:rPr>
          <w:rFonts w:ascii="宋体" w:hAnsi="宋体" w:cs="宋体" w:eastAsia="宋体" w:hint="default"/>
          <w:sz w:val="13"/>
          <w:szCs w:val="13"/>
        </w:rPr>
      </w:pPr>
    </w:p>
    <w:p>
      <w:pPr>
        <w:spacing w:line="272" w:lineRule="exact" w:before="0"/>
        <w:ind w:left="1400" w:right="205" w:firstLine="0"/>
        <w:jc w:val="both"/>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1</w:t>
      </w:r>
      <w:r>
        <w:rPr>
          <w:rFonts w:ascii="宋体" w:hAnsi="宋体" w:cs="宋体" w:eastAsia="宋体" w:hint="default"/>
          <w:spacing w:val="-3"/>
          <w:sz w:val="21"/>
          <w:szCs w:val="21"/>
        </w:rPr>
        <w:t>）资产支出已经发生，资产支出包括为购建或者生产符合资本化条件的资产而以</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支付现金、转移非现金资产或者承担带息债务形式发生的支出；</w:t>
      </w:r>
    </w:p>
    <w:p>
      <w:pPr>
        <w:spacing w:before="128"/>
        <w:ind w:left="1400"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）借款费用已经发生；</w:t>
      </w:r>
    </w:p>
    <w:p>
      <w:pPr>
        <w:spacing w:after="0"/>
        <w:jc w:val="both"/>
        <w:rPr>
          <w:rFonts w:ascii="宋体" w:hAnsi="宋体" w:cs="宋体" w:eastAsia="宋体" w:hint="default"/>
          <w:sz w:val="21"/>
          <w:szCs w:val="21"/>
        </w:rPr>
        <w:sectPr>
          <w:pgSz w:w="11900" w:h="16840"/>
          <w:pgMar w:header="883" w:footer="1003" w:top="1540" w:bottom="1200" w:left="1660" w:right="106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45.1pt;height:.5pt;mso-position-horizontal-relative:char;mso-position-vertical-relative:line" coordorigin="0,0" coordsize="8902,10">
            <v:group style="position:absolute;left:5;top:5;width:8892;height:2" coordorigin="5,5" coordsize="8892,2">
              <v:shape style="position:absolute;left:5;top:5;width:8892;height:2" coordorigin="5,5" coordsize="8892,0" path="m5,5l8897,5e" filled="false" stroked="true" strokeweight=".47998pt" strokecolor="#000000">
                <v:path arrowok="t"/>
              </v:shape>
            </v:group>
          </v:group>
        </w:pict>
      </w:r>
      <w:r>
        <w:rPr>
          <w:rFonts w:ascii="宋体" w:hAnsi="宋体" w:cs="宋体" w:eastAsia="宋体" w:hint="default"/>
          <w:sz w:val="2"/>
          <w:szCs w:val="2"/>
        </w:rPr>
      </w:r>
    </w:p>
    <w:p>
      <w:pPr>
        <w:spacing w:line="272" w:lineRule="exact" w:before="0"/>
        <w:ind w:left="1400" w:right="95" w:firstLine="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3</w:t>
      </w:r>
      <w:r>
        <w:rPr>
          <w:rFonts w:ascii="宋体" w:hAnsi="宋体" w:cs="宋体" w:eastAsia="宋体" w:hint="default"/>
          <w:spacing w:val="2"/>
          <w:sz w:val="21"/>
          <w:szCs w:val="21"/>
        </w:rPr>
        <w:t>）为使资产达到预定可使用或者可销售状态所必要的购建或者生产活动已经开</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始。</w:t>
      </w:r>
    </w:p>
    <w:p>
      <w:pPr>
        <w:spacing w:line="240" w:lineRule="auto" w:before="8"/>
        <w:rPr>
          <w:rFonts w:ascii="宋体" w:hAnsi="宋体" w:cs="宋体" w:eastAsia="宋体" w:hint="default"/>
          <w:sz w:val="19"/>
          <w:szCs w:val="19"/>
        </w:rPr>
      </w:pPr>
    </w:p>
    <w:p>
      <w:pPr>
        <w:tabs>
          <w:tab w:pos="1396" w:val="left" w:leader="none"/>
        </w:tabs>
        <w:spacing w:before="0"/>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借款费用资本化期间</w:t>
      </w:r>
    </w:p>
    <w:p>
      <w:pPr>
        <w:spacing w:line="272" w:lineRule="exact" w:before="164"/>
        <w:ind w:left="1400" w:right="200" w:firstLine="0"/>
        <w:jc w:val="left"/>
        <w:rPr>
          <w:rFonts w:ascii="宋体" w:hAnsi="宋体" w:cs="宋体" w:eastAsia="宋体" w:hint="default"/>
          <w:sz w:val="21"/>
          <w:szCs w:val="21"/>
        </w:rPr>
      </w:pPr>
      <w:r>
        <w:rPr>
          <w:rFonts w:ascii="宋体" w:hAnsi="宋体" w:cs="宋体" w:eastAsia="宋体" w:hint="default"/>
          <w:sz w:val="21"/>
          <w:szCs w:val="21"/>
        </w:rPr>
        <w:t>资本化期间，指从借款费用开始资本化时点到停止资本化时点的期间，借款费用暂</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停资本化的期间不包括在内。</w:t>
      </w:r>
    </w:p>
    <w:p>
      <w:pPr>
        <w:spacing w:line="272" w:lineRule="exact" w:before="156"/>
        <w:ind w:left="1400" w:right="200" w:firstLine="0"/>
        <w:jc w:val="left"/>
        <w:rPr>
          <w:rFonts w:ascii="宋体" w:hAnsi="宋体" w:cs="宋体" w:eastAsia="宋体" w:hint="default"/>
          <w:sz w:val="21"/>
          <w:szCs w:val="21"/>
        </w:rPr>
      </w:pPr>
      <w:r>
        <w:rPr>
          <w:rFonts w:ascii="宋体" w:hAnsi="宋体" w:cs="宋体" w:eastAsia="宋体" w:hint="default"/>
          <w:sz w:val="21"/>
          <w:szCs w:val="21"/>
        </w:rPr>
        <w:t>当购建或者生产符合资本化条件的资产达到预定可使用或者可销售状态时，借款费</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用停止资本化。</w:t>
      </w:r>
    </w:p>
    <w:p>
      <w:pPr>
        <w:spacing w:line="272" w:lineRule="exact" w:before="156"/>
        <w:ind w:left="1400" w:right="200" w:firstLine="0"/>
        <w:jc w:val="left"/>
        <w:rPr>
          <w:rFonts w:ascii="宋体" w:hAnsi="宋体" w:cs="宋体" w:eastAsia="宋体" w:hint="default"/>
          <w:sz w:val="21"/>
          <w:szCs w:val="21"/>
        </w:rPr>
      </w:pPr>
      <w:r>
        <w:rPr>
          <w:rFonts w:ascii="宋体" w:hAnsi="宋体" w:cs="宋体" w:eastAsia="宋体" w:hint="default"/>
          <w:sz w:val="21"/>
          <w:szCs w:val="21"/>
        </w:rPr>
        <w:t>当购建或者生产符合资本化条件的资产中部分项目分别完工且可单独使用时，该部</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分资产借款费用停止资本化。</w:t>
      </w:r>
    </w:p>
    <w:p>
      <w:pPr>
        <w:spacing w:line="272" w:lineRule="exact" w:before="156"/>
        <w:ind w:left="1400" w:right="200" w:firstLine="0"/>
        <w:jc w:val="left"/>
        <w:rPr>
          <w:rFonts w:ascii="宋体" w:hAnsi="宋体" w:cs="宋体" w:eastAsia="宋体" w:hint="default"/>
          <w:sz w:val="21"/>
          <w:szCs w:val="21"/>
        </w:rPr>
      </w:pPr>
      <w:r>
        <w:rPr>
          <w:rFonts w:ascii="宋体" w:hAnsi="宋体" w:cs="宋体" w:eastAsia="宋体" w:hint="default"/>
          <w:sz w:val="21"/>
          <w:szCs w:val="21"/>
        </w:rPr>
        <w:t>购建或者生产的资产的各部分分别完工，但必须等到整体完工后才可使用或可对外</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销售的，在该资产整体完工时停止借款费用资本化。</w:t>
      </w:r>
    </w:p>
    <w:p>
      <w:pPr>
        <w:spacing w:line="240" w:lineRule="auto" w:before="8"/>
        <w:rPr>
          <w:rFonts w:ascii="宋体" w:hAnsi="宋体" w:cs="宋体" w:eastAsia="宋体" w:hint="default"/>
          <w:sz w:val="19"/>
          <w:szCs w:val="19"/>
        </w:rPr>
      </w:pPr>
    </w:p>
    <w:p>
      <w:pPr>
        <w:tabs>
          <w:tab w:pos="1396" w:val="left" w:leader="none"/>
        </w:tabs>
        <w:spacing w:before="0"/>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暂停资本化期间</w:t>
      </w:r>
    </w:p>
    <w:p>
      <w:pPr>
        <w:spacing w:line="272" w:lineRule="exact" w:before="164"/>
        <w:ind w:left="1400" w:right="101" w:firstLine="0"/>
        <w:jc w:val="left"/>
        <w:rPr>
          <w:rFonts w:ascii="宋体" w:hAnsi="宋体" w:cs="宋体" w:eastAsia="宋体" w:hint="default"/>
          <w:sz w:val="21"/>
          <w:szCs w:val="21"/>
        </w:rPr>
      </w:pPr>
      <w:r>
        <w:rPr>
          <w:rFonts w:ascii="宋体" w:hAnsi="宋体" w:cs="宋体" w:eastAsia="宋体" w:hint="default"/>
          <w:sz w:val="21"/>
          <w:szCs w:val="21"/>
        </w:rPr>
        <w:t>符合资本化条件的资产在购建或生产过程中发生的非正常中断、且中断时间连续超</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过</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个月的，则借款费用暂停资本化；该项中断如是所购建或生产的符合资本化条 </w:t>
      </w:r>
      <w:r>
        <w:rPr>
          <w:rFonts w:ascii="宋体" w:hAnsi="宋体" w:cs="宋体" w:eastAsia="宋体" w:hint="default"/>
          <w:spacing w:val="-3"/>
          <w:sz w:val="21"/>
          <w:szCs w:val="21"/>
        </w:rPr>
        <w:t>件的资产达到预定可使用状态或者可销售状态必要的程序，则借款费用继续资本化。</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在中断期间发生的借款费用确认为当期损益，直至资产的购建或者生产活动重新开</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始后借款费用继续资本化。</w:t>
      </w:r>
    </w:p>
    <w:p>
      <w:pPr>
        <w:spacing w:line="240" w:lineRule="auto" w:before="8"/>
        <w:rPr>
          <w:rFonts w:ascii="宋体" w:hAnsi="宋体" w:cs="宋体" w:eastAsia="宋体" w:hint="default"/>
          <w:sz w:val="19"/>
          <w:szCs w:val="19"/>
        </w:rPr>
      </w:pPr>
    </w:p>
    <w:p>
      <w:pPr>
        <w:tabs>
          <w:tab w:pos="1396" w:val="left" w:leader="none"/>
        </w:tabs>
        <w:spacing w:before="0"/>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tab/>
        <w:t>借款费用资本化金额的计算方法</w:t>
      </w:r>
    </w:p>
    <w:p>
      <w:pPr>
        <w:spacing w:line="272" w:lineRule="exact" w:before="164"/>
        <w:ind w:left="1400" w:right="101" w:firstLine="0"/>
        <w:jc w:val="both"/>
        <w:rPr>
          <w:rFonts w:ascii="宋体" w:hAnsi="宋体" w:cs="宋体" w:eastAsia="宋体" w:hint="default"/>
          <w:sz w:val="21"/>
          <w:szCs w:val="21"/>
        </w:rPr>
      </w:pPr>
      <w:r>
        <w:rPr>
          <w:rFonts w:ascii="宋体" w:hAnsi="宋体" w:cs="宋体" w:eastAsia="宋体" w:hint="default"/>
          <w:sz w:val="21"/>
          <w:szCs w:val="21"/>
        </w:rPr>
        <w:t>专门借款的利息费用（扣除尚未动用的借款资金存入银行取得的利息收入或者进行</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暂时性投资取得的投资收益）及其辅助费用在所购建或者生产的符合资本化条件的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资产达到预定可使用或者可销售状态前，予以资本化。</w:t>
      </w:r>
    </w:p>
    <w:p>
      <w:pPr>
        <w:spacing w:line="272" w:lineRule="exact" w:before="156"/>
        <w:ind w:left="1400" w:right="101" w:firstLine="0"/>
        <w:jc w:val="left"/>
        <w:rPr>
          <w:rFonts w:ascii="宋体" w:hAnsi="宋体" w:cs="宋体" w:eastAsia="宋体" w:hint="default"/>
          <w:sz w:val="21"/>
          <w:szCs w:val="21"/>
        </w:rPr>
      </w:pPr>
      <w:r>
        <w:rPr>
          <w:rFonts w:ascii="宋体" w:hAnsi="宋体" w:cs="宋体" w:eastAsia="宋体" w:hint="default"/>
          <w:spacing w:val="-3"/>
          <w:sz w:val="21"/>
          <w:szCs w:val="21"/>
        </w:rPr>
        <w:t>根据累计资产支出超过专门借款部分的资产支出加权平均数（按每月月末加权平均）</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乘以所占用一般借款的资本化率，计算确定一般借款应予资本化的利息金额。资本</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化率根据一般借款加权平均利率计算确定。</w:t>
      </w:r>
    </w:p>
    <w:p>
      <w:pPr>
        <w:spacing w:line="272" w:lineRule="exact" w:before="156"/>
        <w:ind w:left="1400" w:right="200" w:firstLine="0"/>
        <w:jc w:val="left"/>
        <w:rPr>
          <w:rFonts w:ascii="宋体" w:hAnsi="宋体" w:cs="宋体" w:eastAsia="宋体" w:hint="default"/>
          <w:sz w:val="21"/>
          <w:szCs w:val="21"/>
        </w:rPr>
      </w:pPr>
      <w:r>
        <w:rPr>
          <w:rFonts w:ascii="宋体" w:hAnsi="宋体" w:cs="宋体" w:eastAsia="宋体" w:hint="default"/>
          <w:sz w:val="21"/>
          <w:szCs w:val="21"/>
        </w:rPr>
        <w:t>借款存在折价或者溢价的，按照实际利率法确定每一会计期间应摊销的折价或者溢</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价金额，调整每期利息金额。</w:t>
      </w:r>
    </w:p>
    <w:p>
      <w:pPr>
        <w:spacing w:line="240" w:lineRule="auto" w:before="10"/>
        <w:rPr>
          <w:rFonts w:ascii="宋体" w:hAnsi="宋体" w:cs="宋体" w:eastAsia="宋体" w:hint="default"/>
          <w:sz w:val="21"/>
          <w:szCs w:val="21"/>
        </w:rPr>
      </w:pPr>
    </w:p>
    <w:p>
      <w:pPr>
        <w:spacing w:before="0"/>
        <w:ind w:left="125"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十七</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12"/>
          <w:sz w:val="21"/>
          <w:szCs w:val="21"/>
        </w:rPr>
        <w:t> </w:t>
      </w:r>
      <w:r>
        <w:rPr>
          <w:rFonts w:ascii="宋体" w:hAnsi="宋体" w:cs="宋体" w:eastAsia="宋体" w:hint="default"/>
          <w:sz w:val="21"/>
          <w:szCs w:val="21"/>
        </w:rPr>
        <w:t>无形资产</w:t>
      </w:r>
    </w:p>
    <w:p>
      <w:pPr>
        <w:spacing w:line="240" w:lineRule="auto" w:before="4"/>
        <w:rPr>
          <w:rFonts w:ascii="宋体" w:hAnsi="宋体" w:cs="宋体" w:eastAsia="宋体" w:hint="default"/>
          <w:sz w:val="20"/>
          <w:szCs w:val="20"/>
        </w:rPr>
      </w:pPr>
    </w:p>
    <w:p>
      <w:pPr>
        <w:tabs>
          <w:tab w:pos="1396" w:val="left" w:leader="none"/>
        </w:tabs>
        <w:spacing w:before="0"/>
        <w:ind w:left="857"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无形资产的计价方法</w:t>
      </w:r>
    </w:p>
    <w:p>
      <w:pPr>
        <w:spacing w:before="136"/>
        <w:ind w:left="1400" w:right="9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）公司取得无形资产时按成本进行初始计量；</w:t>
      </w:r>
    </w:p>
    <w:p>
      <w:pPr>
        <w:spacing w:line="272" w:lineRule="exact" w:before="165"/>
        <w:ind w:left="1400" w:right="207" w:firstLine="0"/>
        <w:jc w:val="both"/>
        <w:rPr>
          <w:rFonts w:ascii="宋体" w:hAnsi="宋体" w:cs="宋体" w:eastAsia="宋体" w:hint="default"/>
          <w:sz w:val="21"/>
          <w:szCs w:val="21"/>
        </w:rPr>
      </w:pPr>
      <w:r>
        <w:rPr>
          <w:rFonts w:ascii="宋体" w:hAnsi="宋体" w:cs="宋体" w:eastAsia="宋体" w:hint="default"/>
          <w:sz w:val="21"/>
          <w:szCs w:val="21"/>
        </w:rPr>
        <w:t>外购无形资产的成本，包括购买价款、相关税费以及直接归属于使该项资产达到预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定用途所发生的其他支出。购买无形资产的价款超过正常信用条件延期支付，实质</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上具有融资性质的，无形资产的成本以购买价款的现值为基础确定。</w:t>
      </w:r>
    </w:p>
    <w:p>
      <w:pPr>
        <w:spacing w:line="272" w:lineRule="exact" w:before="156"/>
        <w:ind w:left="1400" w:right="101" w:firstLine="0"/>
        <w:jc w:val="left"/>
        <w:rPr>
          <w:rFonts w:ascii="宋体" w:hAnsi="宋体" w:cs="宋体" w:eastAsia="宋体" w:hint="default"/>
          <w:sz w:val="21"/>
          <w:szCs w:val="21"/>
        </w:rPr>
      </w:pPr>
      <w:r>
        <w:rPr>
          <w:rFonts w:ascii="宋体" w:hAnsi="宋体" w:cs="宋体" w:eastAsia="宋体" w:hint="default"/>
          <w:sz w:val="21"/>
          <w:szCs w:val="21"/>
        </w:rPr>
        <w:t>债务重组取得债务人用以抵债的无形资产，以该无形资产的公允价值为基础确定其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3"/>
          <w:sz w:val="21"/>
          <w:szCs w:val="21"/>
        </w:rPr>
        <w:t>入账价值，并将重组债务的账面价值与该用以抵债的无形资产公允价值之间的差额，</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计入当期损益；</w:t>
      </w:r>
    </w:p>
    <w:p>
      <w:pPr>
        <w:spacing w:line="272" w:lineRule="exact" w:before="156"/>
        <w:ind w:left="1400" w:right="207" w:firstLine="0"/>
        <w:jc w:val="both"/>
        <w:rPr>
          <w:rFonts w:ascii="宋体" w:hAnsi="宋体" w:cs="宋体" w:eastAsia="宋体" w:hint="default"/>
          <w:sz w:val="21"/>
          <w:szCs w:val="21"/>
        </w:rPr>
      </w:pPr>
      <w:r>
        <w:rPr>
          <w:rFonts w:ascii="宋体" w:hAnsi="宋体" w:cs="宋体" w:eastAsia="宋体" w:hint="default"/>
          <w:sz w:val="21"/>
          <w:szCs w:val="21"/>
        </w:rPr>
        <w:t>在非货币性资产交换具备商业实质且换入资产或换出资产的公允价值能够可靠计量</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的前提下，非货币性资产交换换入的无形资产以换出资产的公允价值为基础确定其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入账价值，除非有确凿证据表明换入资产的公允价值更加可靠；不满足上述前提的</w:t>
      </w:r>
    </w:p>
    <w:p>
      <w:pPr>
        <w:spacing w:after="0" w:line="272" w:lineRule="exact"/>
        <w:jc w:val="both"/>
        <w:rPr>
          <w:rFonts w:ascii="宋体" w:hAnsi="宋体" w:cs="宋体" w:eastAsia="宋体" w:hint="default"/>
          <w:sz w:val="21"/>
          <w:szCs w:val="21"/>
        </w:rPr>
        <w:sectPr>
          <w:pgSz w:w="11900" w:h="16840"/>
          <w:pgMar w:header="883" w:footer="1003" w:top="1540" w:bottom="1200" w:left="1660" w:right="106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45.1pt;height:.5pt;mso-position-horizontal-relative:char;mso-position-vertical-relative:line" coordorigin="0,0" coordsize="8902,10">
            <v:group style="position:absolute;left:5;top:5;width:8892;height:2" coordorigin="5,5" coordsize="8892,2">
              <v:shape style="position:absolute;left:5;top:5;width:8892;height:2" coordorigin="5,5" coordsize="8892,0" path="m5,5l8897,5e" filled="false" stroked="true" strokeweight=".47998pt" strokecolor="#000000">
                <v:path arrowok="t"/>
              </v:shape>
            </v:group>
          </v:group>
        </w:pict>
      </w:r>
      <w:r>
        <w:rPr>
          <w:rFonts w:ascii="宋体" w:hAnsi="宋体" w:cs="宋体" w:eastAsia="宋体" w:hint="default"/>
          <w:sz w:val="2"/>
          <w:szCs w:val="2"/>
        </w:rPr>
      </w:r>
    </w:p>
    <w:p>
      <w:pPr>
        <w:spacing w:line="272" w:lineRule="exact" w:before="0"/>
        <w:ind w:left="1400" w:right="280" w:firstLine="0"/>
        <w:jc w:val="left"/>
        <w:rPr>
          <w:rFonts w:ascii="宋体" w:hAnsi="宋体" w:cs="宋体" w:eastAsia="宋体" w:hint="default"/>
          <w:sz w:val="21"/>
          <w:szCs w:val="21"/>
        </w:rPr>
      </w:pPr>
      <w:r>
        <w:rPr>
          <w:rFonts w:ascii="宋体" w:hAnsi="宋体" w:cs="宋体" w:eastAsia="宋体" w:hint="default"/>
          <w:sz w:val="21"/>
          <w:szCs w:val="21"/>
        </w:rPr>
        <w:t>非货币性资产交换，以换出资产的账面价值和应支付的相关税费作为换入无形资产</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的成本，不确认损益。</w:t>
      </w:r>
    </w:p>
    <w:p>
      <w:pPr>
        <w:spacing w:line="272" w:lineRule="exact" w:before="156"/>
        <w:ind w:left="1400" w:right="181" w:firstLine="0"/>
        <w:jc w:val="both"/>
        <w:rPr>
          <w:rFonts w:ascii="宋体" w:hAnsi="宋体" w:cs="宋体" w:eastAsia="宋体" w:hint="default"/>
          <w:sz w:val="21"/>
          <w:szCs w:val="21"/>
        </w:rPr>
      </w:pPr>
      <w:r>
        <w:rPr>
          <w:rFonts w:ascii="宋体" w:hAnsi="宋体" w:cs="宋体" w:eastAsia="宋体" w:hint="default"/>
          <w:sz w:val="21"/>
          <w:szCs w:val="21"/>
        </w:rPr>
        <w:t>以同一控制下的企业吸收合并方式取得的无形资产按被合并方的账面价值确定其入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账价值；以非同一控制下的企业吸收合并方式取得的无形资产按公允价值确定其入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账价值。</w:t>
      </w:r>
    </w:p>
    <w:p>
      <w:pPr>
        <w:spacing w:line="272" w:lineRule="exact" w:before="156"/>
        <w:ind w:left="1400" w:right="181" w:firstLine="0"/>
        <w:jc w:val="left"/>
        <w:rPr>
          <w:rFonts w:ascii="宋体" w:hAnsi="宋体" w:cs="宋体" w:eastAsia="宋体" w:hint="default"/>
          <w:sz w:val="21"/>
          <w:szCs w:val="21"/>
        </w:rPr>
      </w:pPr>
      <w:r>
        <w:rPr>
          <w:rFonts w:ascii="宋体" w:hAnsi="宋体" w:cs="宋体" w:eastAsia="宋体" w:hint="default"/>
          <w:spacing w:val="-3"/>
          <w:sz w:val="21"/>
          <w:szCs w:val="21"/>
        </w:rPr>
        <w:t>内部自行开发的无形资产，其成本包括：开发该无形资产时耗用的材料、劳务成本、</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注册费、在开发过程中使用的其他专利权和特许权的摊销以及满足资本化条件的利</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息费用，以及为使该无形资产达到预定用途前所发生的其他直接费用。</w:t>
      </w:r>
    </w:p>
    <w:p>
      <w:pPr>
        <w:spacing w:line="352" w:lineRule="auto" w:before="128"/>
        <w:ind w:left="1400" w:right="4060"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）后续计量 在取得无形资产时分析判断其使用寿命。</w:t>
      </w:r>
    </w:p>
    <w:p>
      <w:pPr>
        <w:spacing w:line="272" w:lineRule="exact" w:before="82"/>
        <w:ind w:left="1400" w:right="287" w:firstLine="0"/>
        <w:jc w:val="both"/>
        <w:rPr>
          <w:rFonts w:ascii="宋体" w:hAnsi="宋体" w:cs="宋体" w:eastAsia="宋体" w:hint="default"/>
          <w:sz w:val="21"/>
          <w:szCs w:val="21"/>
        </w:rPr>
      </w:pPr>
      <w:r>
        <w:rPr>
          <w:rFonts w:ascii="宋体" w:hAnsi="宋体" w:cs="宋体" w:eastAsia="宋体" w:hint="default"/>
          <w:sz w:val="21"/>
          <w:szCs w:val="21"/>
        </w:rPr>
        <w:t>对于使用寿命有限的无形资产，在为企业带来经济利益的期限内按直线法摊销；无</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法预见无形资产为企业带来经济利益期限的，视为使用寿命不确定的无形资产，不</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予摊销。</w:t>
      </w:r>
    </w:p>
    <w:p>
      <w:pPr>
        <w:spacing w:line="240" w:lineRule="auto" w:before="9"/>
        <w:rPr>
          <w:rFonts w:ascii="宋体" w:hAnsi="宋体" w:cs="宋体" w:eastAsia="宋体" w:hint="default"/>
          <w:sz w:val="19"/>
          <w:szCs w:val="19"/>
        </w:rPr>
      </w:pPr>
    </w:p>
    <w:p>
      <w:pPr>
        <w:tabs>
          <w:tab w:pos="1396" w:val="left" w:leader="none"/>
        </w:tabs>
        <w:spacing w:before="0"/>
        <w:ind w:left="857" w:right="28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使用寿命有限的无形资产的使用寿命估计情况：</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2"/>
          <w:szCs w:val="12"/>
        </w:rPr>
      </w:pPr>
    </w:p>
    <w:tbl>
      <w:tblPr>
        <w:tblW w:w="0" w:type="auto"/>
        <w:jc w:val="left"/>
        <w:tblInd w:w="843" w:type="dxa"/>
        <w:tblLayout w:type="fixed"/>
        <w:tblCellMar>
          <w:top w:w="0" w:type="dxa"/>
          <w:left w:w="0" w:type="dxa"/>
          <w:bottom w:w="0" w:type="dxa"/>
          <w:right w:w="0" w:type="dxa"/>
        </w:tblCellMar>
        <w:tblLook w:val="01E0"/>
      </w:tblPr>
      <w:tblGrid>
        <w:gridCol w:w="2730"/>
        <w:gridCol w:w="2470"/>
        <w:gridCol w:w="3029"/>
      </w:tblGrid>
      <w:tr>
        <w:trPr>
          <w:trHeight w:val="356" w:hRule="exact"/>
        </w:trPr>
        <w:tc>
          <w:tcPr>
            <w:tcW w:w="2730" w:type="dxa"/>
            <w:tcBorders>
              <w:top w:val="single" w:sz="4" w:space="0" w:color="000000"/>
              <w:left w:val="nil" w:sz="6" w:space="0" w:color="auto"/>
              <w:bottom w:val="nil" w:sz="6" w:space="0" w:color="auto"/>
              <w:right w:val="nil" w:sz="6" w:space="0" w:color="auto"/>
            </w:tcBorders>
          </w:tcPr>
          <w:p>
            <w:pPr>
              <w:pStyle w:val="TableParagraph"/>
              <w:spacing w:line="273" w:lineRule="exact"/>
              <w:ind w:left="14" w:right="0"/>
              <w:jc w:val="left"/>
              <w:rPr>
                <w:rFonts w:ascii="宋体" w:hAnsi="宋体" w:cs="宋体" w:eastAsia="宋体" w:hint="default"/>
                <w:sz w:val="21"/>
                <w:szCs w:val="21"/>
              </w:rPr>
            </w:pPr>
            <w:r>
              <w:rPr>
                <w:rFonts w:ascii="宋体" w:hAnsi="宋体" w:cs="宋体" w:eastAsia="宋体" w:hint="default"/>
                <w:sz w:val="21"/>
                <w:szCs w:val="21"/>
              </w:rPr>
              <w:t>项  目</w:t>
            </w:r>
          </w:p>
        </w:tc>
        <w:tc>
          <w:tcPr>
            <w:tcW w:w="2470" w:type="dxa"/>
            <w:tcBorders>
              <w:top w:val="single" w:sz="4" w:space="0" w:color="000000"/>
              <w:left w:val="nil" w:sz="6" w:space="0" w:color="auto"/>
              <w:bottom w:val="nil" w:sz="6" w:space="0" w:color="auto"/>
              <w:right w:val="nil" w:sz="6" w:space="0" w:color="auto"/>
            </w:tcBorders>
          </w:tcPr>
          <w:p>
            <w:pPr>
              <w:pStyle w:val="TableParagraph"/>
              <w:spacing w:line="273" w:lineRule="exact"/>
              <w:ind w:right="113"/>
              <w:jc w:val="right"/>
              <w:rPr>
                <w:rFonts w:ascii="宋体" w:hAnsi="宋体" w:cs="宋体" w:eastAsia="宋体" w:hint="default"/>
                <w:sz w:val="21"/>
                <w:szCs w:val="21"/>
              </w:rPr>
            </w:pPr>
            <w:r>
              <w:rPr>
                <w:rFonts w:ascii="宋体" w:hAnsi="宋体" w:cs="宋体" w:eastAsia="宋体" w:hint="default"/>
                <w:sz w:val="21"/>
                <w:szCs w:val="21"/>
              </w:rPr>
              <w:t>预计使用寿命</w:t>
            </w:r>
          </w:p>
        </w:tc>
        <w:tc>
          <w:tcPr>
            <w:tcW w:w="3029" w:type="dxa"/>
            <w:tcBorders>
              <w:top w:val="single" w:sz="4" w:space="0" w:color="000000"/>
              <w:left w:val="nil" w:sz="6" w:space="0" w:color="auto"/>
              <w:bottom w:val="nil" w:sz="6" w:space="0" w:color="auto"/>
              <w:right w:val="nil" w:sz="6" w:space="0" w:color="auto"/>
            </w:tcBorders>
          </w:tcPr>
          <w:p>
            <w:pPr>
              <w:pStyle w:val="TableParagraph"/>
              <w:tabs>
                <w:tab w:pos="421" w:val="left" w:leader="none"/>
              </w:tabs>
              <w:spacing w:line="273" w:lineRule="exact"/>
              <w:ind w:right="33"/>
              <w:jc w:val="right"/>
              <w:rPr>
                <w:rFonts w:ascii="宋体" w:hAnsi="宋体" w:cs="宋体" w:eastAsia="宋体" w:hint="default"/>
                <w:sz w:val="21"/>
                <w:szCs w:val="21"/>
              </w:rPr>
            </w:pPr>
            <w:r>
              <w:rPr>
                <w:rFonts w:ascii="宋体" w:hAnsi="宋体" w:cs="宋体" w:eastAsia="宋体" w:hint="default"/>
                <w:sz w:val="21"/>
                <w:szCs w:val="21"/>
              </w:rPr>
              <w:t>依</w:t>
              <w:tab/>
              <w:t>据</w:t>
            </w:r>
          </w:p>
        </w:tc>
      </w:tr>
      <w:tr>
        <w:trPr>
          <w:trHeight w:val="348" w:hRule="exact"/>
        </w:trPr>
        <w:tc>
          <w:tcPr>
            <w:tcW w:w="273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4"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24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2"/>
              <w:jc w:val="right"/>
              <w:rPr>
                <w:rFonts w:ascii="宋体" w:hAnsi="宋体" w:cs="宋体" w:eastAsia="宋体" w:hint="default"/>
                <w:sz w:val="18"/>
                <w:szCs w:val="18"/>
              </w:rPr>
            </w:pPr>
            <w:r>
              <w:rPr>
                <w:rFonts w:ascii="Times New Roman" w:hAnsi="Times New Roman" w:cs="Times New Roman" w:eastAsia="Times New Roman" w:hint="default"/>
                <w:sz w:val="18"/>
                <w:szCs w:val="18"/>
              </w:rPr>
              <w:t>40-50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02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3"/>
              <w:jc w:val="right"/>
              <w:rPr>
                <w:rFonts w:ascii="宋体" w:hAnsi="宋体" w:cs="宋体" w:eastAsia="宋体" w:hint="default"/>
                <w:sz w:val="18"/>
                <w:szCs w:val="18"/>
              </w:rPr>
            </w:pPr>
            <w:r>
              <w:rPr>
                <w:rFonts w:ascii="宋体" w:hAnsi="宋体" w:cs="宋体" w:eastAsia="宋体" w:hint="default"/>
                <w:sz w:val="18"/>
                <w:szCs w:val="18"/>
              </w:rPr>
              <w:t>按照土地使用证可使用年限</w:t>
            </w:r>
          </w:p>
        </w:tc>
      </w:tr>
      <w:tr>
        <w:trPr>
          <w:trHeight w:val="350" w:hRule="exact"/>
        </w:trPr>
        <w:tc>
          <w:tcPr>
            <w:tcW w:w="273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4" w:right="0"/>
              <w:jc w:val="left"/>
              <w:rPr>
                <w:rFonts w:ascii="宋体" w:hAnsi="宋体" w:cs="宋体" w:eastAsia="宋体" w:hint="default"/>
                <w:sz w:val="18"/>
                <w:szCs w:val="18"/>
              </w:rPr>
            </w:pPr>
            <w:r>
              <w:rPr>
                <w:rFonts w:ascii="宋体" w:hAnsi="宋体" w:cs="宋体" w:eastAsia="宋体" w:hint="default"/>
                <w:sz w:val="18"/>
                <w:szCs w:val="18"/>
              </w:rPr>
              <w:t>房屋使用权</w:t>
            </w:r>
          </w:p>
        </w:tc>
        <w:tc>
          <w:tcPr>
            <w:tcW w:w="247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2"/>
              <w:jc w:val="right"/>
              <w:rPr>
                <w:rFonts w:ascii="宋体" w:hAnsi="宋体" w:cs="宋体" w:eastAsia="宋体" w:hint="default"/>
                <w:sz w:val="18"/>
                <w:szCs w:val="18"/>
              </w:rPr>
            </w:pP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0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18"/>
                <w:szCs w:val="18"/>
              </w:rPr>
            </w:pPr>
            <w:r>
              <w:rPr>
                <w:rFonts w:ascii="宋体" w:hAnsi="宋体" w:cs="宋体" w:eastAsia="宋体" w:hint="default"/>
                <w:sz w:val="18"/>
                <w:szCs w:val="18"/>
              </w:rPr>
              <w:t>房屋使用合同或协议规定的使用年限</w:t>
            </w:r>
          </w:p>
        </w:tc>
      </w:tr>
      <w:tr>
        <w:trPr>
          <w:trHeight w:val="350" w:hRule="exact"/>
        </w:trPr>
        <w:tc>
          <w:tcPr>
            <w:tcW w:w="273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4" w:right="0"/>
              <w:jc w:val="left"/>
              <w:rPr>
                <w:rFonts w:ascii="宋体" w:hAnsi="宋体" w:cs="宋体" w:eastAsia="宋体" w:hint="default"/>
                <w:sz w:val="18"/>
                <w:szCs w:val="18"/>
              </w:rPr>
            </w:pPr>
            <w:r>
              <w:rPr>
                <w:rFonts w:ascii="宋体" w:hAnsi="宋体" w:cs="宋体" w:eastAsia="宋体" w:hint="default"/>
                <w:sz w:val="18"/>
                <w:szCs w:val="18"/>
              </w:rPr>
              <w:t>工业产权及专有技术</w:t>
            </w:r>
          </w:p>
        </w:tc>
        <w:tc>
          <w:tcPr>
            <w:tcW w:w="247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2"/>
              <w:jc w:val="righ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0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18"/>
                <w:szCs w:val="18"/>
              </w:rPr>
            </w:pPr>
            <w:r>
              <w:rPr>
                <w:rFonts w:ascii="宋体" w:hAnsi="宋体" w:cs="宋体" w:eastAsia="宋体" w:hint="default"/>
                <w:sz w:val="18"/>
                <w:szCs w:val="18"/>
              </w:rPr>
              <w:t>按相关合同或预计的可使用年限</w:t>
            </w:r>
          </w:p>
        </w:tc>
      </w:tr>
      <w:tr>
        <w:trPr>
          <w:trHeight w:val="348" w:hRule="exact"/>
        </w:trPr>
        <w:tc>
          <w:tcPr>
            <w:tcW w:w="2730" w:type="dxa"/>
            <w:tcBorders>
              <w:top w:val="nil" w:sz="6" w:space="0" w:color="auto"/>
              <w:left w:val="nil" w:sz="6" w:space="0" w:color="auto"/>
              <w:bottom w:val="single" w:sz="4" w:space="0" w:color="000000"/>
              <w:right w:val="nil" w:sz="6" w:space="0" w:color="auto"/>
            </w:tcBorders>
          </w:tcPr>
          <w:p>
            <w:pPr>
              <w:pStyle w:val="TableParagraph"/>
              <w:spacing w:line="240" w:lineRule="auto" w:before="24"/>
              <w:ind w:left="14" w:right="0"/>
              <w:jc w:val="left"/>
              <w:rPr>
                <w:rFonts w:ascii="宋体" w:hAnsi="宋体" w:cs="宋体" w:eastAsia="宋体" w:hint="default"/>
                <w:sz w:val="18"/>
                <w:szCs w:val="18"/>
              </w:rPr>
            </w:pPr>
            <w:r>
              <w:rPr>
                <w:rFonts w:ascii="宋体" w:hAnsi="宋体" w:cs="宋体" w:eastAsia="宋体" w:hint="default"/>
                <w:sz w:val="18"/>
                <w:szCs w:val="18"/>
              </w:rPr>
              <w:t>其他无形资产</w:t>
            </w:r>
          </w:p>
        </w:tc>
        <w:tc>
          <w:tcPr>
            <w:tcW w:w="2470" w:type="dxa"/>
            <w:tcBorders>
              <w:top w:val="nil" w:sz="6" w:space="0" w:color="auto"/>
              <w:left w:val="nil" w:sz="6" w:space="0" w:color="auto"/>
              <w:bottom w:val="single" w:sz="4" w:space="0" w:color="000000"/>
              <w:right w:val="nil" w:sz="6" w:space="0" w:color="auto"/>
            </w:tcBorders>
          </w:tcPr>
          <w:p>
            <w:pPr>
              <w:pStyle w:val="TableParagraph"/>
              <w:spacing w:line="240" w:lineRule="auto" w:before="24"/>
              <w:ind w:right="112"/>
              <w:jc w:val="right"/>
              <w:rPr>
                <w:rFonts w:ascii="宋体" w:hAnsi="宋体" w:cs="宋体" w:eastAsia="宋体" w:hint="default"/>
                <w:sz w:val="18"/>
                <w:szCs w:val="18"/>
              </w:rPr>
            </w:pPr>
            <w:r>
              <w:rPr>
                <w:rFonts w:ascii="Times New Roman" w:hAnsi="Times New Roman" w:cs="Times New Roman" w:eastAsia="Times New Roman" w:hint="default"/>
                <w:sz w:val="18"/>
                <w:szCs w:val="18"/>
              </w:rPr>
              <w:t>5-10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029" w:type="dxa"/>
            <w:tcBorders>
              <w:top w:val="nil" w:sz="6" w:space="0" w:color="auto"/>
              <w:left w:val="nil" w:sz="6" w:space="0" w:color="auto"/>
              <w:bottom w:val="single" w:sz="4" w:space="0" w:color="000000"/>
              <w:right w:val="nil" w:sz="6" w:space="0" w:color="auto"/>
            </w:tcBorders>
          </w:tcPr>
          <w:p>
            <w:pPr>
              <w:pStyle w:val="TableParagraph"/>
              <w:spacing w:line="240" w:lineRule="auto" w:before="24"/>
              <w:ind w:right="33"/>
              <w:jc w:val="right"/>
              <w:rPr>
                <w:rFonts w:ascii="宋体" w:hAnsi="宋体" w:cs="宋体" w:eastAsia="宋体" w:hint="default"/>
                <w:sz w:val="18"/>
                <w:szCs w:val="18"/>
              </w:rPr>
            </w:pPr>
            <w:r>
              <w:rPr>
                <w:rFonts w:ascii="宋体" w:hAnsi="宋体" w:cs="宋体" w:eastAsia="宋体" w:hint="default"/>
                <w:sz w:val="18"/>
                <w:szCs w:val="18"/>
              </w:rPr>
              <w:t>按相关合同或预计的可使用年限</w:t>
            </w:r>
          </w:p>
        </w:tc>
      </w:tr>
    </w:tbl>
    <w:p>
      <w:pPr>
        <w:spacing w:line="240" w:lineRule="auto" w:before="2"/>
        <w:rPr>
          <w:rFonts w:ascii="宋体" w:hAnsi="宋体" w:cs="宋体" w:eastAsia="宋体" w:hint="default"/>
          <w:sz w:val="6"/>
          <w:szCs w:val="6"/>
        </w:rPr>
      </w:pPr>
    </w:p>
    <w:p>
      <w:pPr>
        <w:spacing w:line="374" w:lineRule="auto" w:before="35"/>
        <w:ind w:left="1400" w:right="1120" w:firstLine="0"/>
        <w:jc w:val="left"/>
        <w:rPr>
          <w:rFonts w:ascii="宋体" w:hAnsi="宋体" w:cs="宋体" w:eastAsia="宋体" w:hint="default"/>
          <w:sz w:val="21"/>
          <w:szCs w:val="21"/>
        </w:rPr>
      </w:pPr>
      <w:r>
        <w:rPr/>
        <w:pict>
          <v:shape style="position:absolute;margin-left:125.87999pt;margin-top:-91.826363pt;width:413.323467pt;height:86.88pt;mso-position-horizontal-relative:page;mso-position-vertical-relative:paragraph;z-index:-995992" type="#_x0000_t75" stroked="false">
            <v:imagedata r:id="rId31" o:title=""/>
          </v:shape>
        </w:pict>
      </w:r>
      <w:r>
        <w:rPr>
          <w:rFonts w:ascii="宋体" w:hAnsi="宋体" w:cs="宋体" w:eastAsia="宋体" w:hint="default"/>
          <w:sz w:val="21"/>
          <w:szCs w:val="21"/>
        </w:rPr>
        <w:t>每期末，对使用寿命有限的无形资产的使用寿命及摊销方法进行复核。 经复核，本年期末无形资产的使用寿命及摊销方法与以前估计未有不同。</w:t>
      </w:r>
    </w:p>
    <w:p>
      <w:pPr>
        <w:tabs>
          <w:tab w:pos="1396" w:val="left" w:leader="none"/>
        </w:tabs>
        <w:spacing w:line="362" w:lineRule="auto" w:before="164"/>
        <w:ind w:left="1400" w:right="287"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无形资产减值准备的计提</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对于使用寿命确定的无形资产，如有明显减值迹象的，期末进行减值测试。 对于使用寿命不确定的无形资产，每期末进行减值测试。</w:t>
      </w:r>
    </w:p>
    <w:p>
      <w:pPr>
        <w:spacing w:line="272" w:lineRule="exact" w:before="74"/>
        <w:ind w:left="1400" w:right="282" w:firstLine="0"/>
        <w:jc w:val="both"/>
        <w:rPr>
          <w:rFonts w:ascii="宋体" w:hAnsi="宋体" w:cs="宋体" w:eastAsia="宋体" w:hint="default"/>
          <w:sz w:val="21"/>
          <w:szCs w:val="21"/>
        </w:rPr>
      </w:pPr>
      <w:r>
        <w:rPr>
          <w:rFonts w:ascii="宋体" w:hAnsi="宋体" w:cs="宋体" w:eastAsia="宋体" w:hint="default"/>
          <w:sz w:val="21"/>
          <w:szCs w:val="21"/>
        </w:rPr>
        <w:t>对无形资产进行减值测试，估计其可收回金额。可收回金额根据无形资产的公允价</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6"/>
          <w:sz w:val="21"/>
          <w:szCs w:val="21"/>
        </w:rPr>
        <w:t>值减去处置费用后的净额与无形资产预计未来现金流量的现值两者之间较高者确</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定。</w:t>
      </w:r>
    </w:p>
    <w:p>
      <w:pPr>
        <w:spacing w:line="272" w:lineRule="exact" w:before="156"/>
        <w:ind w:left="1400" w:right="287" w:firstLine="0"/>
        <w:jc w:val="both"/>
        <w:rPr>
          <w:rFonts w:ascii="宋体" w:hAnsi="宋体" w:cs="宋体" w:eastAsia="宋体" w:hint="default"/>
          <w:sz w:val="21"/>
          <w:szCs w:val="21"/>
        </w:rPr>
      </w:pPr>
      <w:r>
        <w:rPr>
          <w:rFonts w:ascii="宋体" w:hAnsi="宋体" w:cs="宋体" w:eastAsia="宋体" w:hint="default"/>
          <w:sz w:val="21"/>
          <w:szCs w:val="21"/>
        </w:rPr>
        <w:t>当无形资产的可收回金额低于其账面价值的，将无形资产的账面价值减记至可收回</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金额，减记的金额确认为无形资产减值损失，计入当期损益，同时计提相应的无形</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资产减值准备。</w:t>
      </w:r>
    </w:p>
    <w:p>
      <w:pPr>
        <w:spacing w:line="272" w:lineRule="exact" w:before="156"/>
        <w:ind w:left="1400" w:right="286" w:firstLine="0"/>
        <w:jc w:val="both"/>
        <w:rPr>
          <w:rFonts w:ascii="宋体" w:hAnsi="宋体" w:cs="宋体" w:eastAsia="宋体" w:hint="default"/>
          <w:sz w:val="21"/>
          <w:szCs w:val="21"/>
        </w:rPr>
      </w:pPr>
      <w:r>
        <w:rPr>
          <w:rFonts w:ascii="宋体" w:hAnsi="宋体" w:cs="宋体" w:eastAsia="宋体" w:hint="default"/>
          <w:sz w:val="21"/>
          <w:szCs w:val="21"/>
        </w:rPr>
        <w:t>无形资产减值损失确认后，减值无形资产的折耗或者摊销费用在未来期间作相应调</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6"/>
          <w:sz w:val="21"/>
          <w:szCs w:val="21"/>
        </w:rPr>
        <w:t>整，以使该无形资产在剩余使用寿命内，系统地分摊调整后的无形资产账面价值（扣</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4"/>
          <w:sz w:val="21"/>
          <w:szCs w:val="21"/>
        </w:rPr>
        <w:t>除预计净残值）。</w:t>
      </w:r>
    </w:p>
    <w:p>
      <w:pPr>
        <w:spacing w:before="128"/>
        <w:ind w:left="1400" w:right="0" w:firstLine="0"/>
        <w:jc w:val="both"/>
        <w:rPr>
          <w:rFonts w:ascii="宋体" w:hAnsi="宋体" w:cs="宋体" w:eastAsia="宋体" w:hint="default"/>
          <w:sz w:val="21"/>
          <w:szCs w:val="21"/>
        </w:rPr>
      </w:pPr>
      <w:r>
        <w:rPr>
          <w:rFonts w:ascii="宋体" w:hAnsi="宋体" w:cs="宋体" w:eastAsia="宋体" w:hint="default"/>
          <w:sz w:val="21"/>
          <w:szCs w:val="21"/>
        </w:rPr>
        <w:t>无形资产的减值损失一经确认，在以后会计期间不再转回。</w:t>
      </w:r>
    </w:p>
    <w:p>
      <w:pPr>
        <w:spacing w:line="237" w:lineRule="auto" w:before="156"/>
        <w:ind w:left="1400" w:right="287" w:firstLine="0"/>
        <w:jc w:val="both"/>
        <w:rPr>
          <w:rFonts w:ascii="宋体" w:hAnsi="宋体" w:cs="宋体" w:eastAsia="宋体" w:hint="default"/>
          <w:sz w:val="21"/>
          <w:szCs w:val="21"/>
        </w:rPr>
      </w:pPr>
      <w:r>
        <w:rPr>
          <w:rFonts w:ascii="宋体" w:hAnsi="宋体" w:cs="宋体" w:eastAsia="宋体" w:hint="default"/>
          <w:sz w:val="21"/>
          <w:szCs w:val="21"/>
        </w:rPr>
        <w:t>有迹象表明一项无形资产可能发生减值的，公司以单项无形资产为基础估计其可收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回金额。公司难以对单项资产的可收回金额进行估计的，以该无形资产所属的资产</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组为基础确定无形资产组的可收回金额。</w:t>
      </w:r>
    </w:p>
    <w:p>
      <w:pPr>
        <w:spacing w:after="0" w:line="237" w:lineRule="auto"/>
        <w:jc w:val="both"/>
        <w:rPr>
          <w:rFonts w:ascii="宋体" w:hAnsi="宋体" w:cs="宋体" w:eastAsia="宋体" w:hint="default"/>
          <w:sz w:val="21"/>
          <w:szCs w:val="21"/>
        </w:rPr>
        <w:sectPr>
          <w:pgSz w:w="11900" w:h="16840"/>
          <w:pgMar w:header="883" w:footer="1003" w:top="1540" w:bottom="1200" w:left="1660" w:right="98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45.1pt;height:.5pt;mso-position-horizontal-relative:char;mso-position-vertical-relative:line" coordorigin="0,0" coordsize="8902,10">
            <v:group style="position:absolute;left:5;top:5;width:8892;height:2" coordorigin="5,5" coordsize="8892,2">
              <v:shape style="position:absolute;left:5;top:5;width:8892;height:2" coordorigin="5,5" coordsize="8892,0" path="m5,5l8897,5e" filled="false" stroked="true" strokeweight=".47998pt" strokecolor="#000000">
                <v:path arrowok="t"/>
              </v:shape>
            </v:group>
          </v:group>
        </w:pict>
      </w:r>
      <w:r>
        <w:rPr>
          <w:rFonts w:ascii="宋体" w:hAnsi="宋体" w:cs="宋体" w:eastAsia="宋体" w:hint="default"/>
          <w:sz w:val="2"/>
          <w:szCs w:val="2"/>
        </w:rPr>
      </w:r>
    </w:p>
    <w:p>
      <w:pPr>
        <w:tabs>
          <w:tab w:pos="1396" w:val="left" w:leader="none"/>
        </w:tabs>
        <w:spacing w:before="82"/>
        <w:ind w:left="857"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tab/>
        <w:t>划分公司内部研究开发项目的研究阶段和开发阶段具体标准</w:t>
      </w:r>
    </w:p>
    <w:p>
      <w:pPr>
        <w:spacing w:line="272" w:lineRule="exact" w:before="165"/>
        <w:ind w:left="1400" w:right="140" w:firstLine="0"/>
        <w:jc w:val="left"/>
        <w:rPr>
          <w:rFonts w:ascii="宋体" w:hAnsi="宋体" w:cs="宋体" w:eastAsia="宋体" w:hint="default"/>
          <w:sz w:val="21"/>
          <w:szCs w:val="21"/>
        </w:rPr>
      </w:pPr>
      <w:r>
        <w:rPr>
          <w:rFonts w:ascii="宋体" w:hAnsi="宋体" w:cs="宋体" w:eastAsia="宋体" w:hint="default"/>
          <w:sz w:val="21"/>
          <w:szCs w:val="21"/>
        </w:rPr>
        <w:t>研究阶段：为获取并理解新的科学或技术知识等而进行的独创性的有计划调查、研</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究活动的阶段。</w:t>
      </w:r>
    </w:p>
    <w:p>
      <w:pPr>
        <w:spacing w:line="272" w:lineRule="exact" w:before="156"/>
        <w:ind w:left="1400" w:right="140" w:firstLine="0"/>
        <w:jc w:val="left"/>
        <w:rPr>
          <w:rFonts w:ascii="宋体" w:hAnsi="宋体" w:cs="宋体" w:eastAsia="宋体" w:hint="default"/>
          <w:sz w:val="21"/>
          <w:szCs w:val="21"/>
        </w:rPr>
      </w:pPr>
      <w:r>
        <w:rPr>
          <w:rFonts w:ascii="宋体" w:hAnsi="宋体" w:cs="宋体" w:eastAsia="宋体" w:hint="default"/>
          <w:sz w:val="21"/>
          <w:szCs w:val="21"/>
        </w:rPr>
        <w:t>开发阶段：在进行商业性生产或使用前，将研究成果或其他知识应用于某项计划或</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设计，以生产出新的或具有实质性改进的材料、装置、产品等活动的阶段。</w:t>
      </w:r>
    </w:p>
    <w:p>
      <w:pPr>
        <w:spacing w:line="240" w:lineRule="auto" w:before="8"/>
        <w:rPr>
          <w:rFonts w:ascii="宋体" w:hAnsi="宋体" w:cs="宋体" w:eastAsia="宋体" w:hint="default"/>
          <w:sz w:val="19"/>
          <w:szCs w:val="19"/>
        </w:rPr>
      </w:pPr>
    </w:p>
    <w:p>
      <w:pPr>
        <w:tabs>
          <w:tab w:pos="1396" w:val="left" w:leader="none"/>
        </w:tabs>
        <w:spacing w:line="352" w:lineRule="auto" w:before="0"/>
        <w:ind w:left="1396" w:right="2049" w:hanging="539"/>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sz w:val="21"/>
          <w:szCs w:val="21"/>
        </w:rPr>
        <w:t>、</w:t>
        <w:tab/>
        <w:t>研究开发项目开支的核算</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内部研究开发项目研究阶段的支出，在发生时计入当期损益。</w:t>
      </w:r>
    </w:p>
    <w:p>
      <w:pPr>
        <w:spacing w:line="240" w:lineRule="auto" w:before="0"/>
        <w:rPr>
          <w:rFonts w:ascii="宋体" w:hAnsi="宋体" w:cs="宋体" w:eastAsia="宋体" w:hint="default"/>
          <w:sz w:val="14"/>
          <w:szCs w:val="14"/>
        </w:rPr>
      </w:pPr>
    </w:p>
    <w:p>
      <w:pPr>
        <w:spacing w:line="372" w:lineRule="auto" w:before="0"/>
        <w:ind w:left="1399" w:right="141" w:hanging="4"/>
        <w:jc w:val="left"/>
        <w:rPr>
          <w:rFonts w:ascii="宋体" w:hAnsi="宋体" w:cs="宋体" w:eastAsia="宋体" w:hint="default"/>
          <w:sz w:val="21"/>
          <w:szCs w:val="21"/>
        </w:rPr>
      </w:pPr>
      <w:r>
        <w:rPr>
          <w:rFonts w:ascii="宋体" w:hAnsi="宋体" w:cs="宋体" w:eastAsia="宋体" w:hint="default"/>
          <w:sz w:val="21"/>
          <w:szCs w:val="21"/>
        </w:rPr>
        <w:t>开发阶段支出符合资本化的具体标准： 内部研究开发项目开发阶段的支出，同时满足下列资本化条件时确认为无形资产：</w:t>
      </w:r>
    </w:p>
    <w:p>
      <w:pPr>
        <w:spacing w:before="38"/>
        <w:ind w:left="1399"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）完成该无形资产以使其能够使用或出售在技术上具有可行性；</w:t>
      </w:r>
    </w:p>
    <w:p>
      <w:pPr>
        <w:spacing w:before="137"/>
        <w:ind w:left="1400"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）具有完成该无形资产并使用或出售的意图；</w:t>
      </w:r>
    </w:p>
    <w:p>
      <w:pPr>
        <w:spacing w:line="272" w:lineRule="exact" w:before="165"/>
        <w:ind w:left="1400" w:right="131" w:firstLine="0"/>
        <w:jc w:val="left"/>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3</w:t>
      </w:r>
      <w:r>
        <w:rPr>
          <w:rFonts w:ascii="宋体" w:hAnsi="宋体" w:cs="宋体" w:eastAsia="宋体" w:hint="default"/>
          <w:spacing w:val="-3"/>
          <w:sz w:val="21"/>
          <w:szCs w:val="21"/>
        </w:rPr>
        <w:t>）无形资产产生经济利益的方式，包括能够证明运用该无形资产生产的产品存在</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市场或无形资产自身存在市场，无形资产将在内部使用的，能够证明其有用性；</w:t>
      </w:r>
    </w:p>
    <w:p>
      <w:pPr>
        <w:spacing w:line="272" w:lineRule="exact" w:before="156"/>
        <w:ind w:left="1400" w:right="131" w:firstLine="0"/>
        <w:jc w:val="left"/>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4</w:t>
      </w:r>
      <w:r>
        <w:rPr>
          <w:rFonts w:ascii="宋体" w:hAnsi="宋体" w:cs="宋体" w:eastAsia="宋体" w:hint="default"/>
          <w:spacing w:val="-3"/>
          <w:sz w:val="21"/>
          <w:szCs w:val="21"/>
        </w:rPr>
        <w:t>）有足够的技术、财务资源和其他资源支持，以完成该无形资产的开发，并有能</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力使用或出售该无形资产；</w:t>
      </w:r>
    </w:p>
    <w:p>
      <w:pPr>
        <w:spacing w:line="352" w:lineRule="auto" w:before="128"/>
        <w:ind w:left="1400" w:right="2346"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）归属于该无形资产开发阶段的支出能够可靠地计量。 不符合资本化条件的开发支出计入当期损益。</w:t>
      </w:r>
    </w:p>
    <w:p>
      <w:pPr>
        <w:spacing w:line="240" w:lineRule="auto" w:before="0"/>
        <w:rPr>
          <w:rFonts w:ascii="宋体" w:hAnsi="宋体" w:cs="宋体" w:eastAsia="宋体" w:hint="default"/>
          <w:sz w:val="14"/>
          <w:szCs w:val="14"/>
        </w:rPr>
      </w:pPr>
    </w:p>
    <w:p>
      <w:pPr>
        <w:tabs>
          <w:tab w:pos="1385" w:val="left" w:leader="none"/>
        </w:tabs>
        <w:spacing w:before="0"/>
        <w:ind w:left="857"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sz w:val="21"/>
          <w:szCs w:val="21"/>
        </w:rPr>
        <w:t>、</w:t>
        <w:tab/>
        <w:t>其他说明</w:t>
      </w:r>
    </w:p>
    <w:p>
      <w:pPr>
        <w:spacing w:line="272" w:lineRule="exact" w:before="164"/>
        <w:ind w:left="1400" w:right="145"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2002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日至</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日间利用土地建造自用项目时，将相关土地使 用权的账面价值于建造开始时转入在建工程核算；若尚未开始建造相关工程时，在</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无形资产项下核算并开始摊销。本集团于</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5"/>
          <w:sz w:val="21"/>
          <w:szCs w:val="21"/>
        </w:rPr>
        <w:t> </w:t>
      </w:r>
      <w:r>
        <w:rPr>
          <w:rFonts w:ascii="宋体" w:hAnsi="宋体" w:cs="宋体" w:eastAsia="宋体" w:hint="default"/>
          <w:spacing w:val="-6"/>
          <w:sz w:val="21"/>
          <w:szCs w:val="21"/>
        </w:rPr>
        <w:t>日，对已计入房屋、建筑物</w:t>
      </w:r>
      <w:r>
        <w:rPr>
          <w:rFonts w:ascii="宋体" w:hAnsi="宋体" w:cs="宋体" w:eastAsia="宋体" w:hint="default"/>
          <w:sz w:val="21"/>
          <w:szCs w:val="21"/>
        </w:rPr>
        <w:t> 成本中的土地使用权，如符合无形资产准则规定可单独确认为无形资产的，从原资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5"/>
          <w:sz w:val="21"/>
          <w:szCs w:val="21"/>
        </w:rPr>
        <w:t>产的账面价值中分离，作为无形资产单独列报。自</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日起利用土地建造 自用项目时，相关土地使用权的账面价值单独在无形资产中核算。</w:t>
      </w:r>
    </w:p>
    <w:p>
      <w:pPr>
        <w:spacing w:line="240" w:lineRule="auto" w:before="10"/>
        <w:rPr>
          <w:rFonts w:ascii="宋体" w:hAnsi="宋体" w:cs="宋体" w:eastAsia="宋体" w:hint="default"/>
          <w:sz w:val="21"/>
          <w:szCs w:val="21"/>
        </w:rPr>
      </w:pPr>
    </w:p>
    <w:p>
      <w:pPr>
        <w:spacing w:before="0"/>
        <w:ind w:left="125"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十八</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11"/>
          <w:sz w:val="21"/>
          <w:szCs w:val="21"/>
        </w:rPr>
        <w:t> </w:t>
      </w:r>
      <w:r>
        <w:rPr>
          <w:rFonts w:ascii="宋体" w:hAnsi="宋体" w:cs="宋体" w:eastAsia="宋体" w:hint="default"/>
          <w:sz w:val="21"/>
          <w:szCs w:val="21"/>
        </w:rPr>
        <w:t>长期待摊费用</w:t>
      </w:r>
    </w:p>
    <w:p>
      <w:pPr>
        <w:spacing w:line="232" w:lineRule="auto" w:before="145"/>
        <w:ind w:left="995" w:right="144" w:firstLine="0"/>
        <w:jc w:val="both"/>
        <w:rPr>
          <w:rFonts w:ascii="宋体" w:hAnsi="宋体" w:cs="宋体" w:eastAsia="宋体" w:hint="default"/>
          <w:sz w:val="21"/>
          <w:szCs w:val="21"/>
        </w:rPr>
      </w:pPr>
      <w:r>
        <w:rPr>
          <w:rFonts w:ascii="宋体" w:hAnsi="宋体" w:cs="宋体" w:eastAsia="宋体" w:hint="default"/>
          <w:spacing w:val="-1"/>
          <w:sz w:val="21"/>
          <w:szCs w:val="21"/>
        </w:rPr>
        <w:t>长期待摊费用包括装修费、经营租入固定资产改良支出等已经支出但摊销期限在一年以</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上</w:t>
      </w:r>
      <w:r>
        <w:rPr>
          <w:rFonts w:ascii="Times New Roman" w:hAnsi="Times New Roman" w:cs="Times New Roman" w:eastAsia="Times New Roman" w:hint="default"/>
          <w:sz w:val="21"/>
          <w:szCs w:val="21"/>
        </w:rPr>
        <w:t>(</w:t>
      </w:r>
      <w:r>
        <w:rPr>
          <w:rFonts w:ascii="宋体" w:hAnsi="宋体" w:cs="宋体" w:eastAsia="宋体" w:hint="default"/>
          <w:sz w:val="21"/>
          <w:szCs w:val="21"/>
        </w:rPr>
        <w:t>不含一年</w:t>
      </w:r>
      <w:r>
        <w:rPr>
          <w:rFonts w:ascii="Times New Roman" w:hAnsi="Times New Roman" w:cs="Times New Roman" w:eastAsia="Times New Roman" w:hint="default"/>
          <w:sz w:val="21"/>
          <w:szCs w:val="21"/>
        </w:rPr>
        <w:t>)</w:t>
      </w:r>
      <w:r>
        <w:rPr>
          <w:rFonts w:ascii="宋体" w:hAnsi="宋体" w:cs="宋体" w:eastAsia="宋体" w:hint="default"/>
          <w:sz w:val="21"/>
          <w:szCs w:val="21"/>
        </w:rPr>
        <w:t>的各项费用，按预计受益期间分期平均摊销，并以实际支出减去累计摊销</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pacing w:val="-1"/>
          <w:sz w:val="21"/>
          <w:szCs w:val="21"/>
        </w:rPr>
        <w:t>后的净额列示。如果长期待摊费用不能使以后会计期间受益的，将尚未摊销的该项目的</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摊余价值全部转入当期损益。</w:t>
      </w:r>
    </w:p>
    <w:p>
      <w:pPr>
        <w:spacing w:line="240" w:lineRule="auto" w:before="10"/>
        <w:rPr>
          <w:rFonts w:ascii="宋体" w:hAnsi="宋体" w:cs="宋体" w:eastAsia="宋体" w:hint="default"/>
          <w:sz w:val="23"/>
          <w:szCs w:val="23"/>
        </w:rPr>
      </w:pPr>
    </w:p>
    <w:p>
      <w:pPr>
        <w:spacing w:before="0"/>
        <w:ind w:left="125"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十九</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12"/>
          <w:sz w:val="21"/>
          <w:szCs w:val="21"/>
        </w:rPr>
        <w:t> </w:t>
      </w:r>
      <w:r>
        <w:rPr>
          <w:rFonts w:ascii="宋体" w:hAnsi="宋体" w:cs="宋体" w:eastAsia="宋体" w:hint="default"/>
          <w:sz w:val="21"/>
          <w:szCs w:val="21"/>
        </w:rPr>
        <w:t>预计负债</w:t>
      </w:r>
    </w:p>
    <w:p>
      <w:pPr>
        <w:spacing w:before="137"/>
        <w:ind w:left="995" w:right="0" w:firstLine="0"/>
        <w:jc w:val="both"/>
        <w:rPr>
          <w:rFonts w:ascii="宋体" w:hAnsi="宋体" w:cs="宋体" w:eastAsia="宋体" w:hint="default"/>
          <w:sz w:val="21"/>
          <w:szCs w:val="21"/>
        </w:rPr>
      </w:pPr>
      <w:r>
        <w:rPr>
          <w:rFonts w:ascii="宋体" w:hAnsi="宋体" w:cs="宋体" w:eastAsia="宋体" w:hint="default"/>
          <w:sz w:val="21"/>
          <w:szCs w:val="21"/>
        </w:rPr>
        <w:t>如果与或有事项相关的义务同时符合以下条件，本集团及将其确认为预计负债：</w:t>
      </w:r>
    </w:p>
    <w:p>
      <w:pPr>
        <w:spacing w:before="153"/>
        <w:ind w:left="995"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、该义务是本集团承担的现时义务；</w:t>
      </w:r>
    </w:p>
    <w:p>
      <w:pPr>
        <w:spacing w:before="137"/>
        <w:ind w:left="995"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、该义务的履行很可能导致经济利益流出本集团；</w:t>
      </w:r>
    </w:p>
    <w:p>
      <w:pPr>
        <w:spacing w:line="352" w:lineRule="auto" w:before="137"/>
        <w:ind w:left="995" w:right="145"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、该义务的金额能够可靠地计量。 </w:t>
      </w:r>
      <w:r>
        <w:rPr>
          <w:rFonts w:ascii="宋体" w:hAnsi="宋体" w:cs="宋体" w:eastAsia="宋体" w:hint="default"/>
          <w:spacing w:val="-1"/>
          <w:sz w:val="21"/>
          <w:szCs w:val="21"/>
        </w:rPr>
        <w:t>本集团预计负债主要是很可能发生的产品质量保证形成的负债。本集团依照以往的经验</w:t>
      </w:r>
    </w:p>
    <w:p>
      <w:pPr>
        <w:spacing w:after="0" w:line="352" w:lineRule="auto"/>
        <w:jc w:val="both"/>
        <w:rPr>
          <w:rFonts w:ascii="宋体" w:hAnsi="宋体" w:cs="宋体" w:eastAsia="宋体" w:hint="default"/>
          <w:sz w:val="21"/>
          <w:szCs w:val="21"/>
        </w:rPr>
        <w:sectPr>
          <w:pgSz w:w="11900" w:h="16840"/>
          <w:pgMar w:header="883" w:footer="1003" w:top="1540" w:bottom="1200" w:left="1660" w:right="112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45.1pt;height:.5pt;mso-position-horizontal-relative:char;mso-position-vertical-relative:line" coordorigin="0,0" coordsize="8902,10">
            <v:group style="position:absolute;left:5;top:5;width:8892;height:2" coordorigin="5,5" coordsize="8892,2">
              <v:shape style="position:absolute;left:5;top:5;width:8892;height:2" coordorigin="5,5" coordsize="8892,0" path="m5,5l8897,5e" filled="false" stroked="true" strokeweight=".47998pt" strokecolor="#000000">
                <v:path arrowok="t"/>
              </v:shape>
            </v:group>
          </v:group>
        </w:pict>
      </w:r>
      <w:r>
        <w:rPr>
          <w:rFonts w:ascii="宋体" w:hAnsi="宋体" w:cs="宋体" w:eastAsia="宋体" w:hint="default"/>
          <w:sz w:val="2"/>
          <w:szCs w:val="2"/>
        </w:rPr>
      </w:r>
    </w:p>
    <w:p>
      <w:pPr>
        <w:spacing w:line="272" w:lineRule="exact" w:before="0"/>
        <w:ind w:left="995" w:right="198" w:firstLine="0"/>
        <w:jc w:val="both"/>
        <w:rPr>
          <w:rFonts w:ascii="宋体" w:hAnsi="宋体" w:cs="宋体" w:eastAsia="宋体" w:hint="default"/>
          <w:sz w:val="21"/>
          <w:szCs w:val="21"/>
        </w:rPr>
      </w:pPr>
      <w:r>
        <w:rPr>
          <w:rFonts w:ascii="宋体" w:hAnsi="宋体" w:cs="宋体" w:eastAsia="宋体" w:hint="default"/>
          <w:spacing w:val="5"/>
          <w:sz w:val="21"/>
          <w:szCs w:val="21"/>
        </w:rPr>
        <w:t>对保质期间所发生的人工及差旅等成本和费用依营业收入的一定比例计算预计负债金</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额。产品质量保证的硬件部分在保质期间一般由原供货商负责。</w:t>
      </w:r>
    </w:p>
    <w:p>
      <w:pPr>
        <w:spacing w:before="128"/>
        <w:ind w:left="125"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10"/>
          <w:sz w:val="21"/>
          <w:szCs w:val="21"/>
        </w:rPr>
        <w:t> </w:t>
      </w:r>
      <w:r>
        <w:rPr>
          <w:rFonts w:ascii="宋体" w:hAnsi="宋体" w:cs="宋体" w:eastAsia="宋体" w:hint="default"/>
          <w:sz w:val="21"/>
          <w:szCs w:val="21"/>
        </w:rPr>
        <w:t>收入</w:t>
      </w:r>
    </w:p>
    <w:p>
      <w:pPr>
        <w:spacing w:line="272" w:lineRule="exact" w:before="165"/>
        <w:ind w:left="995" w:right="204" w:firstLine="0"/>
        <w:jc w:val="both"/>
        <w:rPr>
          <w:rFonts w:ascii="宋体" w:hAnsi="宋体" w:cs="宋体" w:eastAsia="宋体" w:hint="default"/>
          <w:sz w:val="21"/>
          <w:szCs w:val="21"/>
        </w:rPr>
      </w:pPr>
      <w:r>
        <w:rPr>
          <w:rFonts w:ascii="宋体" w:hAnsi="宋体" w:cs="宋体" w:eastAsia="宋体" w:hint="default"/>
          <w:spacing w:val="-1"/>
          <w:sz w:val="21"/>
          <w:szCs w:val="21"/>
        </w:rPr>
        <w:t>本集团业务收入主要包括系统集成合同收入、软件产品销售收入、医疗系统产品销售收</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pacing w:val="-1"/>
          <w:sz w:val="21"/>
          <w:szCs w:val="21"/>
        </w:rPr>
        <w:t>入、软件开发及其他劳务收入、物业服务及租金收入、广告收入等。业务收入以扣除销</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售折扣后之净额列示。</w:t>
      </w:r>
    </w:p>
    <w:p>
      <w:pPr>
        <w:spacing w:before="128"/>
        <w:ind w:left="995" w:right="0" w:firstLine="0"/>
        <w:jc w:val="both"/>
        <w:rPr>
          <w:rFonts w:ascii="宋体" w:hAnsi="宋体" w:cs="宋体" w:eastAsia="宋体" w:hint="default"/>
          <w:sz w:val="21"/>
          <w:szCs w:val="21"/>
        </w:rPr>
      </w:pPr>
      <w:r>
        <w:rPr>
          <w:rFonts w:ascii="宋体" w:hAnsi="宋体" w:cs="宋体" w:eastAsia="宋体" w:hint="default"/>
          <w:sz w:val="21"/>
          <w:szCs w:val="21"/>
        </w:rPr>
        <w:t>各项收入确认的基础如下：</w:t>
      </w:r>
    </w:p>
    <w:p>
      <w:pPr>
        <w:spacing w:before="153"/>
        <w:ind w:left="995"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r>
      <w:r>
        <w:rPr>
          <w:rFonts w:ascii="宋体" w:hAnsi="宋体" w:cs="宋体" w:eastAsia="宋体" w:hint="default"/>
          <w:spacing w:val="5"/>
          <w:sz w:val="21"/>
          <w:szCs w:val="21"/>
        </w:rPr>
        <w:t> </w:t>
      </w:r>
      <w:r>
        <w:rPr>
          <w:rFonts w:ascii="宋体" w:hAnsi="宋体" w:cs="宋体" w:eastAsia="宋体" w:hint="default"/>
          <w:sz w:val="21"/>
          <w:szCs w:val="21"/>
        </w:rPr>
        <w:t>系统集成合同收入</w:t>
      </w:r>
    </w:p>
    <w:p>
      <w:pPr>
        <w:spacing w:line="272" w:lineRule="exact" w:before="165"/>
        <w:ind w:left="1399" w:right="95" w:firstLine="0"/>
        <w:jc w:val="left"/>
        <w:rPr>
          <w:rFonts w:ascii="宋体" w:hAnsi="宋体" w:cs="宋体" w:eastAsia="宋体" w:hint="default"/>
          <w:sz w:val="21"/>
          <w:szCs w:val="21"/>
        </w:rPr>
      </w:pPr>
      <w:r>
        <w:rPr>
          <w:rFonts w:ascii="宋体" w:hAnsi="宋体" w:cs="宋体" w:eastAsia="宋体" w:hint="default"/>
          <w:spacing w:val="-3"/>
          <w:sz w:val="21"/>
          <w:szCs w:val="21"/>
        </w:rPr>
        <w:t>根据建造合同准则，本集团对于在建的系统集成开发项目按完工百分比法确认收入。</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当一系统集成开发项目合同的最终结果能可靠地估计时，则根据完工百分比法在资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产负债表日确认该合同项目的收入与费用。完工进度依据已完成的合同工作量占合</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同预计总工作量的比例衡量。</w:t>
      </w:r>
    </w:p>
    <w:p>
      <w:pPr>
        <w:spacing w:before="128"/>
        <w:ind w:left="1399" w:right="0" w:firstLine="0"/>
        <w:jc w:val="both"/>
        <w:rPr>
          <w:rFonts w:ascii="宋体" w:hAnsi="宋体" w:cs="宋体" w:eastAsia="宋体" w:hint="default"/>
          <w:sz w:val="21"/>
          <w:szCs w:val="21"/>
        </w:rPr>
      </w:pPr>
      <w:r>
        <w:rPr>
          <w:rFonts w:ascii="宋体" w:hAnsi="宋体" w:cs="宋体" w:eastAsia="宋体" w:hint="default"/>
          <w:sz w:val="21"/>
          <w:szCs w:val="21"/>
        </w:rPr>
        <w:t>如果合同的最终结果不能可靠地估计，则区别下列情况处理：</w:t>
      </w:r>
    </w:p>
    <w:p>
      <w:pPr>
        <w:spacing w:line="240" w:lineRule="auto" w:before="11"/>
        <w:rPr>
          <w:rFonts w:ascii="宋体" w:hAnsi="宋体" w:cs="宋体" w:eastAsia="宋体" w:hint="default"/>
          <w:sz w:val="13"/>
          <w:szCs w:val="13"/>
        </w:rPr>
      </w:pPr>
    </w:p>
    <w:p>
      <w:pPr>
        <w:spacing w:line="272" w:lineRule="exact" w:before="0"/>
        <w:ind w:left="1400" w:right="204" w:hanging="1"/>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8"/>
          <w:sz w:val="21"/>
          <w:szCs w:val="21"/>
        </w:rPr>
        <w:t> </w:t>
      </w:r>
      <w:r>
        <w:rPr>
          <w:rFonts w:ascii="宋体" w:hAnsi="宋体" w:cs="宋体" w:eastAsia="宋体" w:hint="default"/>
          <w:sz w:val="21"/>
          <w:szCs w:val="21"/>
        </w:rPr>
        <w:t>合同成本能够收回的，合同销售收入根据能够收回的实际合同成本加以确</w:t>
      </w:r>
      <w:r>
        <w:rPr>
          <w:rFonts w:ascii="宋体" w:hAnsi="宋体" w:cs="宋体" w:eastAsia="宋体" w:hint="default"/>
          <w:sz w:val="21"/>
          <w:szCs w:val="21"/>
        </w:rPr>
        <w:t> 认，合同成本则在其发生的当年度确认为费用；</w:t>
      </w:r>
    </w:p>
    <w:p>
      <w:pPr>
        <w:spacing w:line="272" w:lineRule="exact" w:before="155"/>
        <w:ind w:left="1400" w:right="204" w:hanging="1"/>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8"/>
          <w:sz w:val="21"/>
          <w:szCs w:val="21"/>
        </w:rPr>
        <w:t> </w:t>
      </w:r>
      <w:r>
        <w:rPr>
          <w:rFonts w:ascii="宋体" w:hAnsi="宋体" w:cs="宋体" w:eastAsia="宋体" w:hint="default"/>
          <w:sz w:val="21"/>
          <w:szCs w:val="21"/>
        </w:rPr>
        <w:t>合同成本不能收回的，则在发生时立即确认为当年度费用，不确认合同销</w:t>
      </w:r>
      <w:r>
        <w:rPr>
          <w:rFonts w:ascii="宋体" w:hAnsi="宋体" w:cs="宋体" w:eastAsia="宋体" w:hint="default"/>
          <w:sz w:val="21"/>
          <w:szCs w:val="21"/>
        </w:rPr>
        <w:t> 售收入。</w:t>
      </w:r>
    </w:p>
    <w:p>
      <w:pPr>
        <w:spacing w:line="272" w:lineRule="exact" w:before="156"/>
        <w:ind w:left="1400" w:right="207" w:firstLine="0"/>
        <w:jc w:val="both"/>
        <w:rPr>
          <w:rFonts w:ascii="宋体" w:hAnsi="宋体" w:cs="宋体" w:eastAsia="宋体" w:hint="default"/>
          <w:sz w:val="21"/>
          <w:szCs w:val="21"/>
        </w:rPr>
      </w:pPr>
      <w:r>
        <w:rPr>
          <w:rFonts w:ascii="宋体" w:hAnsi="宋体" w:cs="宋体" w:eastAsia="宋体" w:hint="default"/>
          <w:sz w:val="21"/>
          <w:szCs w:val="21"/>
        </w:rPr>
        <w:t>在资产负债表日，按照合同总收入乘以完工进度扣除以前会计期间累计已确认收入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后的金额，确认为当期合同收入；同时，按照累计实际发生的合同成本扣除以前会</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计期间累计已确认费用后的金额，确认为当期合同费用。合同预计总成本超过合同</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总收入的，   </w:t>
      </w:r>
    </w:p>
    <w:p>
      <w:pPr>
        <w:spacing w:before="128"/>
        <w:ind w:left="1400" w:right="0" w:firstLine="0"/>
        <w:jc w:val="both"/>
        <w:rPr>
          <w:rFonts w:ascii="宋体" w:hAnsi="宋体" w:cs="宋体" w:eastAsia="宋体" w:hint="default"/>
          <w:sz w:val="21"/>
          <w:szCs w:val="21"/>
        </w:rPr>
      </w:pPr>
      <w:r>
        <w:rPr>
          <w:rFonts w:ascii="宋体" w:hAnsi="宋体" w:cs="宋体" w:eastAsia="宋体" w:hint="default"/>
          <w:sz w:val="21"/>
          <w:szCs w:val="21"/>
        </w:rPr>
        <w:t>将预计损失确认为当期费用。</w:t>
      </w:r>
    </w:p>
    <w:p>
      <w:pPr>
        <w:spacing w:before="153"/>
        <w:ind w:left="995"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r>
      <w:r>
        <w:rPr>
          <w:rFonts w:ascii="宋体" w:hAnsi="宋体" w:cs="宋体" w:eastAsia="宋体" w:hint="default"/>
          <w:spacing w:val="5"/>
          <w:sz w:val="21"/>
          <w:szCs w:val="21"/>
        </w:rPr>
        <w:t> </w:t>
      </w:r>
      <w:r>
        <w:rPr>
          <w:rFonts w:ascii="宋体" w:hAnsi="宋体" w:cs="宋体" w:eastAsia="宋体" w:hint="default"/>
          <w:sz w:val="21"/>
          <w:szCs w:val="21"/>
        </w:rPr>
        <w:t>软件产品销售收入</w:t>
      </w:r>
    </w:p>
    <w:p>
      <w:pPr>
        <w:spacing w:line="272" w:lineRule="exact" w:before="165"/>
        <w:ind w:left="1400" w:right="207" w:firstLine="0"/>
        <w:jc w:val="both"/>
        <w:rPr>
          <w:rFonts w:ascii="宋体" w:hAnsi="宋体" w:cs="宋体" w:eastAsia="宋体" w:hint="default"/>
          <w:sz w:val="21"/>
          <w:szCs w:val="21"/>
        </w:rPr>
      </w:pPr>
      <w:r>
        <w:rPr>
          <w:rFonts w:ascii="宋体" w:hAnsi="宋体" w:cs="宋体" w:eastAsia="宋体" w:hint="default"/>
          <w:sz w:val="21"/>
          <w:szCs w:val="21"/>
        </w:rPr>
        <w:t>软件产品的销售收入在已将软件产品所有权上的主要风险和报酬转移给购货方，并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且不再对该产品实施继续管理和控制，与交易相关的经济利益能够流入本集团，相</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关的收入和成本能够可靠计量时确认销售收入的实现。</w:t>
      </w:r>
    </w:p>
    <w:p>
      <w:pPr>
        <w:spacing w:before="128"/>
        <w:ind w:left="995"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r>
      <w:r>
        <w:rPr>
          <w:rFonts w:ascii="宋体" w:hAnsi="宋体" w:cs="宋体" w:eastAsia="宋体" w:hint="default"/>
          <w:spacing w:val="5"/>
          <w:sz w:val="21"/>
          <w:szCs w:val="21"/>
        </w:rPr>
        <w:t> </w:t>
      </w:r>
      <w:r>
        <w:rPr>
          <w:rFonts w:ascii="宋体" w:hAnsi="宋体" w:cs="宋体" w:eastAsia="宋体" w:hint="default"/>
          <w:sz w:val="21"/>
          <w:szCs w:val="21"/>
        </w:rPr>
        <w:t>医疗系统产品销售收入</w:t>
      </w:r>
    </w:p>
    <w:p>
      <w:pPr>
        <w:spacing w:line="272" w:lineRule="exact" w:before="165"/>
        <w:ind w:left="1400" w:right="207" w:firstLine="0"/>
        <w:jc w:val="both"/>
        <w:rPr>
          <w:rFonts w:ascii="宋体" w:hAnsi="宋体" w:cs="宋体" w:eastAsia="宋体" w:hint="default"/>
          <w:sz w:val="21"/>
          <w:szCs w:val="21"/>
        </w:rPr>
      </w:pPr>
      <w:r>
        <w:rPr>
          <w:rFonts w:ascii="宋体" w:hAnsi="宋体" w:cs="宋体" w:eastAsia="宋体" w:hint="default"/>
          <w:sz w:val="21"/>
          <w:szCs w:val="21"/>
        </w:rPr>
        <w:t>医疗系统产品的销售收入于医疗系统产品的安装调试工作完成并将主要的风险及报</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酬转移给客户后予以确认。</w:t>
      </w:r>
    </w:p>
    <w:p>
      <w:pPr>
        <w:spacing w:before="128"/>
        <w:ind w:left="995"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劳务收入</w:t>
      </w:r>
    </w:p>
    <w:p>
      <w:pPr>
        <w:spacing w:line="374" w:lineRule="auto" w:before="137"/>
        <w:ind w:left="1400" w:right="101" w:firstLine="0"/>
        <w:jc w:val="left"/>
        <w:rPr>
          <w:rFonts w:ascii="宋体" w:hAnsi="宋体" w:cs="宋体" w:eastAsia="宋体" w:hint="default"/>
          <w:sz w:val="21"/>
          <w:szCs w:val="21"/>
        </w:rPr>
      </w:pPr>
      <w:r>
        <w:rPr>
          <w:rFonts w:ascii="宋体" w:hAnsi="宋体" w:cs="宋体" w:eastAsia="宋体" w:hint="default"/>
          <w:spacing w:val="-3"/>
          <w:sz w:val="21"/>
          <w:szCs w:val="21"/>
        </w:rPr>
        <w:t>劳务收入包括为客户订制软件、软件维护、软件升级、培训及网页制作等劳务收入。</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在同一会计年度内开始并完成的劳务，在完成劳务时确认收入。</w:t>
      </w:r>
    </w:p>
    <w:p>
      <w:pPr>
        <w:spacing w:line="272" w:lineRule="exact" w:before="63"/>
        <w:ind w:left="1400" w:right="207" w:firstLine="0"/>
        <w:jc w:val="both"/>
        <w:rPr>
          <w:rFonts w:ascii="宋体" w:hAnsi="宋体" w:cs="宋体" w:eastAsia="宋体" w:hint="default"/>
          <w:sz w:val="21"/>
          <w:szCs w:val="21"/>
        </w:rPr>
      </w:pPr>
      <w:r>
        <w:rPr>
          <w:rFonts w:ascii="宋体" w:hAnsi="宋体" w:cs="宋体" w:eastAsia="宋体" w:hint="default"/>
          <w:sz w:val="21"/>
          <w:szCs w:val="21"/>
        </w:rPr>
        <w:t>如劳务的开始和完成分属不同的会计年度，在提供劳务交易的结果能够可靠估计的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情况下，在资产负债表日按完工百分比法确认相关的劳务收入。</w:t>
      </w:r>
    </w:p>
    <w:p>
      <w:pPr>
        <w:spacing w:line="237" w:lineRule="auto" w:before="131"/>
        <w:ind w:left="1400" w:right="207" w:firstLine="0"/>
        <w:jc w:val="both"/>
        <w:rPr>
          <w:rFonts w:ascii="宋体" w:hAnsi="宋体" w:cs="宋体" w:eastAsia="宋体" w:hint="default"/>
          <w:sz w:val="21"/>
          <w:szCs w:val="21"/>
        </w:rPr>
      </w:pPr>
      <w:r>
        <w:rPr>
          <w:rFonts w:ascii="宋体" w:hAnsi="宋体" w:cs="宋体" w:eastAsia="宋体" w:hint="default"/>
          <w:sz w:val="21"/>
          <w:szCs w:val="21"/>
        </w:rPr>
        <w:t>本集团为客户订制软件的劳务，其开始和完成通常分属不同的会计年度，且提供劳</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务结果能够可靠估计，因此在资产负债表日，采用完工百分比法确认劳务收入。完</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工程度按制作软件已花费的工时占预计总工时的比例确定。</w:t>
      </w:r>
    </w:p>
    <w:p>
      <w:pPr>
        <w:spacing w:before="154"/>
        <w:ind w:left="995"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sz w:val="21"/>
          <w:szCs w:val="21"/>
        </w:rPr>
        <w:t>、</w:t>
      </w:r>
      <w:r>
        <w:rPr>
          <w:rFonts w:ascii="宋体" w:hAnsi="宋体" w:cs="宋体" w:eastAsia="宋体" w:hint="default"/>
          <w:spacing w:val="5"/>
          <w:sz w:val="21"/>
          <w:szCs w:val="21"/>
        </w:rPr>
        <w:t> </w:t>
      </w:r>
      <w:r>
        <w:rPr>
          <w:rFonts w:ascii="宋体" w:hAnsi="宋体" w:cs="宋体" w:eastAsia="宋体" w:hint="default"/>
          <w:sz w:val="21"/>
          <w:szCs w:val="21"/>
        </w:rPr>
        <w:t>物业服务及租金收入</w:t>
      </w:r>
    </w:p>
    <w:p>
      <w:pPr>
        <w:spacing w:after="0"/>
        <w:jc w:val="both"/>
        <w:rPr>
          <w:rFonts w:ascii="宋体" w:hAnsi="宋体" w:cs="宋体" w:eastAsia="宋体" w:hint="default"/>
          <w:sz w:val="21"/>
          <w:szCs w:val="21"/>
        </w:rPr>
        <w:sectPr>
          <w:pgSz w:w="11900" w:h="16840"/>
          <w:pgMar w:header="883" w:footer="1003" w:top="1540" w:bottom="1200" w:left="1660" w:right="1060"/>
        </w:sectPr>
      </w:pPr>
    </w:p>
    <w:p>
      <w:pPr>
        <w:spacing w:before="21"/>
        <w:ind w:left="1400" w:right="0" w:firstLine="0"/>
        <w:jc w:val="both"/>
        <w:rPr>
          <w:rFonts w:ascii="宋体" w:hAnsi="宋体" w:cs="宋体" w:eastAsia="宋体" w:hint="default"/>
          <w:sz w:val="21"/>
          <w:szCs w:val="21"/>
        </w:rPr>
      </w:pPr>
      <w:r>
        <w:rPr/>
        <w:pict>
          <v:group style="position:absolute;margin-left:88.5pt;margin-top:2.574009pt;width:444.6pt;height:.1pt;mso-position-horizontal-relative:page;mso-position-vertical-relative:paragraph;z-index:-995920" coordorigin="1770,51" coordsize="8892,2">
            <v:shape style="position:absolute;left:1770;top:51;width:8892;height:2" coordorigin="1770,51" coordsize="8892,0" path="m1770,51l10662,51e" filled="false" stroked="true" strokeweight=".47998pt" strokecolor="#000000">
              <v:path arrowok="t"/>
            </v:shape>
            <w10:wrap type="none"/>
          </v:group>
        </w:pict>
      </w:r>
      <w:r>
        <w:rPr>
          <w:rFonts w:ascii="宋体" w:hAnsi="宋体" w:cs="宋体" w:eastAsia="宋体" w:hint="default"/>
          <w:sz w:val="21"/>
          <w:szCs w:val="21"/>
        </w:rPr>
        <w:t>物业服务及租金收入采用直线法在租赁期内确认。</w:t>
      </w:r>
    </w:p>
    <w:p>
      <w:pPr>
        <w:spacing w:before="153"/>
        <w:ind w:left="995"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广告收入</w:t>
      </w:r>
    </w:p>
    <w:p>
      <w:pPr>
        <w:spacing w:line="272" w:lineRule="exact" w:before="165"/>
        <w:ind w:left="1400" w:right="147" w:firstLine="0"/>
        <w:jc w:val="both"/>
        <w:rPr>
          <w:rFonts w:ascii="宋体" w:hAnsi="宋体" w:cs="宋体" w:eastAsia="宋体" w:hint="default"/>
          <w:sz w:val="21"/>
          <w:szCs w:val="21"/>
        </w:rPr>
      </w:pPr>
      <w:r>
        <w:rPr>
          <w:rFonts w:ascii="宋体" w:hAnsi="宋体" w:cs="宋体" w:eastAsia="宋体" w:hint="default"/>
          <w:sz w:val="21"/>
          <w:szCs w:val="21"/>
        </w:rPr>
        <w:t>广告收入包括广告媒介代理收入和广告制作收入，广告媒介代理收入于广告播出时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确认，广告制作收入按照进度确认。</w:t>
      </w:r>
    </w:p>
    <w:p>
      <w:pPr>
        <w:spacing w:line="240" w:lineRule="auto" w:before="10"/>
        <w:rPr>
          <w:rFonts w:ascii="宋体" w:hAnsi="宋体" w:cs="宋体" w:eastAsia="宋体" w:hint="default"/>
          <w:sz w:val="21"/>
          <w:szCs w:val="21"/>
        </w:rPr>
      </w:pPr>
    </w:p>
    <w:p>
      <w:pPr>
        <w:tabs>
          <w:tab w:pos="1399" w:val="left" w:leader="none"/>
        </w:tabs>
        <w:spacing w:before="0"/>
        <w:ind w:left="125"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二十一</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政府补助</w:t>
      </w:r>
    </w:p>
    <w:p>
      <w:pPr>
        <w:spacing w:line="240" w:lineRule="auto" w:before="4"/>
        <w:rPr>
          <w:rFonts w:ascii="宋体" w:hAnsi="宋体" w:cs="宋体" w:eastAsia="宋体" w:hint="default"/>
          <w:sz w:val="20"/>
          <w:szCs w:val="20"/>
        </w:rPr>
      </w:pPr>
    </w:p>
    <w:p>
      <w:pPr>
        <w:spacing w:before="0"/>
        <w:ind w:left="980"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r>
      <w:r>
        <w:rPr>
          <w:rFonts w:ascii="宋体" w:hAnsi="宋体" w:cs="宋体" w:eastAsia="宋体" w:hint="default"/>
          <w:spacing w:val="-4"/>
          <w:sz w:val="21"/>
          <w:szCs w:val="21"/>
        </w:rPr>
        <w:t> </w:t>
      </w:r>
      <w:r>
        <w:rPr>
          <w:rFonts w:ascii="宋体" w:hAnsi="宋体" w:cs="宋体" w:eastAsia="宋体" w:hint="default"/>
          <w:sz w:val="21"/>
          <w:szCs w:val="21"/>
        </w:rPr>
        <w:t>类型</w:t>
      </w:r>
    </w:p>
    <w:p>
      <w:pPr>
        <w:spacing w:line="272" w:lineRule="exact" w:before="164"/>
        <w:ind w:left="1400" w:right="147" w:firstLine="0"/>
        <w:jc w:val="both"/>
        <w:rPr>
          <w:rFonts w:ascii="宋体" w:hAnsi="宋体" w:cs="宋体" w:eastAsia="宋体" w:hint="default"/>
          <w:sz w:val="21"/>
          <w:szCs w:val="21"/>
        </w:rPr>
      </w:pPr>
      <w:r>
        <w:rPr>
          <w:rFonts w:ascii="宋体" w:hAnsi="宋体" w:cs="宋体" w:eastAsia="宋体" w:hint="default"/>
          <w:sz w:val="21"/>
          <w:szCs w:val="21"/>
        </w:rPr>
        <w:t>政府补助，是本集团从政府无偿取得的货币性资产与非货币性资产。分为与资产相</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关的政府补助和与收益相关的政府补助。</w:t>
      </w:r>
    </w:p>
    <w:p>
      <w:pPr>
        <w:spacing w:line="240" w:lineRule="auto" w:before="8"/>
        <w:rPr>
          <w:rFonts w:ascii="宋体" w:hAnsi="宋体" w:cs="宋体" w:eastAsia="宋体" w:hint="default"/>
          <w:sz w:val="19"/>
          <w:szCs w:val="19"/>
        </w:rPr>
      </w:pPr>
    </w:p>
    <w:p>
      <w:pPr>
        <w:spacing w:before="0"/>
        <w:ind w:left="1007"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r>
      <w:r>
        <w:rPr>
          <w:rFonts w:ascii="宋体" w:hAnsi="宋体" w:cs="宋体" w:eastAsia="宋体" w:hint="default"/>
          <w:spacing w:val="-34"/>
          <w:sz w:val="21"/>
          <w:szCs w:val="21"/>
        </w:rPr>
        <w:t> </w:t>
      </w:r>
      <w:r>
        <w:rPr>
          <w:rFonts w:ascii="宋体" w:hAnsi="宋体" w:cs="宋体" w:eastAsia="宋体" w:hint="default"/>
          <w:sz w:val="21"/>
          <w:szCs w:val="21"/>
        </w:rPr>
        <w:t>会计处理方法</w:t>
      </w:r>
    </w:p>
    <w:p>
      <w:pPr>
        <w:spacing w:line="272" w:lineRule="exact" w:before="165"/>
        <w:ind w:left="1400" w:right="147" w:firstLine="0"/>
        <w:jc w:val="both"/>
        <w:rPr>
          <w:rFonts w:ascii="宋体" w:hAnsi="宋体" w:cs="宋体" w:eastAsia="宋体" w:hint="default"/>
          <w:sz w:val="21"/>
          <w:szCs w:val="21"/>
        </w:rPr>
      </w:pPr>
      <w:r>
        <w:rPr>
          <w:rFonts w:ascii="宋体" w:hAnsi="宋体" w:cs="宋体" w:eastAsia="宋体" w:hint="default"/>
          <w:sz w:val="21"/>
          <w:szCs w:val="21"/>
        </w:rPr>
        <w:t>与购建固定资产、无形资产等长期资产相关的政府补助，确认为递延收益，按照所</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建造或购买的资产使用年限分期计入营业外收入；</w:t>
      </w:r>
    </w:p>
    <w:p>
      <w:pPr>
        <w:spacing w:line="272" w:lineRule="exact" w:before="156"/>
        <w:ind w:left="1400" w:right="147" w:firstLine="0"/>
        <w:jc w:val="both"/>
        <w:rPr>
          <w:rFonts w:ascii="宋体" w:hAnsi="宋体" w:cs="宋体" w:eastAsia="宋体" w:hint="default"/>
          <w:sz w:val="21"/>
          <w:szCs w:val="21"/>
        </w:rPr>
      </w:pPr>
      <w:r>
        <w:rPr>
          <w:rFonts w:ascii="宋体" w:hAnsi="宋体" w:cs="宋体" w:eastAsia="宋体" w:hint="default"/>
          <w:sz w:val="21"/>
          <w:szCs w:val="21"/>
        </w:rPr>
        <w:t>与收益相关的政府补助，用于补偿企业以后期间的相关费用或损失的，取得时确认</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为递延收益，在确认相关费用的期间计入当期营业外收入；用于补偿企业已发生的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相关费用或损失的，取得时直接计入当期营业外收入。</w:t>
      </w:r>
    </w:p>
    <w:p>
      <w:pPr>
        <w:spacing w:line="240" w:lineRule="auto" w:before="10"/>
        <w:rPr>
          <w:rFonts w:ascii="宋体" w:hAnsi="宋体" w:cs="宋体" w:eastAsia="宋体" w:hint="default"/>
          <w:sz w:val="21"/>
          <w:szCs w:val="21"/>
        </w:rPr>
      </w:pPr>
    </w:p>
    <w:p>
      <w:pPr>
        <w:tabs>
          <w:tab w:pos="1399" w:val="left" w:leader="none"/>
        </w:tabs>
        <w:spacing w:before="0"/>
        <w:ind w:left="125"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二十二</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递延所得税资产和递延所得税负债</w:t>
      </w:r>
    </w:p>
    <w:p>
      <w:pPr>
        <w:spacing w:line="240" w:lineRule="auto" w:before="4"/>
        <w:rPr>
          <w:rFonts w:ascii="宋体" w:hAnsi="宋体" w:cs="宋体" w:eastAsia="宋体" w:hint="default"/>
          <w:sz w:val="20"/>
          <w:szCs w:val="20"/>
        </w:rPr>
      </w:pPr>
    </w:p>
    <w:p>
      <w:pPr>
        <w:spacing w:before="0"/>
        <w:ind w:left="1007"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r>
      <w:r>
        <w:rPr>
          <w:rFonts w:ascii="宋体" w:hAnsi="宋体" w:cs="宋体" w:eastAsia="宋体" w:hint="default"/>
          <w:spacing w:val="-30"/>
          <w:sz w:val="21"/>
          <w:szCs w:val="21"/>
        </w:rPr>
        <w:t> </w:t>
      </w:r>
      <w:r>
        <w:rPr>
          <w:rFonts w:ascii="宋体" w:hAnsi="宋体" w:cs="宋体" w:eastAsia="宋体" w:hint="default"/>
          <w:sz w:val="21"/>
          <w:szCs w:val="21"/>
        </w:rPr>
        <w:t>确认递延所得税资产的依据</w:t>
      </w:r>
    </w:p>
    <w:p>
      <w:pPr>
        <w:spacing w:line="272" w:lineRule="exact" w:before="165"/>
        <w:ind w:left="1399" w:right="147" w:firstLine="0"/>
        <w:jc w:val="both"/>
        <w:rPr>
          <w:rFonts w:ascii="宋体" w:hAnsi="宋体" w:cs="宋体" w:eastAsia="宋体" w:hint="default"/>
          <w:sz w:val="21"/>
          <w:szCs w:val="21"/>
        </w:rPr>
      </w:pPr>
      <w:r>
        <w:rPr>
          <w:rFonts w:ascii="宋体" w:hAnsi="宋体" w:cs="宋体" w:eastAsia="宋体" w:hint="default"/>
          <w:sz w:val="21"/>
          <w:szCs w:val="21"/>
        </w:rPr>
        <w:t>公司以很可能取得用来抵扣可抵扣暂时性差异的应纳税所得额为限，确认由可抵扣</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暂时性差异产生的递延所得税资产。</w:t>
      </w:r>
    </w:p>
    <w:p>
      <w:pPr>
        <w:spacing w:line="240" w:lineRule="auto" w:before="7"/>
        <w:rPr>
          <w:rFonts w:ascii="宋体" w:hAnsi="宋体" w:cs="宋体" w:eastAsia="宋体" w:hint="default"/>
          <w:sz w:val="19"/>
          <w:szCs w:val="19"/>
        </w:rPr>
      </w:pPr>
    </w:p>
    <w:p>
      <w:pPr>
        <w:spacing w:before="0"/>
        <w:ind w:left="1038"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r>
      <w:r>
        <w:rPr>
          <w:rFonts w:ascii="宋体" w:hAnsi="宋体" w:cs="宋体" w:eastAsia="宋体" w:hint="default"/>
          <w:spacing w:val="-60"/>
          <w:sz w:val="21"/>
          <w:szCs w:val="21"/>
        </w:rPr>
        <w:t> </w:t>
      </w:r>
      <w:r>
        <w:rPr>
          <w:rFonts w:ascii="宋体" w:hAnsi="宋体" w:cs="宋体" w:eastAsia="宋体" w:hint="default"/>
          <w:sz w:val="21"/>
          <w:szCs w:val="21"/>
        </w:rPr>
        <w:t>确认递延所得税负债的依据</w:t>
      </w:r>
    </w:p>
    <w:p>
      <w:pPr>
        <w:spacing w:line="272" w:lineRule="exact" w:before="165"/>
        <w:ind w:left="1399" w:right="147" w:firstLine="0"/>
        <w:jc w:val="both"/>
        <w:rPr>
          <w:rFonts w:ascii="宋体" w:hAnsi="宋体" w:cs="宋体" w:eastAsia="宋体" w:hint="default"/>
          <w:sz w:val="21"/>
          <w:szCs w:val="21"/>
        </w:rPr>
      </w:pPr>
      <w:r>
        <w:rPr>
          <w:rFonts w:ascii="宋体" w:hAnsi="宋体" w:cs="宋体" w:eastAsia="宋体" w:hint="default"/>
          <w:sz w:val="21"/>
          <w:szCs w:val="21"/>
        </w:rPr>
        <w:t>公司将当期与以前期间应交未交的应纳税暂时性差异确认为递延所得税负债。但不</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包括商誉、非企业合并形成的交易且该交易发生时既不影响会计利润也不影响应纳</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税所得额所形成的暂时性差异。</w:t>
      </w:r>
    </w:p>
    <w:p>
      <w:pPr>
        <w:spacing w:line="240" w:lineRule="auto" w:before="10"/>
        <w:rPr>
          <w:rFonts w:ascii="宋体" w:hAnsi="宋体" w:cs="宋体" w:eastAsia="宋体" w:hint="default"/>
          <w:sz w:val="21"/>
          <w:szCs w:val="21"/>
        </w:rPr>
      </w:pPr>
    </w:p>
    <w:p>
      <w:pPr>
        <w:tabs>
          <w:tab w:pos="1399" w:val="left" w:leader="none"/>
        </w:tabs>
        <w:spacing w:line="331" w:lineRule="auto" w:before="0"/>
        <w:ind w:left="1374" w:right="5844" w:hanging="125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二十三</w:t>
      </w:r>
      <w:r>
        <w:rPr>
          <w:rFonts w:ascii="Times New Roman" w:hAnsi="Times New Roman" w:cs="Times New Roman" w:eastAsia="Times New Roman" w:hint="default"/>
          <w:b/>
          <w:bCs/>
          <w:sz w:val="21"/>
          <w:szCs w:val="21"/>
        </w:rPr>
        <w:t>)</w:t>
        <w:tab/>
        <w:tab/>
      </w:r>
      <w:r>
        <w:rPr>
          <w:rFonts w:ascii="宋体" w:hAnsi="宋体" w:cs="宋体" w:eastAsia="宋体" w:hint="default"/>
          <w:sz w:val="21"/>
          <w:szCs w:val="21"/>
        </w:rPr>
        <w:t>经营租赁</w:t>
      </w:r>
      <w:r>
        <w:rPr>
          <w:rFonts w:ascii="宋体" w:hAnsi="宋体" w:cs="宋体" w:eastAsia="宋体" w:hint="default"/>
          <w:spacing w:val="-102"/>
          <w:sz w:val="21"/>
          <w:szCs w:val="21"/>
        </w:rPr>
        <w:t> </w:t>
      </w:r>
      <w:r>
        <w:rPr>
          <w:rFonts w:ascii="宋体" w:hAnsi="宋体" w:cs="宋体" w:eastAsia="宋体" w:hint="default"/>
          <w:sz w:val="21"/>
          <w:szCs w:val="21"/>
        </w:rPr>
        <w:t>经营租赁会计处理：</w:t>
      </w:r>
    </w:p>
    <w:p>
      <w:pPr>
        <w:spacing w:line="272" w:lineRule="exact" w:before="100"/>
        <w:ind w:left="1715" w:right="146" w:hanging="316"/>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1</w:t>
      </w:r>
      <w:r>
        <w:rPr>
          <w:rFonts w:ascii="宋体" w:hAnsi="宋体" w:cs="宋体" w:eastAsia="宋体" w:hint="default"/>
          <w:spacing w:val="-3"/>
          <w:sz w:val="21"/>
          <w:szCs w:val="21"/>
        </w:rPr>
        <w:t>、公司租入资产所支付的租赁费，在不扣除免租期的整个租赁期内，按直线法进行</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3"/>
          <w:sz w:val="21"/>
          <w:szCs w:val="21"/>
        </w:rPr>
        <w:t>分摊，计入当期费用。公司支付的与租赁交易相关的初始直接费用，计入当期费</w:t>
      </w:r>
      <w:r>
        <w:rPr>
          <w:rFonts w:ascii="宋体" w:hAnsi="宋体" w:cs="宋体" w:eastAsia="宋体" w:hint="default"/>
          <w:sz w:val="21"/>
          <w:szCs w:val="21"/>
        </w:rPr>
        <w:t> 用。</w:t>
      </w:r>
    </w:p>
    <w:p>
      <w:pPr>
        <w:spacing w:line="272" w:lineRule="exact" w:before="156"/>
        <w:ind w:left="1715" w:right="140" w:firstLine="0"/>
        <w:jc w:val="left"/>
        <w:rPr>
          <w:rFonts w:ascii="宋体" w:hAnsi="宋体" w:cs="宋体" w:eastAsia="宋体" w:hint="default"/>
          <w:sz w:val="21"/>
          <w:szCs w:val="21"/>
        </w:rPr>
      </w:pPr>
      <w:r>
        <w:rPr>
          <w:rFonts w:ascii="宋体" w:hAnsi="宋体" w:cs="宋体" w:eastAsia="宋体" w:hint="default"/>
          <w:spacing w:val="-3"/>
          <w:sz w:val="21"/>
          <w:szCs w:val="21"/>
        </w:rPr>
        <w:t>资产出租方承担了应由公司承担的与租赁相关的费用时，公司将该部分费用从租</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金总额中扣除，按扣除后的租金费用在租赁期内分摊，计入当期费用。</w:t>
      </w:r>
    </w:p>
    <w:p>
      <w:pPr>
        <w:spacing w:line="272" w:lineRule="exact" w:before="156"/>
        <w:ind w:left="1715" w:right="146" w:hanging="316"/>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、公司出租资产所收取的租赁费，在不扣除免租期的整个租赁期内，按直线法进行</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3"/>
          <w:sz w:val="21"/>
          <w:szCs w:val="21"/>
        </w:rPr>
        <w:t>分摊，确认为租赁收入。公司支付的与租赁交易相关的初始直接费用，计入当期</w:t>
      </w:r>
      <w:r>
        <w:rPr>
          <w:rFonts w:ascii="宋体" w:hAnsi="宋体" w:cs="宋体" w:eastAsia="宋体" w:hint="default"/>
          <w:sz w:val="21"/>
          <w:szCs w:val="21"/>
        </w:rPr>
        <w:t> </w:t>
      </w:r>
      <w:r>
        <w:rPr>
          <w:rFonts w:ascii="宋体" w:hAnsi="宋体" w:cs="宋体" w:eastAsia="宋体" w:hint="default"/>
          <w:spacing w:val="-3"/>
          <w:sz w:val="21"/>
          <w:szCs w:val="21"/>
        </w:rPr>
        <w:t>费用；如金额较大的，则予以资本化，在整个租赁期间内按照与租赁收入确认相</w:t>
      </w:r>
      <w:r>
        <w:rPr>
          <w:rFonts w:ascii="宋体" w:hAnsi="宋体" w:cs="宋体" w:eastAsia="宋体" w:hint="default"/>
          <w:sz w:val="21"/>
          <w:szCs w:val="21"/>
        </w:rPr>
        <w:t> 同的基础分期计入当期损益。</w:t>
      </w:r>
    </w:p>
    <w:p>
      <w:pPr>
        <w:spacing w:line="272" w:lineRule="exact" w:before="156"/>
        <w:ind w:left="1715" w:right="140" w:firstLine="0"/>
        <w:jc w:val="left"/>
        <w:rPr>
          <w:rFonts w:ascii="宋体" w:hAnsi="宋体" w:cs="宋体" w:eastAsia="宋体" w:hint="default"/>
          <w:sz w:val="21"/>
          <w:szCs w:val="21"/>
        </w:rPr>
      </w:pPr>
      <w:r>
        <w:rPr>
          <w:rFonts w:ascii="宋体" w:hAnsi="宋体" w:cs="宋体" w:eastAsia="宋体" w:hint="default"/>
          <w:spacing w:val="-3"/>
          <w:sz w:val="21"/>
          <w:szCs w:val="21"/>
        </w:rPr>
        <w:t>公司承担了应由承租方承担的与租赁相关的费用时，公司将该部分费用从租金收</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入总额中扣除，按扣除后的租金费用在租赁期内分配。</w:t>
      </w:r>
    </w:p>
    <w:p>
      <w:pPr>
        <w:spacing w:after="0" w:line="272" w:lineRule="exact"/>
        <w:jc w:val="left"/>
        <w:rPr>
          <w:rFonts w:ascii="宋体" w:hAnsi="宋体" w:cs="宋体" w:eastAsia="宋体" w:hint="default"/>
          <w:sz w:val="21"/>
          <w:szCs w:val="21"/>
        </w:rPr>
        <w:sectPr>
          <w:pgSz w:w="11900" w:h="16840"/>
          <w:pgMar w:header="883" w:footer="1003" w:top="1540" w:bottom="1200" w:left="1660" w:right="1120"/>
        </w:sectPr>
      </w:pPr>
    </w:p>
    <w:p>
      <w:pPr>
        <w:tabs>
          <w:tab w:pos="1399" w:val="left" w:leader="none"/>
        </w:tabs>
        <w:spacing w:before="21"/>
        <w:ind w:left="125" w:right="1230" w:firstLine="0"/>
        <w:jc w:val="left"/>
        <w:rPr>
          <w:rFonts w:ascii="宋体" w:hAnsi="宋体" w:cs="宋体" w:eastAsia="宋体" w:hint="default"/>
          <w:sz w:val="21"/>
          <w:szCs w:val="21"/>
        </w:rPr>
      </w:pPr>
      <w:r>
        <w:rPr/>
        <w:pict>
          <v:group style="position:absolute;margin-left:88.5pt;margin-top:2.574009pt;width:444.6pt;height:.1pt;mso-position-horizontal-relative:page;mso-position-vertical-relative:paragraph;z-index:-995896" coordorigin="1770,51" coordsize="8892,2">
            <v:shape style="position:absolute;left:1770;top:51;width:8892;height:2" coordorigin="1770,51" coordsize="8892,0" path="m1770,51l10662,51e" filled="false" stroked="true" strokeweight=".47998pt" strokecolor="#000000">
              <v:path arrowok="t"/>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二十四</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主要会计政策、会计估计的变更</w:t>
      </w:r>
    </w:p>
    <w:p>
      <w:pPr>
        <w:spacing w:line="240" w:lineRule="auto" w:before="4"/>
        <w:rPr>
          <w:rFonts w:ascii="宋体" w:hAnsi="宋体" w:cs="宋体" w:eastAsia="宋体" w:hint="default"/>
          <w:sz w:val="20"/>
          <w:szCs w:val="20"/>
        </w:rPr>
      </w:pPr>
    </w:p>
    <w:p>
      <w:pPr>
        <w:tabs>
          <w:tab w:pos="1396" w:val="left" w:leader="none"/>
        </w:tabs>
        <w:spacing w:before="0"/>
        <w:ind w:left="857" w:right="123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会计政策变更</w:t>
      </w:r>
    </w:p>
    <w:p>
      <w:pPr>
        <w:spacing w:before="136"/>
        <w:ind w:left="1400" w:right="1230" w:firstLine="0"/>
        <w:jc w:val="left"/>
        <w:rPr>
          <w:rFonts w:ascii="宋体" w:hAnsi="宋体" w:cs="宋体" w:eastAsia="宋体" w:hint="default"/>
          <w:sz w:val="21"/>
          <w:szCs w:val="21"/>
        </w:rPr>
      </w:pPr>
      <w:r>
        <w:rPr>
          <w:rFonts w:ascii="宋体" w:hAnsi="宋体" w:cs="宋体" w:eastAsia="宋体" w:hint="default"/>
          <w:sz w:val="21"/>
          <w:szCs w:val="21"/>
        </w:rPr>
        <w:t>本报告期主要会计政策未变更。</w:t>
      </w:r>
    </w:p>
    <w:p>
      <w:pPr>
        <w:tabs>
          <w:tab w:pos="1396" w:val="left" w:leader="none"/>
        </w:tabs>
        <w:spacing w:line="540" w:lineRule="atLeast" w:before="32"/>
        <w:ind w:left="857" w:right="1230" w:hanging="1"/>
        <w:jc w:val="left"/>
        <w:rPr>
          <w:rFonts w:ascii="宋体" w:hAnsi="宋体" w:cs="宋体" w:eastAsia="宋体" w:hint="default"/>
          <w:sz w:val="21"/>
          <w:szCs w:val="21"/>
        </w:rPr>
      </w:pPr>
      <w:r>
        <w:rPr/>
        <w:pict>
          <v:group style="position:absolute;margin-left:116.039993pt;margin-top:57.229496pt;width:433.35pt;height:214.35pt;mso-position-horizontal-relative:page;mso-position-vertical-relative:paragraph;z-index:-995872" coordorigin="2321,1145" coordsize="8667,4287">
            <v:group style="position:absolute;left:2340;top:1149;width:8634;height:2" coordorigin="2340,1149" coordsize="8634,2">
              <v:shape style="position:absolute;left:2340;top:1149;width:8634;height:2" coordorigin="2340,1149" coordsize="8634,0" path="m2340,1149l10974,1149e" filled="false" stroked="true" strokeweight=".48004pt" strokecolor="#000000">
                <v:path arrowok="t"/>
              </v:shape>
            </v:group>
            <v:group style="position:absolute;left:2326;top:5426;width:3251;height:2" coordorigin="2326,5426" coordsize="3251,2">
              <v:shape style="position:absolute;left:2326;top:5426;width:3251;height:2" coordorigin="2326,5426" coordsize="3251,0" path="m2326,5426l5576,5426e" filled="false" stroked="true" strokeweight=".48001pt" strokecolor="#000000">
                <v:path arrowok="t"/>
              </v:shape>
            </v:group>
            <v:group style="position:absolute;left:5576;top:5426;width:2345;height:2" coordorigin="5576,5426" coordsize="2345,2">
              <v:shape style="position:absolute;left:5576;top:5426;width:2345;height:2" coordorigin="5576,5426" coordsize="2345,0" path="m5576,5426l7921,5426e" filled="false" stroked="true" strokeweight=".48001pt" strokecolor="#000000">
                <v:path arrowok="t"/>
              </v:shape>
              <v:shape style="position:absolute;left:2340;top:1154;width:8647;height:4267" type="#_x0000_t75" stroked="false">
                <v:imagedata r:id="rId32" o:title=""/>
              </v:shape>
            </v:group>
            <v:group style="position:absolute;left:7921;top:5426;width:3060;height:2" coordorigin="7921,5426" coordsize="3060,2">
              <v:shape style="position:absolute;left:7921;top:5426;width:3060;height:2" coordorigin="7921,5426" coordsize="3060,0" path="m7921,5426l10981,5426e" filled="false" stroked="true" strokeweight=".48001pt" strokecolor="#000000">
                <v:path arrowok="t"/>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会计估计变更</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本年度公司经董事会审议通过，变更了应收款项坏账准备计提比例，情况如下：</w:t>
      </w:r>
    </w:p>
    <w:p>
      <w:pPr>
        <w:spacing w:after="0" w:line="540" w:lineRule="atLeast"/>
        <w:jc w:val="left"/>
        <w:rPr>
          <w:rFonts w:ascii="宋体" w:hAnsi="宋体" w:cs="宋体" w:eastAsia="宋体" w:hint="default"/>
          <w:sz w:val="21"/>
          <w:szCs w:val="21"/>
        </w:rPr>
        <w:sectPr>
          <w:pgSz w:w="11900" w:h="16840"/>
          <w:pgMar w:header="883" w:footer="1003" w:top="1540" w:bottom="1200" w:left="1660" w:right="800"/>
        </w:sectPr>
      </w:pPr>
    </w:p>
    <w:p>
      <w:pPr>
        <w:spacing w:line="240" w:lineRule="auto" w:before="11"/>
        <w:rPr>
          <w:rFonts w:ascii="宋体" w:hAnsi="宋体" w:cs="宋体" w:eastAsia="宋体" w:hint="default"/>
          <w:sz w:val="25"/>
          <w:szCs w:val="25"/>
        </w:rPr>
      </w:pPr>
    </w:p>
    <w:p>
      <w:pPr>
        <w:tabs>
          <w:tab w:pos="4673" w:val="left" w:leader="none"/>
        </w:tabs>
        <w:spacing w:before="0"/>
        <w:ind w:left="1040" w:right="-20" w:firstLine="0"/>
        <w:jc w:val="left"/>
        <w:rPr>
          <w:rFonts w:ascii="宋体" w:hAnsi="宋体" w:cs="宋体" w:eastAsia="宋体" w:hint="default"/>
          <w:sz w:val="21"/>
          <w:szCs w:val="21"/>
        </w:rPr>
      </w:pPr>
      <w:r>
        <w:rPr>
          <w:rFonts w:ascii="宋体" w:hAnsi="宋体" w:cs="宋体" w:eastAsia="宋体" w:hint="default"/>
          <w:sz w:val="21"/>
          <w:szCs w:val="21"/>
        </w:rPr>
        <w:t>会计估计变更的内容和原因</w:t>
        <w:tab/>
        <w:t>审批程序</w:t>
      </w:r>
    </w:p>
    <w:p>
      <w:pPr>
        <w:spacing w:line="273" w:lineRule="auto" w:before="26"/>
        <w:ind w:left="904" w:right="-20" w:firstLine="0"/>
        <w:jc w:val="left"/>
        <w:rPr>
          <w:rFonts w:ascii="宋体" w:hAnsi="宋体" w:cs="宋体" w:eastAsia="宋体" w:hint="default"/>
          <w:sz w:val="21"/>
          <w:szCs w:val="21"/>
        </w:rPr>
      </w:pPr>
      <w:r>
        <w:rPr/>
        <w:br w:type="column"/>
      </w:r>
      <w:r>
        <w:rPr>
          <w:rFonts w:ascii="宋体" w:hAnsi="宋体" w:cs="宋体" w:eastAsia="宋体" w:hint="default"/>
          <w:sz w:val="21"/>
          <w:szCs w:val="21"/>
        </w:rPr>
        <w:t>受影响的报 表项目名称</w:t>
      </w:r>
    </w:p>
    <w:p>
      <w:pPr>
        <w:spacing w:line="256" w:lineRule="auto" w:before="26"/>
        <w:ind w:left="437" w:right="232" w:hanging="158"/>
        <w:jc w:val="left"/>
        <w:rPr>
          <w:rFonts w:ascii="宋体" w:hAnsi="宋体" w:cs="宋体" w:eastAsia="宋体" w:hint="default"/>
          <w:sz w:val="21"/>
          <w:szCs w:val="21"/>
        </w:rPr>
      </w:pPr>
      <w:r>
        <w:rPr/>
        <w:br w:type="column"/>
      </w:r>
      <w:r>
        <w:rPr>
          <w:rFonts w:ascii="宋体" w:hAnsi="宋体" w:cs="宋体" w:eastAsia="宋体" w:hint="default"/>
          <w:sz w:val="21"/>
          <w:szCs w:val="21"/>
        </w:rPr>
        <w:t>对</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年度报 表影响金额</w:t>
      </w:r>
    </w:p>
    <w:p>
      <w:pPr>
        <w:spacing w:after="0" w:line="256" w:lineRule="auto"/>
        <w:jc w:val="left"/>
        <w:rPr>
          <w:rFonts w:ascii="宋体" w:hAnsi="宋体" w:cs="宋体" w:eastAsia="宋体" w:hint="default"/>
          <w:sz w:val="21"/>
          <w:szCs w:val="21"/>
        </w:rPr>
        <w:sectPr>
          <w:type w:val="continuous"/>
          <w:pgSz w:w="11900" w:h="16840"/>
          <w:pgMar w:top="1600" w:bottom="280" w:left="1660" w:right="800"/>
          <w:cols w:num="3" w:equalWidth="0">
            <w:col w:w="5514" w:space="40"/>
            <w:col w:w="1955" w:space="40"/>
            <w:col w:w="1891"/>
          </w:cols>
        </w:sectPr>
      </w:pPr>
    </w:p>
    <w:p>
      <w:pPr>
        <w:spacing w:line="240" w:lineRule="auto" w:before="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00" w:h="16840"/>
          <w:pgMar w:top="1600" w:bottom="280" w:left="1660" w:right="800"/>
        </w:sectPr>
      </w:pPr>
    </w:p>
    <w:p>
      <w:pPr>
        <w:spacing w:line="237" w:lineRule="auto" w:before="46"/>
        <w:ind w:left="896" w:right="-5" w:firstLine="0"/>
        <w:jc w:val="left"/>
        <w:rPr>
          <w:rFonts w:ascii="宋体" w:hAnsi="宋体" w:cs="宋体" w:eastAsia="宋体" w:hint="default"/>
          <w:sz w:val="18"/>
          <w:szCs w:val="18"/>
        </w:rPr>
      </w:pPr>
      <w:r>
        <w:rPr>
          <w:rFonts w:ascii="宋体" w:hAnsi="宋体" w:cs="宋体" w:eastAsia="宋体" w:hint="default"/>
          <w:sz w:val="18"/>
          <w:szCs w:val="18"/>
        </w:rPr>
        <w:t>基于谨慎性原则和公司的判断，对于 非单独进行减值测试的应收款项的坏 </w:t>
      </w:r>
      <w:r>
        <w:rPr>
          <w:rFonts w:ascii="宋体" w:hAnsi="宋体" w:cs="宋体" w:eastAsia="宋体" w:hint="default"/>
          <w:spacing w:val="-4"/>
          <w:sz w:val="18"/>
          <w:szCs w:val="18"/>
        </w:rPr>
        <w:t>账准备计提标准予以变更，具体如下：</w:t>
      </w:r>
    </w:p>
    <w:p>
      <w:pPr>
        <w:spacing w:line="240" w:lineRule="auto" w:before="1"/>
        <w:rPr>
          <w:rFonts w:ascii="宋体" w:hAnsi="宋体" w:cs="宋体" w:eastAsia="宋体" w:hint="default"/>
          <w:sz w:val="14"/>
          <w:szCs w:val="14"/>
        </w:rPr>
      </w:pPr>
      <w:r>
        <w:rPr/>
        <w:br w:type="column"/>
      </w:r>
      <w:r>
        <w:rPr>
          <w:rFonts w:ascii="宋体"/>
          <w:sz w:val="14"/>
        </w:rPr>
      </w:r>
    </w:p>
    <w:p>
      <w:pPr>
        <w:spacing w:line="234" w:lineRule="exact" w:before="0"/>
        <w:ind w:left="193" w:right="0" w:firstLine="0"/>
        <w:jc w:val="left"/>
        <w:rPr>
          <w:rFonts w:ascii="宋体" w:hAnsi="宋体" w:cs="宋体" w:eastAsia="宋体" w:hint="default"/>
          <w:sz w:val="18"/>
          <w:szCs w:val="18"/>
        </w:rPr>
      </w:pPr>
      <w:r>
        <w:rPr>
          <w:rFonts w:ascii="宋体" w:hAnsi="宋体" w:cs="宋体" w:eastAsia="宋体" w:hint="default"/>
          <w:spacing w:val="2"/>
          <w:sz w:val="18"/>
          <w:szCs w:val="18"/>
        </w:rPr>
        <w:t>公司经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9"/>
          <w:sz w:val="18"/>
          <w:szCs w:val="18"/>
        </w:rPr>
        <w:t> </w:t>
      </w:r>
      <w:r>
        <w:rPr>
          <w:rFonts w:ascii="宋体" w:hAnsi="宋体" w:cs="宋体" w:eastAsia="宋体" w:hint="default"/>
          <w:spacing w:val="4"/>
          <w:sz w:val="18"/>
          <w:szCs w:val="18"/>
        </w:rPr>
        <w:t>年第五届六 </w:t>
      </w:r>
      <w:r>
        <w:rPr>
          <w:rFonts w:ascii="宋体" w:hAnsi="宋体" w:cs="宋体" w:eastAsia="宋体" w:hint="default"/>
          <w:sz w:val="18"/>
          <w:szCs w:val="18"/>
        </w:rPr>
        <w:t>次董事会通过</w:t>
      </w:r>
    </w:p>
    <w:p>
      <w:pPr>
        <w:spacing w:before="161"/>
        <w:ind w:left="172" w:right="-20"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应收款项、资产</w:t>
      </w:r>
      <w:r>
        <w:rPr>
          <w:rFonts w:ascii="宋体" w:hAnsi="宋体" w:cs="宋体" w:eastAsia="宋体" w:hint="default"/>
          <w:sz w:val="18"/>
          <w:szCs w:val="18"/>
        </w:rPr>
        <w:t> 减值损失</w:t>
      </w:r>
    </w:p>
    <w:p>
      <w:pPr>
        <w:spacing w:line="235" w:lineRule="exact" w:before="161"/>
        <w:ind w:left="283"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减少净利润</w:t>
      </w:r>
    </w:p>
    <w:p>
      <w:pPr>
        <w:spacing w:line="248" w:lineRule="exact" w:before="0"/>
        <w:ind w:left="28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6,307,057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after="0" w:line="248" w:lineRule="exact"/>
        <w:jc w:val="left"/>
        <w:rPr>
          <w:rFonts w:ascii="宋体" w:hAnsi="宋体" w:cs="宋体" w:eastAsia="宋体" w:hint="default"/>
          <w:sz w:val="18"/>
          <w:szCs w:val="18"/>
        </w:rPr>
        <w:sectPr>
          <w:type w:val="continuous"/>
          <w:pgSz w:w="11900" w:h="16840"/>
          <w:pgMar w:top="1600" w:bottom="280" w:left="1660" w:right="800"/>
          <w:cols w:num="4" w:equalWidth="0">
            <w:col w:w="3904" w:space="40"/>
            <w:col w:w="2219" w:space="40"/>
            <w:col w:w="1391" w:space="40"/>
            <w:col w:w="1806"/>
          </w:cols>
        </w:sectPr>
      </w:pPr>
    </w:p>
    <w:p>
      <w:pPr>
        <w:spacing w:line="240" w:lineRule="auto" w:before="11"/>
        <w:rPr>
          <w:rFonts w:ascii="宋体" w:hAnsi="宋体" w:cs="宋体" w:eastAsia="宋体" w:hint="default"/>
          <w:sz w:val="23"/>
          <w:szCs w:val="23"/>
        </w:rPr>
      </w:pPr>
    </w:p>
    <w:p>
      <w:pPr>
        <w:tabs>
          <w:tab w:pos="7140" w:val="left" w:leader="none"/>
        </w:tabs>
        <w:spacing w:before="44"/>
        <w:ind w:left="4823" w:right="373" w:firstLine="0"/>
        <w:jc w:val="left"/>
        <w:rPr>
          <w:rFonts w:ascii="宋体" w:hAnsi="宋体" w:cs="宋体" w:eastAsia="宋体" w:hint="default"/>
          <w:sz w:val="18"/>
          <w:szCs w:val="18"/>
        </w:rPr>
      </w:pPr>
      <w:r>
        <w:rPr/>
        <w:pict>
          <v:shape style="position:absolute;margin-left:120.650002pt;margin-top:12.417668pt;width:402.5pt;height:105pt;mso-position-horizontal-relative:page;mso-position-vertical-relative:paragraph;z-index:16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50"/>
                    <w:gridCol w:w="3540"/>
                    <w:gridCol w:w="2360"/>
                  </w:tblGrid>
                  <w:tr>
                    <w:trPr>
                      <w:trHeight w:val="416"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账龄情况</w:t>
                        </w:r>
                      </w:p>
                    </w:tc>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839" w:right="0"/>
                          <w:jc w:val="center"/>
                          <w:rPr>
                            <w:rFonts w:ascii="宋体" w:hAnsi="宋体" w:cs="宋体" w:eastAsia="宋体" w:hint="default"/>
                            <w:sz w:val="18"/>
                            <w:szCs w:val="18"/>
                          </w:rPr>
                        </w:pPr>
                        <w:r>
                          <w:rPr>
                            <w:rFonts w:ascii="宋体" w:hAnsi="宋体" w:cs="宋体" w:eastAsia="宋体" w:hint="default"/>
                            <w:sz w:val="18"/>
                            <w:szCs w:val="18"/>
                          </w:rPr>
                          <w:t>一般坏账提取比例（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40" w:right="0"/>
                          <w:jc w:val="center"/>
                          <w:rPr>
                            <w:rFonts w:ascii="宋体" w:hAnsi="宋体" w:cs="宋体" w:eastAsia="宋体" w:hint="default"/>
                            <w:sz w:val="18"/>
                            <w:szCs w:val="18"/>
                          </w:rPr>
                        </w:pPr>
                        <w:r>
                          <w:rPr>
                            <w:rFonts w:ascii="宋体" w:hAnsi="宋体" w:cs="宋体" w:eastAsia="宋体" w:hint="default"/>
                            <w:sz w:val="18"/>
                            <w:szCs w:val="18"/>
                          </w:rPr>
                          <w:t>一般坏账提取比例（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5"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7"/>
                          <w:ind w:left="35" w:right="0"/>
                          <w:jc w:val="left"/>
                          <w:rPr>
                            <w:rFonts w:ascii="宋体" w:hAnsi="宋体" w:cs="宋体" w:eastAsia="宋体" w:hint="default"/>
                            <w:sz w:val="18"/>
                            <w:szCs w:val="18"/>
                          </w:rPr>
                        </w:pPr>
                        <w:r>
                          <w:rPr>
                            <w:rFonts w:ascii="宋体" w:hAnsi="宋体" w:cs="宋体" w:eastAsia="宋体" w:hint="default"/>
                            <w:sz w:val="18"/>
                            <w:szCs w:val="18"/>
                          </w:rPr>
                          <w:t>一年以内</w:t>
                        </w:r>
                      </w:p>
                    </w:tc>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40" w:right="0"/>
                          <w:jc w:val="center"/>
                          <w:rPr>
                            <w:rFonts w:ascii="Times New Roman" w:hAnsi="Times New Roman" w:cs="Times New Roman" w:eastAsia="Times New Roman" w:hint="default"/>
                            <w:sz w:val="18"/>
                            <w:szCs w:val="18"/>
                          </w:rPr>
                        </w:pPr>
                        <w:r>
                          <w:rPr>
                            <w:rFonts w:ascii="Times New Roman"/>
                            <w:sz w:val="18"/>
                          </w:rPr>
                          <w:t>0.3</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39" w:right="0"/>
                          <w:jc w:val="center"/>
                          <w:rPr>
                            <w:rFonts w:ascii="Times New Roman" w:hAnsi="Times New Roman" w:cs="Times New Roman" w:eastAsia="Times New Roman" w:hint="default"/>
                            <w:sz w:val="18"/>
                            <w:szCs w:val="18"/>
                          </w:rPr>
                        </w:pPr>
                        <w:r>
                          <w:rPr>
                            <w:rFonts w:ascii="Times New Roman"/>
                            <w:sz w:val="18"/>
                          </w:rPr>
                          <w:t>1</w:t>
                        </w:r>
                      </w:p>
                    </w:tc>
                  </w:tr>
                  <w:tr>
                    <w:trPr>
                      <w:trHeight w:val="340"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5" w:right="0"/>
                          <w:jc w:val="left"/>
                          <w:rPr>
                            <w:rFonts w:ascii="宋体" w:hAnsi="宋体" w:cs="宋体" w:eastAsia="宋体" w:hint="default"/>
                            <w:sz w:val="18"/>
                            <w:szCs w:val="18"/>
                          </w:rPr>
                        </w:pPr>
                        <w:r>
                          <w:rPr>
                            <w:rFonts w:ascii="宋体" w:hAnsi="宋体" w:cs="宋体" w:eastAsia="宋体" w:hint="default"/>
                            <w:sz w:val="18"/>
                            <w:szCs w:val="18"/>
                          </w:rPr>
                          <w:t>一年至二年</w:t>
                        </w:r>
                      </w:p>
                    </w:tc>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40" w:right="0"/>
                          <w:jc w:val="center"/>
                          <w:rPr>
                            <w:rFonts w:ascii="Times New Roman" w:hAnsi="Times New Roman" w:cs="Times New Roman" w:eastAsia="Times New Roman" w:hint="default"/>
                            <w:sz w:val="18"/>
                            <w:szCs w:val="18"/>
                          </w:rPr>
                        </w:pPr>
                        <w:r>
                          <w:rPr>
                            <w:rFonts w:ascii="Times New Roman"/>
                            <w:sz w:val="18"/>
                          </w:rPr>
                          <w:t>0.5</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39" w:right="0"/>
                          <w:jc w:val="center"/>
                          <w:rPr>
                            <w:rFonts w:ascii="Times New Roman" w:hAnsi="Times New Roman" w:cs="Times New Roman" w:eastAsia="Times New Roman" w:hint="default"/>
                            <w:sz w:val="18"/>
                            <w:szCs w:val="18"/>
                          </w:rPr>
                        </w:pPr>
                        <w:r>
                          <w:rPr>
                            <w:rFonts w:ascii="Times New Roman"/>
                            <w:sz w:val="18"/>
                          </w:rPr>
                          <w:t>2</w:t>
                        </w:r>
                      </w:p>
                    </w:tc>
                  </w:tr>
                  <w:tr>
                    <w:trPr>
                      <w:trHeight w:val="340"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5" w:right="0"/>
                          <w:jc w:val="left"/>
                          <w:rPr>
                            <w:rFonts w:ascii="宋体" w:hAnsi="宋体" w:cs="宋体" w:eastAsia="宋体" w:hint="default"/>
                            <w:sz w:val="18"/>
                            <w:szCs w:val="18"/>
                          </w:rPr>
                        </w:pPr>
                        <w:r>
                          <w:rPr>
                            <w:rFonts w:ascii="宋体" w:hAnsi="宋体" w:cs="宋体" w:eastAsia="宋体" w:hint="default"/>
                            <w:sz w:val="18"/>
                            <w:szCs w:val="18"/>
                          </w:rPr>
                          <w:t>二年至三年</w:t>
                        </w:r>
                      </w:p>
                    </w:tc>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40" w:right="0"/>
                          <w:jc w:val="center"/>
                          <w:rPr>
                            <w:rFonts w:ascii="Times New Roman" w:hAnsi="Times New Roman" w:cs="Times New Roman" w:eastAsia="Times New Roman" w:hint="default"/>
                            <w:sz w:val="18"/>
                            <w:szCs w:val="18"/>
                          </w:rPr>
                        </w:pPr>
                        <w:r>
                          <w:rPr>
                            <w:rFonts w:ascii="Times New Roman"/>
                            <w:sz w:val="18"/>
                          </w:rPr>
                          <w:t>1</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40" w:right="0"/>
                          <w:jc w:val="center"/>
                          <w:rPr>
                            <w:rFonts w:ascii="Times New Roman" w:hAnsi="Times New Roman" w:cs="Times New Roman" w:eastAsia="Times New Roman" w:hint="default"/>
                            <w:sz w:val="18"/>
                            <w:szCs w:val="18"/>
                          </w:rPr>
                        </w:pPr>
                        <w:r>
                          <w:rPr>
                            <w:rFonts w:ascii="Times New Roman"/>
                            <w:sz w:val="18"/>
                          </w:rPr>
                          <w:t>5</w:t>
                        </w:r>
                      </w:p>
                    </w:tc>
                  </w:tr>
                  <w:tr>
                    <w:trPr>
                      <w:trHeight w:val="340"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18"/>
                            <w:szCs w:val="18"/>
                          </w:rPr>
                        </w:pPr>
                        <w:r>
                          <w:rPr>
                            <w:rFonts w:ascii="宋体" w:hAnsi="宋体" w:cs="宋体" w:eastAsia="宋体" w:hint="default"/>
                            <w:sz w:val="18"/>
                            <w:szCs w:val="18"/>
                          </w:rPr>
                          <w:t>三年至五年</w:t>
                        </w:r>
                      </w:p>
                    </w:tc>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41" w:right="0"/>
                          <w:jc w:val="center"/>
                          <w:rPr>
                            <w:rFonts w:ascii="Times New Roman" w:hAnsi="Times New Roman" w:cs="Times New Roman" w:eastAsia="Times New Roman" w:hint="default"/>
                            <w:sz w:val="18"/>
                            <w:szCs w:val="18"/>
                          </w:rPr>
                        </w:pPr>
                        <w:r>
                          <w:rPr>
                            <w:rFonts w:ascii="Times New Roman"/>
                            <w:sz w:val="18"/>
                          </w:rPr>
                          <w:t>10</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41" w:right="0"/>
                          <w:jc w:val="center"/>
                          <w:rPr>
                            <w:rFonts w:ascii="Times New Roman" w:hAnsi="Times New Roman" w:cs="Times New Roman" w:eastAsia="Times New Roman" w:hint="default"/>
                            <w:sz w:val="18"/>
                            <w:szCs w:val="18"/>
                          </w:rPr>
                        </w:pPr>
                        <w:r>
                          <w:rPr>
                            <w:rFonts w:ascii="Times New Roman"/>
                            <w:sz w:val="18"/>
                          </w:rPr>
                          <w:t>10</w:t>
                        </w:r>
                      </w:p>
                    </w:tc>
                  </w:tr>
                  <w:tr>
                    <w:trPr>
                      <w:trHeight w:val="339"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5" w:right="0"/>
                          <w:jc w:val="left"/>
                          <w:rPr>
                            <w:rFonts w:ascii="宋体" w:hAnsi="宋体" w:cs="宋体" w:eastAsia="宋体" w:hint="default"/>
                            <w:sz w:val="18"/>
                            <w:szCs w:val="18"/>
                          </w:rPr>
                        </w:pPr>
                        <w:r>
                          <w:rPr>
                            <w:rFonts w:ascii="宋体" w:hAnsi="宋体" w:cs="宋体" w:eastAsia="宋体" w:hint="default"/>
                            <w:sz w:val="18"/>
                            <w:szCs w:val="18"/>
                          </w:rPr>
                          <w:t>五年以上</w:t>
                        </w:r>
                      </w:p>
                    </w:tc>
                    <w:tc>
                      <w:tcPr>
                        <w:tcW w:w="354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40" w:right="0"/>
                          <w:jc w:val="center"/>
                          <w:rPr>
                            <w:rFonts w:ascii="Times New Roman" w:hAnsi="Times New Roman" w:cs="Times New Roman" w:eastAsia="Times New Roman" w:hint="default"/>
                            <w:sz w:val="18"/>
                            <w:szCs w:val="18"/>
                          </w:rPr>
                        </w:pPr>
                        <w:r>
                          <w:rPr>
                            <w:rFonts w:ascii="Times New Roman"/>
                            <w:sz w:val="18"/>
                          </w:rPr>
                          <w:t>100</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40" w:right="0"/>
                          <w:jc w:val="center"/>
                          <w:rPr>
                            <w:rFonts w:ascii="Times New Roman" w:hAnsi="Times New Roman" w:cs="Times New Roman" w:eastAsia="Times New Roman" w:hint="default"/>
                            <w:sz w:val="18"/>
                            <w:szCs w:val="18"/>
                          </w:rPr>
                        </w:pPr>
                        <w:r>
                          <w:rPr>
                            <w:rFonts w:ascii="Times New Roman"/>
                            <w:sz w:val="18"/>
                          </w:rPr>
                          <w:t>100</w:t>
                        </w:r>
                      </w:p>
                    </w:tc>
                  </w:tr>
                </w:tbl>
                <w:p>
                  <w:pPr/>
                </w:p>
              </w:txbxContent>
            </v:textbox>
            <w10:wrap type="none"/>
          </v:shape>
        </w:pict>
      </w:r>
      <w:r>
        <w:rPr>
          <w:rFonts w:ascii="宋体" w:hAnsi="宋体" w:cs="宋体" w:eastAsia="宋体" w:hint="default"/>
          <w:sz w:val="18"/>
          <w:szCs w:val="18"/>
        </w:rPr>
        <w:t>变更前</w:t>
        <w:tab/>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及以后年度</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7"/>
          <w:szCs w:val="27"/>
        </w:rPr>
      </w:pPr>
    </w:p>
    <w:p>
      <w:pPr>
        <w:tabs>
          <w:tab w:pos="1399" w:val="left" w:leader="none"/>
        </w:tabs>
        <w:spacing w:before="35"/>
        <w:ind w:left="125" w:right="123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二十五</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前期会计差错更正</w:t>
      </w:r>
    </w:p>
    <w:p>
      <w:pPr>
        <w:spacing w:before="110"/>
        <w:ind w:left="1399" w:right="1230" w:firstLine="0"/>
        <w:jc w:val="left"/>
        <w:rPr>
          <w:rFonts w:ascii="宋体" w:hAnsi="宋体" w:cs="宋体" w:eastAsia="宋体" w:hint="default"/>
          <w:sz w:val="21"/>
          <w:szCs w:val="21"/>
        </w:rPr>
      </w:pPr>
      <w:r>
        <w:rPr>
          <w:rFonts w:ascii="宋体" w:hAnsi="宋体" w:cs="宋体" w:eastAsia="宋体" w:hint="default"/>
          <w:sz w:val="21"/>
          <w:szCs w:val="21"/>
        </w:rPr>
        <w:t>本报告期无前期会计差错更正。</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5"/>
          <w:szCs w:val="25"/>
        </w:rPr>
      </w:pPr>
    </w:p>
    <w:p>
      <w:pPr>
        <w:tabs>
          <w:tab w:pos="853" w:val="left" w:leader="none"/>
        </w:tabs>
        <w:spacing w:line="372" w:lineRule="auto" w:before="0"/>
        <w:ind w:left="853" w:right="5002" w:hanging="729"/>
        <w:jc w:val="left"/>
        <w:rPr>
          <w:rFonts w:ascii="宋体" w:hAnsi="宋体" w:cs="宋体" w:eastAsia="宋体" w:hint="default"/>
          <w:sz w:val="21"/>
          <w:szCs w:val="21"/>
        </w:rPr>
      </w:pPr>
      <w:r>
        <w:rPr>
          <w:rFonts w:ascii="宋体" w:hAnsi="宋体" w:cs="宋体" w:eastAsia="宋体" w:hint="default"/>
          <w:sz w:val="21"/>
          <w:szCs w:val="21"/>
        </w:rPr>
        <w:t>三、</w:t>
        <w:tab/>
        <w:t>税项</w:t>
      </w:r>
      <w:r>
        <w:rPr>
          <w:rFonts w:ascii="宋体" w:hAnsi="宋体" w:cs="宋体" w:eastAsia="宋体" w:hint="default"/>
          <w:spacing w:val="1"/>
          <w:sz w:val="21"/>
          <w:szCs w:val="21"/>
        </w:rPr>
        <w:t> </w:t>
      </w:r>
      <w:r>
        <w:rPr>
          <w:rFonts w:ascii="宋体" w:hAnsi="宋体" w:cs="宋体" w:eastAsia="宋体" w:hint="default"/>
          <w:sz w:val="21"/>
          <w:szCs w:val="21"/>
        </w:rPr>
        <w:t>公司主要税种和税率、税收优惠及批文</w:t>
      </w:r>
    </w:p>
    <w:p>
      <w:pPr>
        <w:spacing w:before="166"/>
        <w:ind w:left="139" w:right="1230" w:firstLine="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3"/>
          <w:sz w:val="21"/>
          <w:szCs w:val="21"/>
        </w:rPr>
        <w:t> </w:t>
      </w:r>
      <w:r>
        <w:rPr>
          <w:rFonts w:ascii="宋体" w:hAnsi="宋体" w:cs="宋体" w:eastAsia="宋体" w:hint="default"/>
          <w:sz w:val="21"/>
          <w:szCs w:val="21"/>
        </w:rPr>
        <w:t>营业税</w:t>
      </w:r>
    </w:p>
    <w:p>
      <w:pPr>
        <w:spacing w:line="230" w:lineRule="auto" w:before="163"/>
        <w:ind w:left="857" w:right="373" w:firstLine="0"/>
        <w:jc w:val="left"/>
        <w:rPr>
          <w:rFonts w:ascii="宋体" w:hAnsi="宋体" w:cs="宋体" w:eastAsia="宋体" w:hint="default"/>
          <w:sz w:val="21"/>
          <w:szCs w:val="21"/>
        </w:rPr>
      </w:pPr>
      <w:r>
        <w:rPr>
          <w:rFonts w:ascii="宋体" w:hAnsi="宋体" w:cs="宋体" w:eastAsia="宋体" w:hint="default"/>
          <w:spacing w:val="-3"/>
          <w:sz w:val="21"/>
          <w:szCs w:val="21"/>
        </w:rPr>
        <w:t>按软件技术开发、转让和服务，系统集成服务，房屋出租，劳务，广告制作等收入及广告</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z w:val="21"/>
          <w:szCs w:val="21"/>
        </w:rPr>
        <w:t>媒介代理净收入的</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计算缴纳。根据财政部、国家税务总局（财税字</w:t>
      </w:r>
      <w:r>
        <w:rPr>
          <w:rFonts w:ascii="Times New Roman" w:hAnsi="Times New Roman" w:cs="Times New Roman" w:eastAsia="Times New Roman" w:hint="default"/>
          <w:sz w:val="21"/>
          <w:szCs w:val="21"/>
        </w:rPr>
        <w:t>[1999]273</w:t>
      </w:r>
      <w:r>
        <w:rPr>
          <w:rFonts w:ascii="Times New Roman" w:hAnsi="Times New Roman" w:cs="Times New Roman" w:eastAsia="Times New Roman" w:hint="default"/>
          <w:spacing w:val="-15"/>
          <w:sz w:val="21"/>
          <w:szCs w:val="21"/>
        </w:rPr>
        <w:t> </w:t>
      </w:r>
      <w:r>
        <w:rPr>
          <w:rFonts w:ascii="宋体" w:hAnsi="宋体" w:cs="宋体" w:eastAsia="宋体" w:hint="default"/>
          <w:spacing w:val="-8"/>
          <w:sz w:val="21"/>
          <w:szCs w:val="21"/>
        </w:rPr>
        <w:t>号）《关</w:t>
      </w:r>
      <w:r>
        <w:rPr>
          <w:rFonts w:ascii="宋体" w:hAnsi="宋体" w:cs="宋体" w:eastAsia="宋体" w:hint="default"/>
          <w:sz w:val="21"/>
          <w:szCs w:val="21"/>
        </w:rPr>
        <w:t> </w:t>
      </w:r>
      <w:r>
        <w:rPr>
          <w:rFonts w:ascii="宋体" w:hAnsi="宋体" w:cs="宋体" w:eastAsia="宋体" w:hint="default"/>
          <w:spacing w:val="-3"/>
          <w:sz w:val="21"/>
          <w:szCs w:val="21"/>
        </w:rPr>
        <w:t>于贯彻落实〈中共中央国务院关于加强技术创新，发展高科技，实现产业化的决定〉有关</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z w:val="21"/>
          <w:szCs w:val="21"/>
        </w:rPr>
        <w:t>税收问题的通知》及沈阳市财政局、沈阳市地税局（沈财预字</w:t>
      </w:r>
      <w:r>
        <w:rPr>
          <w:rFonts w:ascii="Times New Roman" w:hAnsi="Times New Roman" w:cs="Times New Roman" w:eastAsia="Times New Roman" w:hint="default"/>
          <w:sz w:val="21"/>
          <w:szCs w:val="21"/>
        </w:rPr>
        <w:t>[2000]102</w:t>
      </w:r>
      <w:r>
        <w:rPr>
          <w:rFonts w:ascii="Times New Roman" w:hAnsi="Times New Roman" w:cs="Times New Roman" w:eastAsia="Times New Roman" w:hint="default"/>
          <w:spacing w:val="43"/>
          <w:sz w:val="21"/>
          <w:szCs w:val="21"/>
        </w:rPr>
        <w:t> </w:t>
      </w:r>
      <w:r>
        <w:rPr>
          <w:rFonts w:ascii="宋体" w:hAnsi="宋体" w:cs="宋体" w:eastAsia="宋体" w:hint="default"/>
          <w:sz w:val="21"/>
          <w:szCs w:val="21"/>
        </w:rPr>
        <w:t>号）转发文件的 规定，从事技术转让、技术开发业务和与之相关的技术咨询、技术服务业务取得的收入， 免征营业税。根据国税函</w:t>
      </w:r>
      <w:r>
        <w:rPr>
          <w:rFonts w:ascii="Times New Roman" w:hAnsi="Times New Roman" w:cs="Times New Roman" w:eastAsia="Times New Roman" w:hint="default"/>
          <w:sz w:val="21"/>
          <w:szCs w:val="21"/>
        </w:rPr>
        <w:t>[2004]825</w:t>
      </w:r>
      <w:r>
        <w:rPr>
          <w:rFonts w:ascii="Times New Roman" w:hAnsi="Times New Roman" w:cs="Times New Roman" w:eastAsia="Times New Roman" w:hint="default"/>
          <w:spacing w:val="43"/>
          <w:sz w:val="21"/>
          <w:szCs w:val="21"/>
        </w:rPr>
        <w:t> </w:t>
      </w:r>
      <w:r>
        <w:rPr>
          <w:rFonts w:ascii="宋体" w:hAnsi="宋体" w:cs="宋体" w:eastAsia="宋体" w:hint="default"/>
          <w:sz w:val="21"/>
          <w:szCs w:val="21"/>
        </w:rPr>
        <w:t>号文件的要求，本公司将认定后的技术合同及相关证 明材料经当地税务机关备案后，以直接免征的形式执行该规定。</w:t>
      </w:r>
    </w:p>
    <w:p>
      <w:pPr>
        <w:spacing w:line="240" w:lineRule="auto" w:before="8"/>
        <w:rPr>
          <w:rFonts w:ascii="宋体" w:hAnsi="宋体" w:cs="宋体" w:eastAsia="宋体" w:hint="default"/>
          <w:sz w:val="21"/>
          <w:szCs w:val="21"/>
        </w:rPr>
      </w:pPr>
    </w:p>
    <w:p>
      <w:pPr>
        <w:spacing w:before="0"/>
        <w:ind w:left="139" w:right="1230" w:firstLine="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3"/>
          <w:sz w:val="21"/>
          <w:szCs w:val="21"/>
        </w:rPr>
        <w:t> </w:t>
      </w:r>
      <w:r>
        <w:rPr>
          <w:rFonts w:ascii="宋体" w:hAnsi="宋体" w:cs="宋体" w:eastAsia="宋体" w:hint="default"/>
          <w:sz w:val="21"/>
          <w:szCs w:val="21"/>
        </w:rPr>
        <w:t>房产税</w:t>
      </w:r>
    </w:p>
    <w:p>
      <w:pPr>
        <w:spacing w:line="282" w:lineRule="exact" w:before="153"/>
        <w:ind w:left="857" w:right="373" w:firstLine="0"/>
        <w:jc w:val="left"/>
        <w:rPr>
          <w:rFonts w:ascii="宋体" w:hAnsi="宋体" w:cs="宋体" w:eastAsia="宋体" w:hint="default"/>
          <w:sz w:val="21"/>
          <w:szCs w:val="21"/>
        </w:rPr>
      </w:pPr>
      <w:r>
        <w:rPr>
          <w:rFonts w:ascii="宋体" w:hAnsi="宋体" w:cs="宋体" w:eastAsia="宋体" w:hint="default"/>
          <w:sz w:val="21"/>
          <w:szCs w:val="21"/>
        </w:rPr>
        <w:t>房产租金收入的房产税按收入的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w:t>
      </w:r>
      <w:r>
        <w:rPr>
          <w:rFonts w:ascii="宋体" w:hAnsi="宋体" w:cs="宋体" w:eastAsia="宋体" w:hint="default"/>
          <w:sz w:val="21"/>
          <w:szCs w:val="21"/>
        </w:rPr>
        <w:t>计缴</w:t>
      </w:r>
      <w:r>
        <w:rPr>
          <w:rFonts w:ascii="宋体" w:hAnsi="宋体" w:cs="宋体" w:eastAsia="宋体" w:hint="default"/>
          <w:spacing w:val="-94"/>
          <w:sz w:val="21"/>
          <w:szCs w:val="21"/>
        </w:rPr>
        <w:t>；</w:t>
      </w:r>
      <w:r>
        <w:rPr>
          <w:rFonts w:ascii="宋体" w:hAnsi="宋体" w:cs="宋体" w:eastAsia="宋体" w:hint="default"/>
          <w:sz w:val="21"/>
          <w:szCs w:val="21"/>
        </w:rPr>
        <w:t>自有房产的房产税按固定资产原值一定比例的</w:t>
      </w:r>
    </w:p>
    <w:p>
      <w:pPr>
        <w:spacing w:line="282" w:lineRule="exact" w:before="0"/>
        <w:ind w:left="857" w:right="123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1.2%</w:t>
      </w:r>
      <w:r>
        <w:rPr>
          <w:rFonts w:ascii="宋体" w:hAnsi="宋体" w:cs="宋体" w:eastAsia="宋体" w:hint="default"/>
          <w:sz w:val="21"/>
          <w:szCs w:val="21"/>
        </w:rPr>
        <w:t>计缴。</w:t>
      </w:r>
    </w:p>
    <w:p>
      <w:pPr>
        <w:spacing w:after="0" w:line="282" w:lineRule="exact"/>
        <w:jc w:val="left"/>
        <w:rPr>
          <w:rFonts w:ascii="宋体" w:hAnsi="宋体" w:cs="宋体" w:eastAsia="宋体" w:hint="default"/>
          <w:sz w:val="21"/>
          <w:szCs w:val="21"/>
        </w:rPr>
        <w:sectPr>
          <w:type w:val="continuous"/>
          <w:pgSz w:w="11900" w:h="16840"/>
          <w:pgMar w:top="1600" w:bottom="280" w:left="1660" w:right="80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45.1pt;height:.5pt;mso-position-horizontal-relative:char;mso-position-vertical-relative:line" coordorigin="0,0" coordsize="8902,10">
            <v:group style="position:absolute;left:5;top:5;width:8892;height:2" coordorigin="5,5" coordsize="8892,2">
              <v:shape style="position:absolute;left:5;top:5;width:8892;height:2" coordorigin="5,5" coordsize="8892,0" path="m5,5l8897,5e" filled="false" stroked="true" strokeweight=".47998pt" strokecolor="#000000">
                <v:path arrowok="t"/>
              </v:shape>
            </v:group>
          </v:group>
        </w:pict>
      </w:r>
      <w:r>
        <w:rPr>
          <w:rFonts w:ascii="宋体" w:hAnsi="宋体" w:cs="宋体" w:eastAsia="宋体" w:hint="default"/>
          <w:sz w:val="2"/>
          <w:szCs w:val="2"/>
        </w:rPr>
      </w:r>
    </w:p>
    <w:p>
      <w:pPr>
        <w:spacing w:before="82"/>
        <w:ind w:left="140" w:right="95" w:firstLine="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3"/>
          <w:sz w:val="21"/>
          <w:szCs w:val="21"/>
        </w:rPr>
        <w:t> </w:t>
      </w:r>
      <w:r>
        <w:rPr>
          <w:rFonts w:ascii="宋体" w:hAnsi="宋体" w:cs="宋体" w:eastAsia="宋体" w:hint="default"/>
          <w:sz w:val="21"/>
          <w:szCs w:val="21"/>
        </w:rPr>
        <w:t>增值税</w:t>
      </w:r>
    </w:p>
    <w:p>
      <w:pPr>
        <w:spacing w:line="240" w:lineRule="auto" w:before="11"/>
        <w:rPr>
          <w:rFonts w:ascii="宋体" w:hAnsi="宋体" w:cs="宋体" w:eastAsia="宋体" w:hint="default"/>
          <w:sz w:val="13"/>
          <w:szCs w:val="13"/>
        </w:rPr>
      </w:pPr>
    </w:p>
    <w:p>
      <w:pPr>
        <w:spacing w:line="272" w:lineRule="exact" w:before="0"/>
        <w:ind w:left="857" w:right="206" w:firstLine="0"/>
        <w:jc w:val="both"/>
        <w:rPr>
          <w:rFonts w:ascii="宋体" w:hAnsi="宋体" w:cs="宋体" w:eastAsia="宋体" w:hint="default"/>
          <w:sz w:val="21"/>
          <w:szCs w:val="21"/>
        </w:rPr>
      </w:pPr>
      <w:r>
        <w:rPr>
          <w:rFonts w:ascii="宋体" w:hAnsi="宋体" w:cs="宋体" w:eastAsia="宋体" w:hint="default"/>
          <w:sz w:val="21"/>
          <w:szCs w:val="21"/>
        </w:rPr>
        <w:t>计算机系统集成产品设备及软件产品收入按</w:t>
      </w:r>
      <w:r>
        <w:rPr>
          <w:rFonts w:ascii="宋体" w:hAnsi="宋体" w:cs="宋体" w:eastAsia="宋体" w:hint="default"/>
          <w:spacing w:val="21"/>
          <w:sz w:val="21"/>
          <w:szCs w:val="21"/>
        </w:rPr>
        <w:t> </w:t>
      </w:r>
      <w:r>
        <w:rPr>
          <w:rFonts w:ascii="Times New Roman" w:hAnsi="Times New Roman" w:cs="Times New Roman" w:eastAsia="Times New Roman" w:hint="default"/>
          <w:sz w:val="21"/>
          <w:szCs w:val="21"/>
        </w:rPr>
        <w:t>17</w:t>
      </w:r>
      <w:r>
        <w:rPr>
          <w:rFonts w:ascii="宋体" w:hAnsi="宋体" w:cs="宋体" w:eastAsia="宋体" w:hint="default"/>
          <w:sz w:val="21"/>
          <w:szCs w:val="21"/>
        </w:rPr>
        <w:t>％计算增值税销项税，按销项税额扣除允 许抵扣的进项税额后的差额计算缴纳。</w:t>
      </w:r>
    </w:p>
    <w:p>
      <w:pPr>
        <w:spacing w:line="272" w:lineRule="exact" w:before="156"/>
        <w:ind w:left="857" w:right="205" w:firstLine="0"/>
        <w:jc w:val="both"/>
        <w:rPr>
          <w:rFonts w:ascii="宋体" w:hAnsi="宋体" w:cs="宋体" w:eastAsia="宋体" w:hint="default"/>
          <w:sz w:val="21"/>
          <w:szCs w:val="21"/>
        </w:rPr>
      </w:pPr>
      <w:r>
        <w:rPr>
          <w:rFonts w:ascii="宋体" w:hAnsi="宋体" w:cs="宋体" w:eastAsia="宋体" w:hint="default"/>
          <w:spacing w:val="-1"/>
          <w:sz w:val="21"/>
          <w:szCs w:val="21"/>
        </w:rPr>
        <w:t>根据财税</w:t>
      </w:r>
      <w:r>
        <w:rPr>
          <w:rFonts w:ascii="Times New Roman" w:hAnsi="Times New Roman" w:cs="Times New Roman" w:eastAsia="Times New Roman" w:hint="default"/>
          <w:spacing w:val="-1"/>
          <w:sz w:val="21"/>
          <w:szCs w:val="21"/>
        </w:rPr>
        <w:t>[2000]25</w:t>
      </w:r>
      <w:r>
        <w:rPr>
          <w:rFonts w:ascii="Times New Roman" w:hAnsi="Times New Roman" w:cs="Times New Roman" w:eastAsia="Times New Roman" w:hint="default"/>
          <w:spacing w:val="9"/>
          <w:sz w:val="21"/>
          <w:szCs w:val="21"/>
        </w:rPr>
        <w:t> </w:t>
      </w:r>
      <w:r>
        <w:rPr>
          <w:rFonts w:ascii="宋体" w:hAnsi="宋体" w:cs="宋体" w:eastAsia="宋体" w:hint="default"/>
          <w:spacing w:val="-2"/>
          <w:sz w:val="21"/>
          <w:szCs w:val="21"/>
        </w:rPr>
        <w:t>号文《财政部国家税务总局海关总署关于鼓励软件产业和集成电路产业</w:t>
      </w:r>
      <w:r>
        <w:rPr>
          <w:rFonts w:ascii="宋体" w:hAnsi="宋体" w:cs="宋体" w:eastAsia="宋体" w:hint="default"/>
          <w:sz w:val="21"/>
          <w:szCs w:val="21"/>
        </w:rPr>
        <w:t> 发展有关税收政策问题的通知》的规定，自</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日起至</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年底以前，对增 </w:t>
      </w:r>
      <w:r>
        <w:rPr>
          <w:rFonts w:ascii="宋体" w:hAnsi="宋体" w:cs="宋体" w:eastAsia="宋体" w:hint="default"/>
          <w:spacing w:val="-3"/>
          <w:sz w:val="21"/>
          <w:szCs w:val="21"/>
        </w:rPr>
        <w:t>值税一般纳税人销售其自行开发生产的软件产品，按</w:t>
      </w:r>
      <w:r>
        <w:rPr>
          <w:rFonts w:ascii="宋体" w:hAnsi="宋体" w:cs="宋体" w:eastAsia="宋体" w:hint="default"/>
          <w:spacing w:val="-31"/>
          <w:sz w:val="21"/>
          <w:szCs w:val="21"/>
        </w:rPr>
        <w:t> </w:t>
      </w:r>
      <w:r>
        <w:rPr>
          <w:rFonts w:ascii="Times New Roman" w:hAnsi="Times New Roman" w:cs="Times New Roman" w:eastAsia="Times New Roman" w:hint="default"/>
          <w:spacing w:val="-3"/>
          <w:sz w:val="21"/>
          <w:szCs w:val="21"/>
        </w:rPr>
        <w:t>17%</w:t>
      </w:r>
      <w:r>
        <w:rPr>
          <w:rFonts w:ascii="宋体" w:hAnsi="宋体" w:cs="宋体" w:eastAsia="宋体" w:hint="default"/>
          <w:spacing w:val="-3"/>
          <w:sz w:val="21"/>
          <w:szCs w:val="21"/>
        </w:rPr>
        <w:t>的法定税率征收增值税后，对其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增值税实际税负超过</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的部分实行即征即退政策。</w:t>
      </w:r>
    </w:p>
    <w:p>
      <w:pPr>
        <w:spacing w:line="240" w:lineRule="auto" w:before="8"/>
        <w:rPr>
          <w:rFonts w:ascii="宋体" w:hAnsi="宋体" w:cs="宋体" w:eastAsia="宋体" w:hint="default"/>
          <w:sz w:val="19"/>
          <w:szCs w:val="19"/>
        </w:rPr>
      </w:pPr>
    </w:p>
    <w:p>
      <w:pPr>
        <w:spacing w:before="0"/>
        <w:ind w:left="140" w:right="95" w:firstLine="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3"/>
          <w:sz w:val="21"/>
          <w:szCs w:val="21"/>
        </w:rPr>
        <w:t> </w:t>
      </w:r>
      <w:r>
        <w:rPr>
          <w:rFonts w:ascii="宋体" w:hAnsi="宋体" w:cs="宋体" w:eastAsia="宋体" w:hint="default"/>
          <w:sz w:val="21"/>
          <w:szCs w:val="21"/>
        </w:rPr>
        <w:t>所得税</w:t>
      </w:r>
    </w:p>
    <w:p>
      <w:pPr>
        <w:spacing w:line="282" w:lineRule="exact" w:before="153"/>
        <w:ind w:left="857"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09 </w:t>
      </w:r>
      <w:r>
        <w:rPr>
          <w:rFonts w:ascii="宋体" w:hAnsi="宋体" w:cs="宋体" w:eastAsia="宋体" w:hint="default"/>
          <w:sz w:val="21"/>
          <w:szCs w:val="21"/>
        </w:rPr>
        <w:t>年度</w:t>
      </w:r>
      <w:r>
        <w:rPr>
          <w:rFonts w:ascii="宋体" w:hAnsi="宋体" w:cs="宋体" w:eastAsia="宋体" w:hint="default"/>
          <w:spacing w:val="-2"/>
          <w:sz w:val="21"/>
          <w:szCs w:val="21"/>
        </w:rPr>
        <w:t>本</w:t>
      </w:r>
      <w:r>
        <w:rPr>
          <w:rFonts w:ascii="宋体" w:hAnsi="宋体" w:cs="宋体" w:eastAsia="宋体" w:hint="default"/>
          <w:sz w:val="21"/>
          <w:szCs w:val="21"/>
        </w:rPr>
        <w:t>公司作为高新技术企业</w:t>
      </w:r>
      <w:r>
        <w:rPr>
          <w:rFonts w:ascii="宋体" w:hAnsi="宋体" w:cs="宋体" w:eastAsia="宋体" w:hint="default"/>
          <w:spacing w:val="-9"/>
          <w:sz w:val="21"/>
          <w:szCs w:val="21"/>
        </w:rPr>
        <w:t>，</w:t>
      </w:r>
      <w:r>
        <w:rPr>
          <w:rFonts w:ascii="宋体" w:hAnsi="宋体" w:cs="宋体" w:eastAsia="宋体" w:hint="default"/>
          <w:sz w:val="21"/>
          <w:szCs w:val="21"/>
        </w:rPr>
        <w:t>根</w:t>
      </w:r>
      <w:r>
        <w:rPr>
          <w:rFonts w:ascii="宋体" w:hAnsi="宋体" w:cs="宋体" w:eastAsia="宋体" w:hint="default"/>
          <w:spacing w:val="-9"/>
          <w:sz w:val="21"/>
          <w:szCs w:val="21"/>
        </w:rPr>
        <w:t>据</w:t>
      </w:r>
      <w:r>
        <w:rPr>
          <w:rFonts w:ascii="宋体" w:hAnsi="宋体" w:cs="宋体" w:eastAsia="宋体" w:hint="default"/>
          <w:sz w:val="21"/>
          <w:szCs w:val="21"/>
        </w:rPr>
        <w:t>《</w:t>
      </w:r>
      <w:r>
        <w:rPr>
          <w:rFonts w:ascii="宋体" w:hAnsi="宋体" w:cs="宋体" w:eastAsia="宋体" w:hint="default"/>
          <w:spacing w:val="1"/>
          <w:sz w:val="21"/>
          <w:szCs w:val="21"/>
        </w:rPr>
        <w:t>中</w:t>
      </w:r>
      <w:r>
        <w:rPr>
          <w:rFonts w:ascii="宋体" w:hAnsi="宋体" w:cs="宋体" w:eastAsia="宋体" w:hint="default"/>
          <w:sz w:val="21"/>
          <w:szCs w:val="21"/>
        </w:rPr>
        <w:t>华人民共和国企业所得税法</w:t>
      </w:r>
      <w:r>
        <w:rPr>
          <w:rFonts w:ascii="宋体" w:hAnsi="宋体" w:cs="宋体" w:eastAsia="宋体" w:hint="default"/>
          <w:spacing w:val="-113"/>
          <w:sz w:val="21"/>
          <w:szCs w:val="21"/>
        </w:rPr>
        <w:t>》</w:t>
      </w:r>
      <w:r>
        <w:rPr>
          <w:rFonts w:ascii="宋体" w:hAnsi="宋体" w:cs="宋体" w:eastAsia="宋体" w:hint="default"/>
          <w:sz w:val="21"/>
          <w:szCs w:val="21"/>
        </w:rPr>
        <w:t>（中华人民共</w:t>
      </w:r>
    </w:p>
    <w:p>
      <w:pPr>
        <w:spacing w:line="223" w:lineRule="auto" w:before="8"/>
        <w:ind w:left="857" w:right="204" w:firstLine="0"/>
        <w:jc w:val="both"/>
        <w:rPr>
          <w:rFonts w:ascii="宋体" w:hAnsi="宋体" w:cs="宋体" w:eastAsia="宋体" w:hint="default"/>
          <w:sz w:val="21"/>
          <w:szCs w:val="21"/>
        </w:rPr>
      </w:pPr>
      <w:r>
        <w:rPr>
          <w:rFonts w:ascii="宋体" w:hAnsi="宋体" w:cs="宋体" w:eastAsia="宋体" w:hint="default"/>
          <w:sz w:val="21"/>
          <w:szCs w:val="21"/>
        </w:rPr>
        <w:t>和国主席令 </w:t>
      </w:r>
      <w:r>
        <w:rPr>
          <w:rFonts w:ascii="Times New Roman" w:hAnsi="Times New Roman" w:cs="Times New Roman" w:eastAsia="Times New Roman" w:hint="default"/>
          <w:sz w:val="21"/>
          <w:szCs w:val="21"/>
        </w:rPr>
        <w:t>2007 </w:t>
      </w:r>
      <w:r>
        <w:rPr>
          <w:rFonts w:ascii="宋体" w:hAnsi="宋体" w:cs="宋体" w:eastAsia="宋体" w:hint="default"/>
          <w:sz w:val="21"/>
          <w:szCs w:val="21"/>
        </w:rPr>
        <w:t>年第 </w:t>
      </w:r>
      <w:r>
        <w:rPr>
          <w:rFonts w:ascii="Times New Roman" w:hAnsi="Times New Roman" w:cs="Times New Roman" w:eastAsia="Times New Roman" w:hint="default"/>
          <w:sz w:val="21"/>
          <w:szCs w:val="21"/>
        </w:rPr>
        <w:t>63 </w:t>
      </w:r>
      <w:r>
        <w:rPr>
          <w:rFonts w:ascii="宋体" w:hAnsi="宋体" w:cs="宋体" w:eastAsia="宋体" w:hint="default"/>
          <w:sz w:val="21"/>
          <w:szCs w:val="21"/>
        </w:rPr>
        <w:t>号）的规定，国家需要重点扶持的高新技术企业，减按</w:t>
      </w:r>
      <w:r>
        <w:rPr>
          <w:rFonts w:ascii="宋体" w:hAnsi="宋体" w:cs="宋体" w:eastAsia="宋体" w:hint="default"/>
          <w:spacing w:val="-82"/>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％的 税率征收企业所得税，本公司的所得税率为</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。同时本公司</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年度被国家发改委、 信息产业部、国家税务总局认定为国家规划布局内重点软件企业，按照财税〔</w:t>
      </w:r>
      <w:r>
        <w:rPr>
          <w:rFonts w:ascii="Times New Roman" w:hAnsi="Times New Roman" w:cs="Times New Roman" w:eastAsia="Times New Roman" w:hint="default"/>
          <w:sz w:val="21"/>
          <w:szCs w:val="21"/>
        </w:rPr>
        <w:t>2008</w: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号</w:t>
      </w:r>
    </w:p>
    <w:p>
      <w:pPr>
        <w:spacing w:line="272" w:lineRule="exact" w:before="12"/>
        <w:ind w:left="857" w:right="207" w:firstLine="0"/>
        <w:jc w:val="both"/>
        <w:rPr>
          <w:rFonts w:ascii="宋体" w:hAnsi="宋体" w:cs="宋体" w:eastAsia="宋体" w:hint="default"/>
          <w:sz w:val="21"/>
          <w:szCs w:val="21"/>
        </w:rPr>
      </w:pPr>
      <w:r>
        <w:rPr>
          <w:rFonts w:ascii="宋体" w:hAnsi="宋体" w:cs="宋体" w:eastAsia="宋体" w:hint="default"/>
          <w:spacing w:val="-3"/>
          <w:sz w:val="21"/>
          <w:szCs w:val="21"/>
        </w:rPr>
        <w:t>《财政部国家税务总局关于企业所得税若干优惠政策的通知》的规定，减按</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的税率缴 纳企业所得税。</w:t>
      </w:r>
    </w:p>
    <w:p>
      <w:pPr>
        <w:spacing w:line="272" w:lineRule="exact" w:before="156"/>
        <w:ind w:left="857" w:right="95"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宋体" w:hAnsi="宋体" w:cs="宋体" w:eastAsia="宋体" w:hint="default"/>
          <w:sz w:val="21"/>
          <w:szCs w:val="21"/>
        </w:rPr>
        <w:t>年本公司之子公司北京东软超越软件技术有限公司、沈阳东软医疗系统有限公司、</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2"/>
          <w:sz w:val="21"/>
          <w:szCs w:val="21"/>
        </w:rPr>
        <w:t>成都东软系统集成有限公司、西安东软系统集成有限公司、秦皇岛东软软件有限公司、山</w:t>
      </w:r>
      <w:r>
        <w:rPr>
          <w:rFonts w:ascii="宋体" w:hAnsi="宋体" w:cs="宋体" w:eastAsia="宋体" w:hint="default"/>
          <w:sz w:val="21"/>
          <w:szCs w:val="21"/>
        </w:rPr>
        <w:t> </w:t>
      </w:r>
      <w:r>
        <w:rPr>
          <w:rFonts w:ascii="宋体" w:hAnsi="宋体" w:cs="宋体" w:eastAsia="宋体" w:hint="default"/>
          <w:spacing w:val="-5"/>
          <w:sz w:val="21"/>
          <w:szCs w:val="21"/>
        </w:rPr>
        <w:t>东东软系统集成有限公司、南京东软系统集成有限公司、沈阳东软信息技术服务有限公司、</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上海东软时代数码技术有限公司、湖南东软软件有限公司、广东东软软件有限公司是高新</w:t>
      </w:r>
      <w:r>
        <w:rPr>
          <w:rFonts w:ascii="宋体" w:hAnsi="宋体" w:cs="宋体" w:eastAsia="宋体" w:hint="default"/>
          <w:sz w:val="21"/>
          <w:szCs w:val="21"/>
        </w:rPr>
        <w:t> 技术企业，根据《中华人民共和国企业所得税法》（中华人民共和国主席令</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年第</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63 </w:t>
      </w:r>
      <w:r>
        <w:rPr>
          <w:rFonts w:ascii="宋体" w:hAnsi="宋体" w:cs="宋体" w:eastAsia="宋体" w:hint="default"/>
          <w:sz w:val="21"/>
          <w:szCs w:val="21"/>
        </w:rPr>
        <w:t>号）的规定，按</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的税率缴纳企业所得税。</w:t>
      </w:r>
    </w:p>
    <w:p>
      <w:pPr>
        <w:spacing w:line="272" w:lineRule="exact" w:before="156"/>
        <w:ind w:left="857" w:right="206" w:firstLine="0"/>
        <w:jc w:val="both"/>
        <w:rPr>
          <w:rFonts w:ascii="宋体" w:hAnsi="宋体" w:cs="宋体" w:eastAsia="宋体" w:hint="default"/>
          <w:sz w:val="21"/>
          <w:szCs w:val="21"/>
        </w:rPr>
      </w:pPr>
      <w:r>
        <w:rPr>
          <w:rFonts w:ascii="宋体" w:hAnsi="宋体" w:cs="宋体" w:eastAsia="宋体" w:hint="default"/>
          <w:spacing w:val="-2"/>
          <w:sz w:val="21"/>
          <w:szCs w:val="21"/>
        </w:rPr>
        <w:t>本公司之子公司深圳市东软软件有限公司根据《国务院关于实施企业所得税过渡优惠政策</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的通知（国发</w:t>
      </w:r>
      <w:r>
        <w:rPr>
          <w:rFonts w:ascii="Times New Roman" w:hAnsi="Times New Roman" w:cs="Times New Roman" w:eastAsia="Times New Roman" w:hint="default"/>
          <w:sz w:val="21"/>
          <w:szCs w:val="21"/>
        </w:rPr>
        <w:t>[2007]39 </w:t>
      </w:r>
      <w:r>
        <w:rPr>
          <w:rFonts w:ascii="宋体" w:hAnsi="宋体" w:cs="宋体" w:eastAsia="宋体" w:hint="default"/>
          <w:sz w:val="21"/>
          <w:szCs w:val="21"/>
        </w:rPr>
        <w:t>号）》规定按照</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20%</w:t>
      </w:r>
      <w:r>
        <w:rPr>
          <w:rFonts w:ascii="宋体" w:hAnsi="宋体" w:cs="宋体" w:eastAsia="宋体" w:hint="default"/>
          <w:sz w:val="21"/>
          <w:szCs w:val="21"/>
        </w:rPr>
        <w:t>的税率缴纳企业所得税。</w:t>
      </w:r>
    </w:p>
    <w:p>
      <w:pPr>
        <w:spacing w:line="272" w:lineRule="exact" w:before="156"/>
        <w:ind w:left="857" w:right="207" w:firstLine="0"/>
        <w:jc w:val="both"/>
        <w:rPr>
          <w:rFonts w:ascii="宋体" w:hAnsi="宋体" w:cs="宋体" w:eastAsia="宋体" w:hint="default"/>
          <w:sz w:val="21"/>
          <w:szCs w:val="21"/>
        </w:rPr>
      </w:pPr>
      <w:r>
        <w:rPr>
          <w:rFonts w:ascii="宋体" w:hAnsi="宋体" w:cs="宋体" w:eastAsia="宋体" w:hint="default"/>
          <w:sz w:val="21"/>
          <w:szCs w:val="21"/>
        </w:rPr>
        <w:t>本公司之子公司大连东软金融信息技术有限公司按照财税〔</w:t>
      </w:r>
      <w:r>
        <w:rPr>
          <w:rFonts w:ascii="Times New Roman" w:hAnsi="Times New Roman" w:cs="Times New Roman" w:eastAsia="Times New Roman" w:hint="default"/>
          <w:sz w:val="21"/>
          <w:szCs w:val="21"/>
        </w:rPr>
        <w:t>2008</w: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6"/>
          <w:sz w:val="21"/>
          <w:szCs w:val="21"/>
        </w:rPr>
        <w:t> </w:t>
      </w:r>
      <w:r>
        <w:rPr>
          <w:rFonts w:ascii="宋体" w:hAnsi="宋体" w:cs="宋体" w:eastAsia="宋体" w:hint="default"/>
          <w:sz w:val="21"/>
          <w:szCs w:val="21"/>
        </w:rPr>
        <w:t>号《财政部国家税务 总局关于企业所得税若干优惠政策的通知》的规定，按照</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的税率缴纳企业所得税。</w:t>
      </w:r>
    </w:p>
    <w:p>
      <w:pPr>
        <w:spacing w:line="272" w:lineRule="exact" w:before="156"/>
        <w:ind w:left="857" w:right="95" w:firstLine="0"/>
        <w:jc w:val="left"/>
        <w:rPr>
          <w:rFonts w:ascii="宋体" w:hAnsi="宋体" w:cs="宋体" w:eastAsia="宋体" w:hint="default"/>
          <w:sz w:val="21"/>
          <w:szCs w:val="21"/>
        </w:rPr>
      </w:pPr>
      <w:r>
        <w:rPr>
          <w:rFonts w:ascii="宋体" w:hAnsi="宋体" w:cs="宋体" w:eastAsia="宋体" w:hint="default"/>
          <w:sz w:val="21"/>
          <w:szCs w:val="21"/>
        </w:rPr>
        <w:t>本公司之子公司东软集团（大连）有限公司和东软集团（成都）有限公司依据国务院</w:t>
      </w:r>
      <w:r>
        <w:rPr>
          <w:rFonts w:ascii="Times New Roman" w:hAnsi="Times New Roman" w:cs="Times New Roman" w:eastAsia="Times New Roman" w:hint="default"/>
          <w:sz w:val="21"/>
          <w:szCs w:val="21"/>
        </w:rPr>
        <w:t>(</w:t>
      </w:r>
      <w:r>
        <w:rPr>
          <w:rFonts w:ascii="宋体" w:hAnsi="宋体" w:cs="宋体" w:eastAsia="宋体" w:hint="default"/>
          <w:sz w:val="21"/>
          <w:szCs w:val="21"/>
        </w:rPr>
        <w:t>财</w:t>
      </w:r>
      <w:r>
        <w:rPr>
          <w:rFonts w:ascii="宋体" w:hAnsi="宋体" w:cs="宋体" w:eastAsia="宋体" w:hint="default"/>
          <w:spacing w:val="-55"/>
          <w:sz w:val="21"/>
          <w:szCs w:val="21"/>
        </w:rPr>
        <w:t> </w:t>
      </w:r>
      <w:r>
        <w:rPr>
          <w:rFonts w:ascii="宋体" w:hAnsi="宋体" w:cs="宋体" w:eastAsia="宋体" w:hint="default"/>
          <w:sz w:val="21"/>
          <w:szCs w:val="21"/>
        </w:rPr>
        <w:t>税</w:t>
      </w:r>
      <w:r>
        <w:rPr>
          <w:rFonts w:ascii="Times New Roman" w:hAnsi="Times New Roman" w:cs="Times New Roman" w:eastAsia="Times New Roman" w:hint="default"/>
          <w:sz w:val="21"/>
          <w:szCs w:val="21"/>
        </w:rPr>
        <w:t>[2008]1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r>
        <w:rPr>
          <w:rFonts w:ascii="宋体" w:hAnsi="宋体" w:cs="宋体" w:eastAsia="宋体" w:hint="default"/>
          <w:sz w:val="21"/>
          <w:szCs w:val="21"/>
        </w:rPr>
        <w:t>《关于企业所得税若干优惠政策的通知》的规定，自获利年度起，第一年和 </w:t>
      </w:r>
      <w:r>
        <w:rPr>
          <w:rFonts w:ascii="宋体" w:hAnsi="宋体" w:cs="宋体" w:eastAsia="宋体" w:hint="default"/>
          <w:spacing w:val="-5"/>
          <w:sz w:val="21"/>
          <w:szCs w:val="21"/>
        </w:rPr>
        <w:t>第二年免征企业所得税，经税务机关认定，东软集团（大连）有限公司和东软集团（成都）</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有限公司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年为免税期。</w:t>
      </w:r>
    </w:p>
    <w:p>
      <w:pPr>
        <w:spacing w:line="272" w:lineRule="exact" w:before="156"/>
        <w:ind w:left="857" w:right="207" w:hanging="1"/>
        <w:jc w:val="both"/>
        <w:rPr>
          <w:rFonts w:ascii="宋体" w:hAnsi="宋体" w:cs="宋体" w:eastAsia="宋体" w:hint="default"/>
          <w:sz w:val="21"/>
          <w:szCs w:val="21"/>
        </w:rPr>
      </w:pPr>
      <w:r>
        <w:rPr>
          <w:rFonts w:ascii="宋体" w:hAnsi="宋体" w:cs="宋体" w:eastAsia="宋体" w:hint="default"/>
          <w:spacing w:val="-3"/>
          <w:sz w:val="21"/>
          <w:szCs w:val="21"/>
        </w:rPr>
        <w:t>本公司之其他境内子公司依据新《中华人民共和国企业所得税法》的规定，按</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的税率 缴纳企业所得税。</w:t>
      </w:r>
    </w:p>
    <w:p>
      <w:pPr>
        <w:spacing w:line="240" w:lineRule="auto" w:before="8"/>
        <w:rPr>
          <w:rFonts w:ascii="宋体" w:hAnsi="宋体" w:cs="宋体" w:eastAsia="宋体" w:hint="default"/>
          <w:sz w:val="19"/>
          <w:szCs w:val="19"/>
        </w:rPr>
      </w:pPr>
    </w:p>
    <w:p>
      <w:pPr>
        <w:spacing w:before="0"/>
        <w:ind w:left="140" w:right="95" w:firstLine="0"/>
        <w:jc w:val="left"/>
        <w:rPr>
          <w:rFonts w:ascii="宋体" w:hAnsi="宋体" w:cs="宋体" w:eastAsia="宋体" w:hint="default"/>
          <w:sz w:val="21"/>
          <w:szCs w:val="21"/>
        </w:rPr>
      </w:pPr>
      <w:r>
        <w:rPr>
          <w:rFonts w:ascii="宋体" w:hAnsi="宋体" w:cs="宋体" w:eastAsia="宋体" w:hint="default"/>
          <w:sz w:val="21"/>
          <w:szCs w:val="21"/>
        </w:rPr>
        <w:t>（五）</w:t>
      </w:r>
      <w:r>
        <w:rPr>
          <w:rFonts w:ascii="宋体" w:hAnsi="宋体" w:cs="宋体" w:eastAsia="宋体" w:hint="default"/>
          <w:spacing w:val="12"/>
          <w:sz w:val="21"/>
          <w:szCs w:val="21"/>
        </w:rPr>
        <w:t> </w:t>
      </w:r>
      <w:r>
        <w:rPr>
          <w:rFonts w:ascii="宋体" w:hAnsi="宋体" w:cs="宋体" w:eastAsia="宋体" w:hint="default"/>
          <w:sz w:val="21"/>
          <w:szCs w:val="21"/>
        </w:rPr>
        <w:t>城市维护建设税、教育费附加和地方教育费</w:t>
      </w:r>
    </w:p>
    <w:p>
      <w:pPr>
        <w:spacing w:line="240" w:lineRule="auto" w:before="10"/>
        <w:rPr>
          <w:rFonts w:ascii="宋体" w:hAnsi="宋体" w:cs="宋体" w:eastAsia="宋体" w:hint="default"/>
          <w:sz w:val="13"/>
          <w:szCs w:val="13"/>
        </w:rPr>
      </w:pPr>
    </w:p>
    <w:p>
      <w:pPr>
        <w:spacing w:line="272" w:lineRule="exact" w:before="0"/>
        <w:ind w:left="857" w:right="205" w:firstLine="0"/>
        <w:jc w:val="both"/>
        <w:rPr>
          <w:rFonts w:ascii="宋体" w:hAnsi="宋体" w:cs="宋体" w:eastAsia="宋体" w:hint="default"/>
          <w:sz w:val="21"/>
          <w:szCs w:val="21"/>
        </w:rPr>
      </w:pPr>
      <w:r>
        <w:rPr>
          <w:rFonts w:ascii="宋体" w:hAnsi="宋体" w:cs="宋体" w:eastAsia="宋体" w:hint="default"/>
          <w:spacing w:val="-2"/>
          <w:sz w:val="21"/>
          <w:szCs w:val="21"/>
        </w:rPr>
        <w:t>本公司自变更为中外合资企业后按照相关法律规定不需缴纳城市维护建设税、教育费附加</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2"/>
          <w:sz w:val="21"/>
          <w:szCs w:val="21"/>
        </w:rPr>
        <w:t>和地方教育费；除外商投资性质子公司、境外子公司外的其他子公司按实际缴纳流转税额</w:t>
      </w:r>
      <w:r>
        <w:rPr>
          <w:rFonts w:ascii="宋体" w:hAnsi="宋体" w:cs="宋体" w:eastAsia="宋体" w:hint="default"/>
          <w:sz w:val="21"/>
          <w:szCs w:val="21"/>
        </w:rPr>
        <w:t> 的</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及</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分别计缴城市维护建设税、教育费附加及地方教育费。</w:t>
      </w:r>
    </w:p>
    <w:p>
      <w:pPr>
        <w:spacing w:after="0" w:line="272" w:lineRule="exact"/>
        <w:jc w:val="both"/>
        <w:rPr>
          <w:rFonts w:ascii="宋体" w:hAnsi="宋体" w:cs="宋体" w:eastAsia="宋体" w:hint="default"/>
          <w:sz w:val="21"/>
          <w:szCs w:val="21"/>
        </w:rPr>
        <w:sectPr>
          <w:pgSz w:w="11900" w:h="16840"/>
          <w:pgMar w:header="883" w:footer="1003" w:top="1540" w:bottom="1200" w:left="1660" w:right="1060"/>
        </w:sectPr>
      </w:pPr>
    </w:p>
    <w:p>
      <w:pPr>
        <w:spacing w:line="240" w:lineRule="auto" w:before="11"/>
        <w:rPr>
          <w:rFonts w:ascii="宋体" w:hAnsi="宋体" w:cs="宋体" w:eastAsia="宋体" w:hint="default"/>
          <w:sz w:val="24"/>
          <w:szCs w:val="24"/>
        </w:rPr>
      </w:pPr>
    </w:p>
    <w:p>
      <w:pPr>
        <w:tabs>
          <w:tab w:pos="853" w:val="left" w:leader="none"/>
        </w:tabs>
        <w:spacing w:line="350" w:lineRule="auto" w:before="35"/>
        <w:ind w:left="857" w:right="7330" w:hanging="732"/>
        <w:jc w:val="left"/>
        <w:rPr>
          <w:rFonts w:ascii="宋体" w:hAnsi="宋体" w:cs="宋体" w:eastAsia="宋体" w:hint="default"/>
          <w:sz w:val="21"/>
          <w:szCs w:val="21"/>
        </w:rPr>
      </w:pPr>
      <w:r>
        <w:rPr>
          <w:rFonts w:ascii="宋体" w:hAnsi="宋体" w:cs="宋体" w:eastAsia="宋体" w:hint="default"/>
          <w:sz w:val="21"/>
          <w:szCs w:val="21"/>
        </w:rPr>
        <w:t>四、</w:t>
        <w:tab/>
        <w:t>企业合并及合并财务报表</w:t>
      </w:r>
      <w:r>
        <w:rPr>
          <w:rFonts w:ascii="宋体" w:hAnsi="宋体" w:cs="宋体" w:eastAsia="宋体" w:hint="default"/>
          <w:spacing w:val="-99"/>
          <w:sz w:val="21"/>
          <w:szCs w:val="21"/>
        </w:rPr>
        <w:t> </w:t>
      </w:r>
      <w:r>
        <w:rPr>
          <w:rFonts w:ascii="宋体" w:hAnsi="宋体" w:cs="宋体" w:eastAsia="宋体" w:hint="default"/>
          <w:sz w:val="21"/>
          <w:szCs w:val="21"/>
        </w:rPr>
        <w:t>本节下列表式数据中的金额单位，除非特别注明外均为人民币元。</w:t>
      </w:r>
    </w:p>
    <w:p>
      <w:pPr>
        <w:spacing w:before="28"/>
        <w:ind w:left="125" w:right="0" w:firstLine="0"/>
        <w:jc w:val="left"/>
        <w:rPr>
          <w:rFonts w:ascii="宋体" w:hAnsi="宋体" w:cs="宋体" w:eastAsia="宋体" w:hint="default"/>
          <w:sz w:val="21"/>
          <w:szCs w:val="21"/>
        </w:rPr>
      </w:pPr>
      <w:r>
        <w:rPr>
          <w:rFonts w:ascii="宋体"/>
          <w:sz w:val="21"/>
        </w:rPr>
        <w:t> </w:t>
      </w:r>
    </w:p>
    <w:p>
      <w:pPr>
        <w:tabs>
          <w:tab w:pos="853" w:val="left" w:leader="none"/>
        </w:tabs>
        <w:spacing w:before="125"/>
        <w:ind w:left="125" w:right="0" w:firstLine="0"/>
        <w:jc w:val="left"/>
        <w:rPr>
          <w:rFonts w:ascii="宋体" w:hAnsi="宋体" w:cs="宋体" w:eastAsia="宋体" w:hint="default"/>
          <w:sz w:val="21"/>
          <w:szCs w:val="21"/>
        </w:rPr>
      </w:pPr>
      <w:r>
        <w:rPr>
          <w:rFonts w:ascii="宋体" w:hAnsi="宋体" w:cs="宋体" w:eastAsia="宋体" w:hint="default"/>
          <w:sz w:val="21"/>
          <w:szCs w:val="21"/>
        </w:rPr>
        <w:t>(一)</w:t>
        <w:tab/>
        <w:t>子公司情况 </w:t>
      </w:r>
    </w:p>
    <w:p>
      <w:pPr>
        <w:spacing w:before="126"/>
        <w:ind w:left="857" w:right="0" w:firstLine="0"/>
        <w:jc w:val="left"/>
        <w:rPr>
          <w:rFonts w:ascii="宋体" w:hAnsi="宋体" w:cs="宋体" w:eastAsia="宋体" w:hint="default"/>
          <w:sz w:val="21"/>
          <w:szCs w:val="21"/>
        </w:rPr>
      </w:pPr>
      <w:r>
        <w:rPr>
          <w:rFonts w:ascii="宋体"/>
          <w:sz w:val="21"/>
        </w:rPr>
        <w:t> </w:t>
      </w:r>
    </w:p>
    <w:p>
      <w:pPr>
        <w:spacing w:before="125"/>
        <w:ind w:left="857" w:right="0" w:firstLine="0"/>
        <w:jc w:val="left"/>
        <w:rPr>
          <w:rFonts w:ascii="宋体" w:hAnsi="宋体" w:cs="宋体" w:eastAsia="宋体" w:hint="default"/>
          <w:sz w:val="21"/>
          <w:szCs w:val="21"/>
        </w:rPr>
      </w:pPr>
      <w:r>
        <w:rPr/>
        <w:pict>
          <v:group style="position:absolute;margin-left:101.990997pt;margin-top:21.571733pt;width:671.4pt;height:295.1pt;mso-position-horizontal-relative:page;mso-position-vertical-relative:paragraph;z-index:-995608" coordorigin="2040,431" coordsize="13428,5902">
            <v:group style="position:absolute;left:2049;top:441;width:1491;height:2" coordorigin="2049,441" coordsize="1491,2">
              <v:shape style="position:absolute;left:2049;top:441;width:1491;height:2" coordorigin="2049,441" coordsize="1491,0" path="m2049,441l3540,441e" filled="false" stroked="true" strokeweight=".96001pt" strokecolor="#000000">
                <v:path arrowok="t"/>
              </v:shape>
            </v:group>
            <v:group style="position:absolute;left:3540;top:441;width:551;height:2" coordorigin="3540,441" coordsize="551,2">
              <v:shape style="position:absolute;left:3540;top:441;width:551;height:2" coordorigin="3540,441" coordsize="551,0" path="m3540,441l4091,441e" filled="false" stroked="true" strokeweight=".96001pt" strokecolor="#000000">
                <v:path arrowok="t"/>
              </v:shape>
            </v:group>
            <v:group style="position:absolute;left:4091;top:441;width:690;height:2" coordorigin="4091,441" coordsize="690,2">
              <v:shape style="position:absolute;left:4091;top:441;width:690;height:2" coordorigin="4091,441" coordsize="690,0" path="m4091,441l4781,441e" filled="false" stroked="true" strokeweight=".96001pt" strokecolor="#000000">
                <v:path arrowok="t"/>
              </v:shape>
            </v:group>
            <v:group style="position:absolute;left:4781;top:441;width:810;height:2" coordorigin="4781,441" coordsize="810,2">
              <v:shape style="position:absolute;left:4781;top:441;width:810;height:2" coordorigin="4781,441" coordsize="810,0" path="m4781,441l5591,441e" filled="false" stroked="true" strokeweight=".96001pt" strokecolor="#000000">
                <v:path arrowok="t"/>
              </v:shape>
            </v:group>
            <v:group style="position:absolute;left:5591;top:441;width:870;height:2" coordorigin="5591,441" coordsize="870,2">
              <v:shape style="position:absolute;left:5591;top:441;width:870;height:2" coordorigin="5591,441" coordsize="870,0" path="m5591,441l6461,441e" filled="false" stroked="true" strokeweight=".96001pt" strokecolor="#000000">
                <v:path arrowok="t"/>
              </v:shape>
            </v:group>
            <v:group style="position:absolute;left:6461;top:441;width:1434;height:2" coordorigin="6461,441" coordsize="1434,2">
              <v:shape style="position:absolute;left:6461;top:441;width:1434;height:2" coordorigin="6461,441" coordsize="1434,0" path="m6461,441l7895,441e" filled="false" stroked="true" strokeweight=".96001pt" strokecolor="#000000">
                <v:path arrowok="t"/>
              </v:shape>
            </v:group>
            <v:group style="position:absolute;left:7895;top:441;width:870;height:2" coordorigin="7895,441" coordsize="870,2">
              <v:shape style="position:absolute;left:7895;top:441;width:870;height:2" coordorigin="7895,441" coordsize="870,0" path="m7895,441l8765,441e" filled="false" stroked="true" strokeweight=".96001pt" strokecolor="#000000">
                <v:path arrowok="t"/>
              </v:shape>
            </v:group>
            <v:group style="position:absolute;left:8765;top:441;width:1011;height:2" coordorigin="8765,441" coordsize="1011,2">
              <v:shape style="position:absolute;left:8765;top:441;width:1011;height:2" coordorigin="8765,441" coordsize="1011,0" path="m8765,441l9775,441e" filled="false" stroked="true" strokeweight=".96001pt" strokecolor="#000000">
                <v:path arrowok="t"/>
              </v:shape>
            </v:group>
            <v:group style="position:absolute;left:9775;top:441;width:572;height:2" coordorigin="9775,441" coordsize="572,2">
              <v:shape style="position:absolute;left:9775;top:441;width:572;height:2" coordorigin="9775,441" coordsize="572,0" path="m9775,441l10346,441e" filled="false" stroked="true" strokeweight=".96001pt" strokecolor="#000000">
                <v:path arrowok="t"/>
              </v:shape>
            </v:group>
            <v:group style="position:absolute;left:10346;top:441;width:604;height:2" coordorigin="10346,441" coordsize="604,2">
              <v:shape style="position:absolute;left:10346;top:441;width:604;height:2" coordorigin="10346,441" coordsize="604,0" path="m10346,441l10950,441e" filled="false" stroked="true" strokeweight=".96001pt" strokecolor="#000000">
                <v:path arrowok="t"/>
              </v:shape>
            </v:group>
            <v:group style="position:absolute;left:10950;top:441;width:548;height:2" coordorigin="10950,441" coordsize="548,2">
              <v:shape style="position:absolute;left:10950;top:441;width:548;height:2" coordorigin="10950,441" coordsize="548,0" path="m10950,441l11497,441e" filled="false" stroked="true" strokeweight=".96001pt" strokecolor="#000000">
                <v:path arrowok="t"/>
              </v:shape>
            </v:group>
            <v:group style="position:absolute;left:11497;top:441;width:680;height:2" coordorigin="11497,441" coordsize="680,2">
              <v:shape style="position:absolute;left:11497;top:441;width:680;height:2" coordorigin="11497,441" coordsize="680,0" path="m11497,441l12176,441e" filled="false" stroked="true" strokeweight=".96001pt" strokecolor="#000000">
                <v:path arrowok="t"/>
              </v:shape>
            </v:group>
            <v:group style="position:absolute;left:12176;top:441;width:1180;height:2" coordorigin="12176,441" coordsize="1180,2">
              <v:shape style="position:absolute;left:12176;top:441;width:1180;height:2" coordorigin="12176,441" coordsize="1180,0" path="m12176,441l13356,441e" filled="false" stroked="true" strokeweight=".96001pt" strokecolor="#000000">
                <v:path arrowok="t"/>
              </v:shape>
            </v:group>
            <v:group style="position:absolute;left:13356;top:441;width:2102;height:2" coordorigin="13356,441" coordsize="2102,2">
              <v:shape style="position:absolute;left:13356;top:441;width:2102;height:2" coordorigin="13356,441" coordsize="2102,0" path="m13356,441l15457,441e" filled="false" stroked="true" strokeweight=".96001pt" strokecolor="#000000">
                <v:path arrowok="t"/>
              </v:shape>
              <v:shape style="position:absolute;left:2049;top:451;width:13418;height:5882" type="#_x0000_t75" stroked="false">
                <v:imagedata r:id="rId35" o:title=""/>
              </v:shape>
              <v:shape style="position:absolute;left:13437;top:590;width:194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从母公司所有者权益冲减子公司少</w:t>
                      </w:r>
                      <w:r>
                        <w:rPr>
                          <w:rFonts w:ascii="宋体" w:hAnsi="宋体" w:cs="宋体" w:eastAsia="宋体" w:hint="default"/>
                          <w:sz w:val="13"/>
                          <w:szCs w:val="13"/>
                        </w:rPr>
                      </w:r>
                    </w:p>
                  </w:txbxContent>
                </v:textbox>
                <w10:wrap type="none"/>
              </v:shape>
              <v:shape style="position:absolute;left:8827;top:734;width:90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实质上构成对子</w:t>
                      </w:r>
                      <w:r>
                        <w:rPr>
                          <w:rFonts w:ascii="宋体" w:hAnsi="宋体" w:cs="宋体" w:eastAsia="宋体" w:hint="default"/>
                          <w:sz w:val="13"/>
                          <w:szCs w:val="13"/>
                        </w:rPr>
                      </w:r>
                    </w:p>
                  </w:txbxContent>
                </v:textbox>
                <w10:wrap type="none"/>
              </v:shape>
              <v:shape style="position:absolute;left:12251;top:734;width:104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少数股东权益中用</w:t>
                      </w:r>
                      <w:r>
                        <w:rPr>
                          <w:rFonts w:ascii="宋体" w:hAnsi="宋体" w:cs="宋体" w:eastAsia="宋体" w:hint="default"/>
                          <w:sz w:val="13"/>
                          <w:szCs w:val="13"/>
                        </w:rPr>
                      </w:r>
                    </w:p>
                  </w:txbxContent>
                </v:textbox>
                <w10:wrap type="none"/>
              </v:shape>
              <v:shape style="position:absolute;left:3625;top:879;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子公司</w:t>
                      </w:r>
                      <w:r>
                        <w:rPr>
                          <w:rFonts w:ascii="宋体" w:hAnsi="宋体" w:cs="宋体" w:eastAsia="宋体" w:hint="default"/>
                          <w:sz w:val="13"/>
                          <w:szCs w:val="13"/>
                        </w:rPr>
                      </w:r>
                    </w:p>
                  </w:txbxContent>
                </v:textbox>
                <w10:wrap type="none"/>
              </v:shape>
              <v:shape style="position:absolute;left:8009;top:879;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期末实际投</w:t>
                      </w:r>
                      <w:r>
                        <w:rPr>
                          <w:rFonts w:ascii="宋体" w:hAnsi="宋体" w:cs="宋体" w:eastAsia="宋体" w:hint="default"/>
                          <w:sz w:val="13"/>
                          <w:szCs w:val="13"/>
                        </w:rPr>
                      </w:r>
                    </w:p>
                  </w:txbxContent>
                </v:textbox>
                <w10:wrap type="none"/>
              </v:shape>
              <v:shape style="position:absolute;left:9870;top:879;width:223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持股比   表决权   是否合 </w:t>
                      </w:r>
                      <w:r>
                        <w:rPr>
                          <w:rFonts w:ascii="宋体" w:hAnsi="宋体" w:cs="宋体" w:eastAsia="宋体" w:hint="default"/>
                          <w:spacing w:val="18"/>
                          <w:sz w:val="13"/>
                          <w:szCs w:val="13"/>
                        </w:rPr>
                        <w:t> </w:t>
                      </w:r>
                      <w:r>
                        <w:rPr>
                          <w:rFonts w:ascii="宋体" w:hAnsi="宋体" w:cs="宋体" w:eastAsia="宋体" w:hint="default"/>
                          <w:sz w:val="13"/>
                          <w:szCs w:val="13"/>
                        </w:rPr>
                        <w:t>少数股东</w:t>
                      </w:r>
                    </w:p>
                  </w:txbxContent>
                </v:textbox>
                <w10:wrap type="none"/>
              </v:shape>
              <v:shape style="position:absolute;left:13437;top:880;width:194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数股东分担的本期亏损超过少数股</w:t>
                      </w:r>
                      <w:r>
                        <w:rPr>
                          <w:rFonts w:ascii="宋体" w:hAnsi="宋体" w:cs="宋体" w:eastAsia="宋体" w:hint="default"/>
                          <w:sz w:val="13"/>
                          <w:szCs w:val="13"/>
                        </w:rPr>
                      </w:r>
                    </w:p>
                  </w:txbxContent>
                </v:textbox>
                <w10:wrap type="none"/>
              </v:shape>
              <v:shape style="position:absolute;left:2472;top:1024;width:10819;height:130" type="#_x0000_t202" filled="false" stroked="false">
                <v:textbox inset="0,0,0,0">
                  <w:txbxContent>
                    <w:p>
                      <w:pPr>
                        <w:tabs>
                          <w:tab w:pos="1773" w:val="left" w:leader="none"/>
                          <w:tab w:pos="2458" w:val="left" w:leader="none"/>
                          <w:tab w:pos="3298" w:val="left" w:leader="none"/>
                          <w:tab w:pos="4451" w:val="left" w:leader="none"/>
                          <w:tab w:pos="6355" w:val="left" w:leader="none"/>
                          <w:tab w:pos="9778"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子公司全称</w:t>
                        <w:tab/>
                        <w:t>注册地</w:t>
                        <w:tab/>
                        <w:t>企业性质</w:t>
                        <w:tab/>
                        <w:t>注册资本</w:t>
                        <w:tab/>
                        <w:t>经营范围</w:t>
                        <w:tab/>
                        <w:t>公司净投资的其</w:t>
                        <w:tab/>
                      </w:r>
                      <w:r>
                        <w:rPr>
                          <w:rFonts w:ascii="宋体" w:hAnsi="宋体" w:cs="宋体" w:eastAsia="宋体" w:hint="default"/>
                          <w:sz w:val="13"/>
                          <w:szCs w:val="13"/>
                        </w:rPr>
                        <w:t>于冲减少数股东损</w:t>
                      </w:r>
                    </w:p>
                  </w:txbxContent>
                </v:textbox>
                <w10:wrap type="none"/>
              </v:shape>
            </v:group>
            <w10:wrap type="none"/>
          </v:group>
        </w:pict>
      </w:r>
      <w:r>
        <w:rPr>
          <w:rFonts w:ascii="宋体" w:hAnsi="宋体" w:cs="宋体" w:eastAsia="宋体" w:hint="default"/>
          <w:sz w:val="21"/>
          <w:szCs w:val="21"/>
        </w:rPr>
        <w:t>1、 </w:t>
      </w:r>
      <w:r>
        <w:rPr>
          <w:rFonts w:ascii="宋体" w:hAnsi="宋体" w:cs="宋体" w:eastAsia="宋体" w:hint="default"/>
          <w:spacing w:val="22"/>
          <w:sz w:val="21"/>
          <w:szCs w:val="21"/>
        </w:rPr>
        <w:t> </w:t>
      </w:r>
      <w:r>
        <w:rPr>
          <w:rFonts w:ascii="宋体" w:hAnsi="宋体" w:cs="宋体" w:eastAsia="宋体" w:hint="default"/>
          <w:sz w:val="21"/>
          <w:szCs w:val="21"/>
        </w:rPr>
        <w:t>通过设立或投资等方式取得的子公司 </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tbl>
      <w:tblPr>
        <w:tblW w:w="0" w:type="auto"/>
        <w:jc w:val="left"/>
        <w:tblInd w:w="735" w:type="dxa"/>
        <w:tblLayout w:type="fixed"/>
        <w:tblCellMar>
          <w:top w:w="0" w:type="dxa"/>
          <w:left w:w="0" w:type="dxa"/>
          <w:bottom w:w="0" w:type="dxa"/>
          <w:right w:w="0" w:type="dxa"/>
        </w:tblCellMar>
        <w:tblLook w:val="01E0"/>
      </w:tblPr>
      <w:tblGrid>
        <w:gridCol w:w="1454"/>
        <w:gridCol w:w="587"/>
        <w:gridCol w:w="602"/>
        <w:gridCol w:w="914"/>
        <w:gridCol w:w="872"/>
        <w:gridCol w:w="1380"/>
        <w:gridCol w:w="964"/>
        <w:gridCol w:w="916"/>
        <w:gridCol w:w="626"/>
        <w:gridCol w:w="606"/>
        <w:gridCol w:w="610"/>
        <w:gridCol w:w="674"/>
        <w:gridCol w:w="992"/>
        <w:gridCol w:w="2230"/>
      </w:tblGrid>
      <w:tr>
        <w:trPr>
          <w:trHeight w:val="283" w:hRule="exact"/>
        </w:trPr>
        <w:tc>
          <w:tcPr>
            <w:tcW w:w="1454" w:type="dxa"/>
            <w:vMerge w:val="restart"/>
            <w:tcBorders>
              <w:top w:val="nil" w:sz="6" w:space="0" w:color="auto"/>
              <w:left w:val="nil" w:sz="6" w:space="0" w:color="auto"/>
              <w:right w:val="nil" w:sz="6" w:space="0" w:color="auto"/>
            </w:tcBorders>
          </w:tcPr>
          <w:p>
            <w:pPr/>
          </w:p>
        </w:tc>
        <w:tc>
          <w:tcPr>
            <w:tcW w:w="587" w:type="dxa"/>
            <w:tcBorders>
              <w:top w:val="nil" w:sz="6" w:space="0" w:color="auto"/>
              <w:left w:val="nil" w:sz="6" w:space="0" w:color="auto"/>
              <w:bottom w:val="nil" w:sz="6" w:space="0" w:color="auto"/>
              <w:right w:val="nil" w:sz="6" w:space="0" w:color="auto"/>
            </w:tcBorders>
          </w:tcPr>
          <w:p>
            <w:pPr>
              <w:pStyle w:val="TableParagraph"/>
              <w:spacing w:line="130" w:lineRule="exact"/>
              <w:ind w:left="73" w:right="0"/>
              <w:jc w:val="center"/>
              <w:rPr>
                <w:rFonts w:ascii="宋体" w:hAnsi="宋体" w:cs="宋体" w:eastAsia="宋体" w:hint="default"/>
                <w:sz w:val="13"/>
                <w:szCs w:val="13"/>
              </w:rPr>
            </w:pPr>
            <w:r>
              <w:rPr>
                <w:rFonts w:ascii="宋体" w:hAnsi="宋体" w:cs="宋体" w:eastAsia="宋体" w:hint="default"/>
                <w:sz w:val="13"/>
                <w:szCs w:val="13"/>
              </w:rPr>
              <w:t>类型</w:t>
            </w:r>
          </w:p>
        </w:tc>
        <w:tc>
          <w:tcPr>
            <w:tcW w:w="602"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
        </w:tc>
        <w:tc>
          <w:tcPr>
            <w:tcW w:w="872"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Style w:val="TableParagraph"/>
              <w:spacing w:line="130" w:lineRule="exact"/>
              <w:ind w:left="14" w:right="0"/>
              <w:jc w:val="center"/>
              <w:rPr>
                <w:rFonts w:ascii="宋体" w:hAnsi="宋体" w:cs="宋体" w:eastAsia="宋体" w:hint="default"/>
                <w:sz w:val="13"/>
                <w:szCs w:val="13"/>
              </w:rPr>
            </w:pPr>
            <w:r>
              <w:rPr>
                <w:rFonts w:ascii="宋体" w:hAnsi="宋体" w:cs="宋体" w:eastAsia="宋体" w:hint="default"/>
                <w:sz w:val="13"/>
                <w:szCs w:val="13"/>
              </w:rPr>
              <w:t>资额</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48" w:right="0"/>
              <w:jc w:val="left"/>
              <w:rPr>
                <w:rFonts w:ascii="宋体" w:hAnsi="宋体" w:cs="宋体" w:eastAsia="宋体" w:hint="default"/>
                <w:sz w:val="13"/>
                <w:szCs w:val="13"/>
              </w:rPr>
            </w:pPr>
            <w:r>
              <w:rPr>
                <w:rFonts w:ascii="宋体" w:hAnsi="宋体" w:cs="宋体" w:eastAsia="宋体" w:hint="default"/>
                <w:sz w:val="13"/>
                <w:szCs w:val="13"/>
              </w:rPr>
              <w:t>他项目余额</w:t>
            </w:r>
          </w:p>
        </w:tc>
        <w:tc>
          <w:tcPr>
            <w:tcW w:w="626" w:type="dxa"/>
            <w:tcBorders>
              <w:top w:val="nil" w:sz="6" w:space="0" w:color="auto"/>
              <w:left w:val="nil" w:sz="6" w:space="0" w:color="auto"/>
              <w:bottom w:val="nil" w:sz="6" w:space="0" w:color="auto"/>
              <w:right w:val="nil" w:sz="6" w:space="0" w:color="auto"/>
            </w:tcBorders>
          </w:tcPr>
          <w:p>
            <w:pPr>
              <w:pStyle w:val="TableParagraph"/>
              <w:spacing w:line="139" w:lineRule="exact"/>
              <w:ind w:left="55" w:right="0"/>
              <w:jc w:val="center"/>
              <w:rPr>
                <w:rFonts w:ascii="Times New Roman" w:hAnsi="Times New Roman" w:cs="Times New Roman" w:eastAsia="Times New Roman" w:hint="default"/>
                <w:sz w:val="13"/>
                <w:szCs w:val="13"/>
              </w:rPr>
            </w:pPr>
            <w:r>
              <w:rPr>
                <w:rFonts w:ascii="宋体" w:hAnsi="宋体" w:cs="宋体" w:eastAsia="宋体" w:hint="default"/>
                <w:sz w:val="13"/>
                <w:szCs w:val="13"/>
              </w:rPr>
              <w:t>例</w:t>
            </w:r>
            <w:r>
              <w:rPr>
                <w:rFonts w:ascii="Times New Roman" w:hAnsi="Times New Roman" w:cs="Times New Roman" w:eastAsia="Times New Roman" w:hint="default"/>
                <w:sz w:val="13"/>
                <w:szCs w:val="13"/>
              </w:rPr>
              <w:t>(%)</w:t>
            </w:r>
          </w:p>
        </w:tc>
        <w:tc>
          <w:tcPr>
            <w:tcW w:w="606" w:type="dxa"/>
            <w:tcBorders>
              <w:top w:val="nil" w:sz="6" w:space="0" w:color="auto"/>
              <w:left w:val="nil" w:sz="6" w:space="0" w:color="auto"/>
              <w:bottom w:val="nil" w:sz="6" w:space="0" w:color="auto"/>
              <w:right w:val="nil" w:sz="6" w:space="0" w:color="auto"/>
            </w:tcBorders>
          </w:tcPr>
          <w:p>
            <w:pPr>
              <w:pStyle w:val="TableParagraph"/>
              <w:spacing w:line="139" w:lineRule="exact"/>
              <w:ind w:right="1"/>
              <w:jc w:val="center"/>
              <w:rPr>
                <w:rFonts w:ascii="Times New Roman" w:hAnsi="Times New Roman" w:cs="Times New Roman" w:eastAsia="Times New Roman" w:hint="default"/>
                <w:sz w:val="13"/>
                <w:szCs w:val="13"/>
              </w:rPr>
            </w:pPr>
            <w:r>
              <w:rPr>
                <w:rFonts w:ascii="宋体" w:hAnsi="宋体" w:cs="宋体" w:eastAsia="宋体" w:hint="default"/>
                <w:sz w:val="13"/>
                <w:szCs w:val="13"/>
              </w:rPr>
              <w:t>比例</w:t>
            </w:r>
            <w:r>
              <w:rPr>
                <w:rFonts w:ascii="Times New Roman" w:hAnsi="Times New Roman" w:cs="Times New Roman" w:eastAsia="Times New Roman" w:hint="default"/>
                <w:sz w:val="13"/>
                <w:szCs w:val="13"/>
              </w:rPr>
              <w:t>(%)</w:t>
            </w:r>
          </w:p>
        </w:tc>
        <w:tc>
          <w:tcPr>
            <w:tcW w:w="610" w:type="dxa"/>
            <w:tcBorders>
              <w:top w:val="nil" w:sz="6" w:space="0" w:color="auto"/>
              <w:left w:val="nil" w:sz="6" w:space="0" w:color="auto"/>
              <w:bottom w:val="nil" w:sz="6" w:space="0" w:color="auto"/>
              <w:right w:val="nil" w:sz="6" w:space="0" w:color="auto"/>
            </w:tcBorders>
          </w:tcPr>
          <w:p>
            <w:pPr>
              <w:pStyle w:val="TableParagraph"/>
              <w:spacing w:line="130" w:lineRule="exact"/>
              <w:ind w:right="65"/>
              <w:jc w:val="center"/>
              <w:rPr>
                <w:rFonts w:ascii="宋体" w:hAnsi="宋体" w:cs="宋体" w:eastAsia="宋体" w:hint="default"/>
                <w:sz w:val="13"/>
                <w:szCs w:val="13"/>
              </w:rPr>
            </w:pPr>
            <w:r>
              <w:rPr>
                <w:rFonts w:ascii="宋体" w:hAnsi="宋体" w:cs="宋体" w:eastAsia="宋体" w:hint="default"/>
                <w:sz w:val="13"/>
                <w:szCs w:val="13"/>
              </w:rPr>
              <w:t>并报表</w:t>
            </w:r>
          </w:p>
        </w:tc>
        <w:tc>
          <w:tcPr>
            <w:tcW w:w="674" w:type="dxa"/>
            <w:tcBorders>
              <w:top w:val="nil" w:sz="6" w:space="0" w:color="auto"/>
              <w:left w:val="nil" w:sz="6" w:space="0" w:color="auto"/>
              <w:bottom w:val="nil" w:sz="6" w:space="0" w:color="auto"/>
              <w:right w:val="nil" w:sz="6" w:space="0" w:color="auto"/>
            </w:tcBorders>
          </w:tcPr>
          <w:p>
            <w:pPr>
              <w:pStyle w:val="TableParagraph"/>
              <w:spacing w:line="130" w:lineRule="exact"/>
              <w:ind w:left="144" w:right="0"/>
              <w:jc w:val="left"/>
              <w:rPr>
                <w:rFonts w:ascii="宋体" w:hAnsi="宋体" w:cs="宋体" w:eastAsia="宋体" w:hint="default"/>
                <w:sz w:val="13"/>
                <w:szCs w:val="13"/>
              </w:rPr>
            </w:pPr>
            <w:r>
              <w:rPr>
                <w:rFonts w:ascii="宋体" w:hAnsi="宋体" w:cs="宋体" w:eastAsia="宋体" w:hint="default"/>
                <w:sz w:val="13"/>
                <w:szCs w:val="13"/>
              </w:rPr>
              <w:t>权益</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270" w:right="0"/>
              <w:jc w:val="left"/>
              <w:rPr>
                <w:rFonts w:ascii="宋体" w:hAnsi="宋体" w:cs="宋体" w:eastAsia="宋体" w:hint="default"/>
                <w:sz w:val="13"/>
                <w:szCs w:val="13"/>
              </w:rPr>
            </w:pPr>
            <w:r>
              <w:rPr>
                <w:rFonts w:ascii="宋体" w:hAnsi="宋体" w:cs="宋体" w:eastAsia="宋体" w:hint="default"/>
                <w:sz w:val="13"/>
                <w:szCs w:val="13"/>
              </w:rPr>
              <w:t>益的金额</w:t>
            </w:r>
          </w:p>
        </w:tc>
        <w:tc>
          <w:tcPr>
            <w:tcW w:w="2230" w:type="dxa"/>
            <w:tcBorders>
              <w:top w:val="nil" w:sz="6" w:space="0" w:color="auto"/>
              <w:left w:val="nil" w:sz="6" w:space="0" w:color="auto"/>
              <w:bottom w:val="nil" w:sz="6" w:space="0" w:color="auto"/>
              <w:right w:val="nil" w:sz="6" w:space="0" w:color="auto"/>
            </w:tcBorders>
          </w:tcPr>
          <w:p>
            <w:pPr>
              <w:pStyle w:val="TableParagraph"/>
              <w:spacing w:line="131" w:lineRule="exact"/>
              <w:ind w:left="125" w:right="0"/>
              <w:jc w:val="center"/>
              <w:rPr>
                <w:rFonts w:ascii="宋体" w:hAnsi="宋体" w:cs="宋体" w:eastAsia="宋体" w:hint="default"/>
                <w:sz w:val="13"/>
                <w:szCs w:val="13"/>
              </w:rPr>
            </w:pPr>
            <w:r>
              <w:rPr>
                <w:rFonts w:ascii="宋体" w:hAnsi="宋体" w:cs="宋体" w:eastAsia="宋体" w:hint="default"/>
                <w:sz w:val="13"/>
                <w:szCs w:val="13"/>
              </w:rPr>
              <w:t>东在该子公司期初所有者权益中所</w:t>
            </w:r>
          </w:p>
        </w:tc>
      </w:tr>
      <w:tr>
        <w:trPr>
          <w:trHeight w:val="223" w:hRule="exact"/>
        </w:trPr>
        <w:tc>
          <w:tcPr>
            <w:tcW w:w="1454" w:type="dxa"/>
            <w:vMerge/>
            <w:tcBorders>
              <w:left w:val="nil" w:sz="6" w:space="0" w:color="auto"/>
              <w:bottom w:val="nil" w:sz="6" w:space="0" w:color="auto"/>
              <w:right w:val="nil" w:sz="6" w:space="0" w:color="auto"/>
            </w:tcBorders>
          </w:tcPr>
          <w:p>
            <w:pPr/>
          </w:p>
        </w:tc>
        <w:tc>
          <w:tcPr>
            <w:tcW w:w="587" w:type="dxa"/>
            <w:tcBorders>
              <w:top w:val="nil" w:sz="6" w:space="0" w:color="auto"/>
              <w:left w:val="nil" w:sz="6" w:space="0" w:color="auto"/>
              <w:bottom w:val="nil" w:sz="6" w:space="0" w:color="auto"/>
              <w:right w:val="nil" w:sz="6" w:space="0" w:color="auto"/>
            </w:tcBorders>
          </w:tcPr>
          <w:p>
            <w:pPr/>
          </w:p>
        </w:tc>
        <w:tc>
          <w:tcPr>
            <w:tcW w:w="602"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
        </w:tc>
        <w:tc>
          <w:tcPr>
            <w:tcW w:w="872"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Style w:val="TableParagraph"/>
              <w:spacing w:line="137" w:lineRule="exact"/>
              <w:ind w:left="125" w:right="0"/>
              <w:jc w:val="center"/>
              <w:rPr>
                <w:rFonts w:ascii="宋体" w:hAnsi="宋体" w:cs="宋体" w:eastAsia="宋体" w:hint="default"/>
                <w:sz w:val="13"/>
                <w:szCs w:val="13"/>
              </w:rPr>
            </w:pPr>
            <w:r>
              <w:rPr>
                <w:rFonts w:ascii="宋体" w:hAnsi="宋体" w:cs="宋体" w:eastAsia="宋体" w:hint="default"/>
                <w:sz w:val="13"/>
                <w:szCs w:val="13"/>
              </w:rPr>
              <w:t>享有份额后的余额</w:t>
            </w:r>
          </w:p>
        </w:tc>
      </w:tr>
      <w:tr>
        <w:trPr>
          <w:trHeight w:val="223"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3"/>
                <w:szCs w:val="13"/>
              </w:rPr>
            </w:pPr>
            <w:r>
              <w:rPr>
                <w:rFonts w:ascii="宋体" w:hAnsi="宋体" w:cs="宋体" w:eastAsia="宋体" w:hint="default"/>
                <w:sz w:val="13"/>
                <w:szCs w:val="13"/>
              </w:rPr>
              <w:t>沈阳逐日数码广告传</w:t>
            </w:r>
          </w:p>
        </w:tc>
        <w:tc>
          <w:tcPr>
            <w:tcW w:w="587" w:type="dxa"/>
            <w:tcBorders>
              <w:top w:val="nil" w:sz="6" w:space="0" w:color="auto"/>
              <w:left w:val="nil" w:sz="6" w:space="0" w:color="auto"/>
              <w:bottom w:val="nil" w:sz="6" w:space="0" w:color="auto"/>
              <w:right w:val="nil" w:sz="6" w:space="0" w:color="auto"/>
            </w:tcBorders>
          </w:tcPr>
          <w:p>
            <w:pPr/>
          </w:p>
        </w:tc>
        <w:tc>
          <w:tcPr>
            <w:tcW w:w="602"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152" w:hRule="exact"/>
        </w:trPr>
        <w:tc>
          <w:tcPr>
            <w:tcW w:w="1454" w:type="dxa"/>
            <w:tcBorders>
              <w:top w:val="nil" w:sz="6" w:space="0" w:color="auto"/>
              <w:left w:val="nil" w:sz="6" w:space="0" w:color="auto"/>
              <w:bottom w:val="nil" w:sz="6" w:space="0" w:color="auto"/>
              <w:right w:val="nil" w:sz="6" w:space="0" w:color="auto"/>
            </w:tcBorders>
          </w:tcPr>
          <w:p>
            <w:pPr/>
          </w:p>
        </w:tc>
        <w:tc>
          <w:tcPr>
            <w:tcW w:w="587" w:type="dxa"/>
            <w:tcBorders>
              <w:top w:val="nil" w:sz="6" w:space="0" w:color="auto"/>
              <w:left w:val="nil" w:sz="6" w:space="0" w:color="auto"/>
              <w:bottom w:val="nil" w:sz="6" w:space="0" w:color="auto"/>
              <w:right w:val="nil" w:sz="6" w:space="0" w:color="auto"/>
            </w:tcBorders>
          </w:tcPr>
          <w:p>
            <w:pPr>
              <w:pStyle w:val="TableParagraph"/>
              <w:spacing w:line="137" w:lineRule="exact"/>
              <w:ind w:right="1"/>
              <w:jc w:val="center"/>
              <w:rPr>
                <w:rFonts w:ascii="宋体" w:hAnsi="宋体" w:cs="宋体" w:eastAsia="宋体" w:hint="default"/>
                <w:sz w:val="13"/>
                <w:szCs w:val="13"/>
              </w:rPr>
            </w:pPr>
            <w:r>
              <w:rPr>
                <w:rFonts w:ascii="宋体" w:hAnsi="宋体" w:cs="宋体" w:eastAsia="宋体" w:hint="default"/>
                <w:sz w:val="13"/>
                <w:szCs w:val="13"/>
              </w:rPr>
              <w:t>全资</w:t>
            </w:r>
          </w:p>
        </w:tc>
        <w:tc>
          <w:tcPr>
            <w:tcW w:w="602" w:type="dxa"/>
            <w:tcBorders>
              <w:top w:val="nil" w:sz="6" w:space="0" w:color="auto"/>
              <w:left w:val="nil" w:sz="6" w:space="0" w:color="auto"/>
              <w:bottom w:val="nil" w:sz="6" w:space="0" w:color="auto"/>
              <w:right w:val="nil" w:sz="6" w:space="0" w:color="auto"/>
            </w:tcBorders>
          </w:tcPr>
          <w:p>
            <w:pPr>
              <w:pStyle w:val="TableParagraph"/>
              <w:spacing w:line="137" w:lineRule="exact"/>
              <w:ind w:right="86"/>
              <w:jc w:val="center"/>
              <w:rPr>
                <w:rFonts w:ascii="宋体" w:hAnsi="宋体" w:cs="宋体" w:eastAsia="宋体" w:hint="default"/>
                <w:sz w:val="13"/>
                <w:szCs w:val="13"/>
              </w:rPr>
            </w:pPr>
            <w:r>
              <w:rPr>
                <w:rFonts w:ascii="宋体" w:hAnsi="宋体" w:cs="宋体" w:eastAsia="宋体" w:hint="default"/>
                <w:sz w:val="13"/>
                <w:szCs w:val="13"/>
              </w:rPr>
              <w:t>沈阳</w:t>
            </w:r>
          </w:p>
        </w:tc>
        <w:tc>
          <w:tcPr>
            <w:tcW w:w="914" w:type="dxa"/>
            <w:tcBorders>
              <w:top w:val="nil" w:sz="6" w:space="0" w:color="auto"/>
              <w:left w:val="nil" w:sz="6" w:space="0" w:color="auto"/>
              <w:bottom w:val="nil" w:sz="6" w:space="0" w:color="auto"/>
              <w:right w:val="nil" w:sz="6" w:space="0" w:color="auto"/>
            </w:tcBorders>
          </w:tcPr>
          <w:p>
            <w:pP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1380" w:type="dxa"/>
            <w:tcBorders>
              <w:top w:val="nil" w:sz="6" w:space="0" w:color="auto"/>
              <w:left w:val="nil" w:sz="6" w:space="0" w:color="auto"/>
              <w:bottom w:val="nil" w:sz="6" w:space="0" w:color="auto"/>
              <w:right w:val="nil" w:sz="6" w:space="0" w:color="auto"/>
            </w:tcBorders>
          </w:tcPr>
          <w:p>
            <w:pPr>
              <w:pStyle w:val="TableParagraph"/>
              <w:spacing w:line="137" w:lineRule="exact"/>
              <w:ind w:left="108" w:right="0"/>
              <w:jc w:val="left"/>
              <w:rPr>
                <w:rFonts w:ascii="宋体" w:hAnsi="宋体" w:cs="宋体" w:eastAsia="宋体" w:hint="default"/>
                <w:sz w:val="13"/>
                <w:szCs w:val="13"/>
              </w:rPr>
            </w:pPr>
            <w:r>
              <w:rPr>
                <w:rFonts w:ascii="宋体" w:hAnsi="宋体" w:cs="宋体" w:eastAsia="宋体" w:hint="default"/>
                <w:sz w:val="13"/>
                <w:szCs w:val="13"/>
              </w:rPr>
              <w:t>广告制作、发布</w:t>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46"/>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6"/>
              <w:ind w:left="55" w:right="0"/>
              <w:jc w:val="center"/>
              <w:rPr>
                <w:rFonts w:ascii="Times New Roman" w:hAnsi="Times New Roman" w:cs="Times New Roman" w:eastAsia="Times New Roman" w:hint="default"/>
                <w:sz w:val="13"/>
                <w:szCs w:val="13"/>
              </w:rPr>
            </w:pPr>
            <w:r>
              <w:rPr>
                <w:rFonts w:ascii="Times New Roman"/>
                <w:sz w:val="13"/>
              </w:rPr>
              <w:t>100</w:t>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
              <w:jc w:val="center"/>
              <w:rPr>
                <w:rFonts w:ascii="Times New Roman" w:hAnsi="Times New Roman" w:cs="Times New Roman" w:eastAsia="Times New Roman" w:hint="default"/>
                <w:sz w:val="13"/>
                <w:szCs w:val="13"/>
              </w:rPr>
            </w:pPr>
            <w:r>
              <w:rPr>
                <w:rFonts w:ascii="Times New Roman"/>
                <w:sz w:val="13"/>
              </w:rPr>
              <w:t>100</w:t>
            </w:r>
          </w:p>
        </w:tc>
        <w:tc>
          <w:tcPr>
            <w:tcW w:w="610" w:type="dxa"/>
            <w:tcBorders>
              <w:top w:val="nil" w:sz="6" w:space="0" w:color="auto"/>
              <w:left w:val="nil" w:sz="6" w:space="0" w:color="auto"/>
              <w:bottom w:val="nil" w:sz="6" w:space="0" w:color="auto"/>
              <w:right w:val="nil" w:sz="6" w:space="0" w:color="auto"/>
            </w:tcBorders>
          </w:tcPr>
          <w:p>
            <w:pPr>
              <w:pStyle w:val="TableParagraph"/>
              <w:spacing w:line="137" w:lineRule="exact"/>
              <w:ind w:right="65"/>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214"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129" w:lineRule="exact"/>
              <w:ind w:left="122" w:right="0"/>
              <w:jc w:val="left"/>
              <w:rPr>
                <w:rFonts w:ascii="宋体" w:hAnsi="宋体" w:cs="宋体" w:eastAsia="宋体" w:hint="default"/>
                <w:sz w:val="13"/>
                <w:szCs w:val="13"/>
              </w:rPr>
            </w:pPr>
            <w:r>
              <w:rPr>
                <w:rFonts w:ascii="宋体" w:hAnsi="宋体" w:cs="宋体" w:eastAsia="宋体" w:hint="default"/>
                <w:sz w:val="13"/>
                <w:szCs w:val="13"/>
              </w:rPr>
              <w:t>播有限公司</w:t>
            </w:r>
          </w:p>
        </w:tc>
        <w:tc>
          <w:tcPr>
            <w:tcW w:w="587" w:type="dxa"/>
            <w:tcBorders>
              <w:top w:val="nil" w:sz="6" w:space="0" w:color="auto"/>
              <w:left w:val="nil" w:sz="6" w:space="0" w:color="auto"/>
              <w:bottom w:val="nil" w:sz="6" w:space="0" w:color="auto"/>
              <w:right w:val="nil" w:sz="6" w:space="0" w:color="auto"/>
            </w:tcBorders>
          </w:tcPr>
          <w:p>
            <w:pPr/>
          </w:p>
        </w:tc>
        <w:tc>
          <w:tcPr>
            <w:tcW w:w="602"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Style w:val="TableParagraph"/>
              <w:spacing w:line="129" w:lineRule="exact"/>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223"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3"/>
                <w:szCs w:val="13"/>
              </w:rPr>
            </w:pPr>
            <w:r>
              <w:rPr>
                <w:rFonts w:ascii="宋体" w:hAnsi="宋体" w:cs="宋体" w:eastAsia="宋体" w:hint="default"/>
                <w:sz w:val="13"/>
                <w:szCs w:val="13"/>
              </w:rPr>
              <w:t>湖南东软软件有限公</w:t>
            </w:r>
          </w:p>
        </w:tc>
        <w:tc>
          <w:tcPr>
            <w:tcW w:w="587" w:type="dxa"/>
            <w:tcBorders>
              <w:top w:val="nil" w:sz="6" w:space="0" w:color="auto"/>
              <w:left w:val="nil" w:sz="6" w:space="0" w:color="auto"/>
              <w:bottom w:val="nil" w:sz="6" w:space="0" w:color="auto"/>
              <w:right w:val="nil" w:sz="6" w:space="0" w:color="auto"/>
            </w:tcBorders>
          </w:tcPr>
          <w:p>
            <w:pPr/>
          </w:p>
        </w:tc>
        <w:tc>
          <w:tcPr>
            <w:tcW w:w="602"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368"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w w:val="99"/>
                <w:sz w:val="13"/>
                <w:szCs w:val="13"/>
              </w:rPr>
              <w:t>司</w:t>
            </w:r>
            <w:r>
              <w:rPr>
                <w:rFonts w:ascii="宋体" w:hAnsi="宋体" w:cs="宋体" w:eastAsia="宋体" w:hint="default"/>
                <w:sz w:val="13"/>
                <w:szCs w:val="13"/>
              </w:rPr>
            </w:r>
          </w:p>
        </w:tc>
        <w:tc>
          <w:tcPr>
            <w:tcW w:w="587" w:type="dxa"/>
            <w:tcBorders>
              <w:top w:val="nil" w:sz="6" w:space="0" w:color="auto"/>
              <w:left w:val="nil" w:sz="6" w:space="0" w:color="auto"/>
              <w:bottom w:val="nil" w:sz="6" w:space="0" w:color="auto"/>
              <w:right w:val="nil" w:sz="6" w:space="0" w:color="auto"/>
            </w:tcBorders>
          </w:tcPr>
          <w:p>
            <w:pPr>
              <w:pStyle w:val="TableParagraph"/>
              <w:spacing w:line="137" w:lineRule="exact"/>
              <w:ind w:right="1"/>
              <w:jc w:val="center"/>
              <w:rPr>
                <w:rFonts w:ascii="宋体" w:hAnsi="宋体" w:cs="宋体" w:eastAsia="宋体" w:hint="default"/>
                <w:sz w:val="13"/>
                <w:szCs w:val="13"/>
              </w:rPr>
            </w:pPr>
            <w:r>
              <w:rPr>
                <w:rFonts w:ascii="宋体" w:hAnsi="宋体" w:cs="宋体" w:eastAsia="宋体" w:hint="default"/>
                <w:sz w:val="13"/>
                <w:szCs w:val="13"/>
              </w:rPr>
              <w:t>全资</w:t>
            </w:r>
          </w:p>
        </w:tc>
        <w:tc>
          <w:tcPr>
            <w:tcW w:w="602" w:type="dxa"/>
            <w:tcBorders>
              <w:top w:val="nil" w:sz="6" w:space="0" w:color="auto"/>
              <w:left w:val="nil" w:sz="6" w:space="0" w:color="auto"/>
              <w:bottom w:val="nil" w:sz="6" w:space="0" w:color="auto"/>
              <w:right w:val="nil" w:sz="6" w:space="0" w:color="auto"/>
            </w:tcBorders>
          </w:tcPr>
          <w:p>
            <w:pPr>
              <w:pStyle w:val="TableParagraph"/>
              <w:spacing w:line="137" w:lineRule="exact"/>
              <w:ind w:right="86"/>
              <w:jc w:val="center"/>
              <w:rPr>
                <w:rFonts w:ascii="宋体" w:hAnsi="宋体" w:cs="宋体" w:eastAsia="宋体" w:hint="default"/>
                <w:sz w:val="13"/>
                <w:szCs w:val="13"/>
              </w:rPr>
            </w:pPr>
            <w:r>
              <w:rPr>
                <w:rFonts w:ascii="宋体" w:hAnsi="宋体" w:cs="宋体" w:eastAsia="宋体" w:hint="default"/>
                <w:sz w:val="13"/>
                <w:szCs w:val="13"/>
              </w:rPr>
              <w:t>长沙</w:t>
            </w: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Times New Roman" w:hAnsi="Times New Roman" w:cs="Times New Roman" w:eastAsia="Times New Roman" w:hint="default"/>
                <w:sz w:val="13"/>
                <w:szCs w:val="13"/>
              </w:rPr>
            </w:pPr>
            <w:r>
              <w:rPr>
                <w:rFonts w:ascii="Times New Roman"/>
                <w:w w:val="95"/>
                <w:sz w:val="13"/>
              </w:rPr>
              <w:t>12,000,000</w:t>
            </w:r>
            <w:r>
              <w:rPr>
                <w:rFonts w:ascii="Times New Roman"/>
                <w:sz w:val="13"/>
              </w:rPr>
            </w:r>
          </w:p>
        </w:tc>
        <w:tc>
          <w:tcPr>
            <w:tcW w:w="1380" w:type="dxa"/>
            <w:tcBorders>
              <w:top w:val="nil" w:sz="6" w:space="0" w:color="auto"/>
              <w:left w:val="nil" w:sz="6" w:space="0" w:color="auto"/>
              <w:bottom w:val="nil" w:sz="6" w:space="0" w:color="auto"/>
              <w:right w:val="nil" w:sz="6" w:space="0" w:color="auto"/>
            </w:tcBorders>
          </w:tcPr>
          <w:p>
            <w:pPr>
              <w:pStyle w:val="TableParagraph"/>
              <w:spacing w:line="137" w:lineRule="exact"/>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46"/>
              <w:jc w:val="right"/>
              <w:rPr>
                <w:rFonts w:ascii="Times New Roman" w:hAnsi="Times New Roman" w:cs="Times New Roman" w:eastAsia="Times New Roman" w:hint="default"/>
                <w:sz w:val="13"/>
                <w:szCs w:val="13"/>
              </w:rPr>
            </w:pPr>
            <w:r>
              <w:rPr>
                <w:rFonts w:ascii="Times New Roman"/>
                <w:w w:val="95"/>
                <w:sz w:val="13"/>
              </w:rPr>
              <w:t>12,000,000</w:t>
            </w:r>
            <w:r>
              <w:rPr>
                <w:rFonts w:ascii="Times New Roman"/>
                <w:sz w:val="13"/>
              </w:rPr>
            </w: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6"/>
              <w:ind w:left="55" w:right="0"/>
              <w:jc w:val="center"/>
              <w:rPr>
                <w:rFonts w:ascii="Times New Roman" w:hAnsi="Times New Roman" w:cs="Times New Roman" w:eastAsia="Times New Roman" w:hint="default"/>
                <w:sz w:val="13"/>
                <w:szCs w:val="13"/>
              </w:rPr>
            </w:pPr>
            <w:r>
              <w:rPr>
                <w:rFonts w:ascii="Times New Roman"/>
                <w:sz w:val="13"/>
              </w:rPr>
              <w:t>100</w:t>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
              <w:jc w:val="center"/>
              <w:rPr>
                <w:rFonts w:ascii="Times New Roman" w:hAnsi="Times New Roman" w:cs="Times New Roman" w:eastAsia="Times New Roman" w:hint="default"/>
                <w:sz w:val="13"/>
                <w:szCs w:val="13"/>
              </w:rPr>
            </w:pPr>
            <w:r>
              <w:rPr>
                <w:rFonts w:ascii="Times New Roman"/>
                <w:sz w:val="13"/>
              </w:rPr>
              <w:t>100</w:t>
            </w:r>
          </w:p>
        </w:tc>
        <w:tc>
          <w:tcPr>
            <w:tcW w:w="610" w:type="dxa"/>
            <w:tcBorders>
              <w:top w:val="nil" w:sz="6" w:space="0" w:color="auto"/>
              <w:left w:val="nil" w:sz="6" w:space="0" w:color="auto"/>
              <w:bottom w:val="nil" w:sz="6" w:space="0" w:color="auto"/>
              <w:right w:val="nil" w:sz="6" w:space="0" w:color="auto"/>
            </w:tcBorders>
          </w:tcPr>
          <w:p>
            <w:pPr>
              <w:pStyle w:val="TableParagraph"/>
              <w:spacing w:line="137" w:lineRule="exact"/>
              <w:ind w:right="65"/>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223"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3"/>
                <w:szCs w:val="13"/>
              </w:rPr>
            </w:pPr>
            <w:r>
              <w:rPr>
                <w:rFonts w:ascii="宋体" w:hAnsi="宋体" w:cs="宋体" w:eastAsia="宋体" w:hint="default"/>
                <w:sz w:val="13"/>
                <w:szCs w:val="13"/>
              </w:rPr>
              <w:t>北京东软时代信息技</w:t>
            </w:r>
          </w:p>
        </w:tc>
        <w:tc>
          <w:tcPr>
            <w:tcW w:w="587" w:type="dxa"/>
            <w:tcBorders>
              <w:top w:val="nil" w:sz="6" w:space="0" w:color="auto"/>
              <w:left w:val="nil" w:sz="6" w:space="0" w:color="auto"/>
              <w:bottom w:val="nil" w:sz="6" w:space="0" w:color="auto"/>
              <w:right w:val="nil" w:sz="6" w:space="0" w:color="auto"/>
            </w:tcBorders>
          </w:tcPr>
          <w:p>
            <w:pPr/>
          </w:p>
        </w:tc>
        <w:tc>
          <w:tcPr>
            <w:tcW w:w="602"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368"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术有限公司</w:t>
            </w:r>
          </w:p>
        </w:tc>
        <w:tc>
          <w:tcPr>
            <w:tcW w:w="587" w:type="dxa"/>
            <w:tcBorders>
              <w:top w:val="nil" w:sz="6" w:space="0" w:color="auto"/>
              <w:left w:val="nil" w:sz="6" w:space="0" w:color="auto"/>
              <w:bottom w:val="nil" w:sz="6" w:space="0" w:color="auto"/>
              <w:right w:val="nil" w:sz="6" w:space="0" w:color="auto"/>
            </w:tcBorders>
          </w:tcPr>
          <w:p>
            <w:pPr>
              <w:pStyle w:val="TableParagraph"/>
              <w:spacing w:line="137" w:lineRule="exact"/>
              <w:ind w:right="1"/>
              <w:jc w:val="center"/>
              <w:rPr>
                <w:rFonts w:ascii="宋体" w:hAnsi="宋体" w:cs="宋体" w:eastAsia="宋体" w:hint="default"/>
                <w:sz w:val="13"/>
                <w:szCs w:val="13"/>
              </w:rPr>
            </w:pPr>
            <w:r>
              <w:rPr>
                <w:rFonts w:ascii="宋体" w:hAnsi="宋体" w:cs="宋体" w:eastAsia="宋体" w:hint="default"/>
                <w:sz w:val="13"/>
                <w:szCs w:val="13"/>
              </w:rPr>
              <w:t>全资</w:t>
            </w:r>
          </w:p>
        </w:tc>
        <w:tc>
          <w:tcPr>
            <w:tcW w:w="602" w:type="dxa"/>
            <w:tcBorders>
              <w:top w:val="nil" w:sz="6" w:space="0" w:color="auto"/>
              <w:left w:val="nil" w:sz="6" w:space="0" w:color="auto"/>
              <w:bottom w:val="nil" w:sz="6" w:space="0" w:color="auto"/>
              <w:right w:val="nil" w:sz="6" w:space="0" w:color="auto"/>
            </w:tcBorders>
          </w:tcPr>
          <w:p>
            <w:pPr>
              <w:pStyle w:val="TableParagraph"/>
              <w:spacing w:line="137" w:lineRule="exact"/>
              <w:ind w:right="86"/>
              <w:jc w:val="center"/>
              <w:rPr>
                <w:rFonts w:ascii="宋体" w:hAnsi="宋体" w:cs="宋体" w:eastAsia="宋体" w:hint="default"/>
                <w:sz w:val="13"/>
                <w:szCs w:val="13"/>
              </w:rPr>
            </w:pPr>
            <w:r>
              <w:rPr>
                <w:rFonts w:ascii="宋体" w:hAnsi="宋体" w:cs="宋体" w:eastAsia="宋体" w:hint="default"/>
                <w:sz w:val="13"/>
                <w:szCs w:val="13"/>
              </w:rPr>
              <w:t>北京</w:t>
            </w: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Times New Roman" w:hAnsi="Times New Roman" w:cs="Times New Roman" w:eastAsia="Times New Roman" w:hint="default"/>
                <w:sz w:val="13"/>
                <w:szCs w:val="13"/>
              </w:rPr>
            </w:pPr>
            <w:r>
              <w:rPr>
                <w:rFonts w:ascii="Times New Roman"/>
                <w:w w:val="95"/>
                <w:sz w:val="13"/>
              </w:rPr>
              <w:t>7,000,000</w:t>
            </w:r>
            <w:r>
              <w:rPr>
                <w:rFonts w:ascii="Times New Roman"/>
                <w:sz w:val="13"/>
              </w:rPr>
            </w:r>
          </w:p>
        </w:tc>
        <w:tc>
          <w:tcPr>
            <w:tcW w:w="1380" w:type="dxa"/>
            <w:tcBorders>
              <w:top w:val="nil" w:sz="6" w:space="0" w:color="auto"/>
              <w:left w:val="nil" w:sz="6" w:space="0" w:color="auto"/>
              <w:bottom w:val="nil" w:sz="6" w:space="0" w:color="auto"/>
              <w:right w:val="nil" w:sz="6" w:space="0" w:color="auto"/>
            </w:tcBorders>
          </w:tcPr>
          <w:p>
            <w:pPr>
              <w:pStyle w:val="TableParagraph"/>
              <w:spacing w:line="137" w:lineRule="exact"/>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46"/>
              <w:jc w:val="right"/>
              <w:rPr>
                <w:rFonts w:ascii="Times New Roman" w:hAnsi="Times New Roman" w:cs="Times New Roman" w:eastAsia="Times New Roman" w:hint="default"/>
                <w:sz w:val="13"/>
                <w:szCs w:val="13"/>
              </w:rPr>
            </w:pPr>
            <w:r>
              <w:rPr>
                <w:rFonts w:ascii="Times New Roman"/>
                <w:w w:val="95"/>
                <w:sz w:val="13"/>
              </w:rPr>
              <w:t>7,000,000</w:t>
            </w:r>
            <w:r>
              <w:rPr>
                <w:rFonts w:ascii="Times New Roman"/>
                <w:sz w:val="13"/>
              </w:rPr>
            </w: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6"/>
              <w:ind w:left="55" w:right="0"/>
              <w:jc w:val="center"/>
              <w:rPr>
                <w:rFonts w:ascii="Times New Roman" w:hAnsi="Times New Roman" w:cs="Times New Roman" w:eastAsia="Times New Roman" w:hint="default"/>
                <w:sz w:val="13"/>
                <w:szCs w:val="13"/>
              </w:rPr>
            </w:pPr>
            <w:r>
              <w:rPr>
                <w:rFonts w:ascii="Times New Roman"/>
                <w:sz w:val="13"/>
              </w:rPr>
              <w:t>100</w:t>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
              <w:jc w:val="center"/>
              <w:rPr>
                <w:rFonts w:ascii="Times New Roman" w:hAnsi="Times New Roman" w:cs="Times New Roman" w:eastAsia="Times New Roman" w:hint="default"/>
                <w:sz w:val="13"/>
                <w:szCs w:val="13"/>
              </w:rPr>
            </w:pPr>
            <w:r>
              <w:rPr>
                <w:rFonts w:ascii="Times New Roman"/>
                <w:sz w:val="13"/>
              </w:rPr>
              <w:t>100</w:t>
            </w:r>
          </w:p>
        </w:tc>
        <w:tc>
          <w:tcPr>
            <w:tcW w:w="610" w:type="dxa"/>
            <w:tcBorders>
              <w:top w:val="nil" w:sz="6" w:space="0" w:color="auto"/>
              <w:left w:val="nil" w:sz="6" w:space="0" w:color="auto"/>
              <w:bottom w:val="nil" w:sz="6" w:space="0" w:color="auto"/>
              <w:right w:val="nil" w:sz="6" w:space="0" w:color="auto"/>
            </w:tcBorders>
          </w:tcPr>
          <w:p>
            <w:pPr>
              <w:pStyle w:val="TableParagraph"/>
              <w:spacing w:line="137" w:lineRule="exact"/>
              <w:ind w:right="65"/>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223"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3"/>
                <w:szCs w:val="13"/>
              </w:rPr>
            </w:pPr>
            <w:r>
              <w:rPr>
                <w:rFonts w:ascii="宋体" w:hAnsi="宋体" w:cs="宋体" w:eastAsia="宋体" w:hint="default"/>
                <w:sz w:val="13"/>
                <w:szCs w:val="13"/>
              </w:rPr>
              <w:t>深圳市东软软件有限</w:t>
            </w:r>
          </w:p>
        </w:tc>
        <w:tc>
          <w:tcPr>
            <w:tcW w:w="587" w:type="dxa"/>
            <w:tcBorders>
              <w:top w:val="nil" w:sz="6" w:space="0" w:color="auto"/>
              <w:left w:val="nil" w:sz="6" w:space="0" w:color="auto"/>
              <w:bottom w:val="nil" w:sz="6" w:space="0" w:color="auto"/>
              <w:right w:val="nil" w:sz="6" w:space="0" w:color="auto"/>
            </w:tcBorders>
          </w:tcPr>
          <w:p>
            <w:pPr/>
          </w:p>
        </w:tc>
        <w:tc>
          <w:tcPr>
            <w:tcW w:w="602"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152" w:hRule="exact"/>
        </w:trPr>
        <w:tc>
          <w:tcPr>
            <w:tcW w:w="1454" w:type="dxa"/>
            <w:tcBorders>
              <w:top w:val="nil" w:sz="6" w:space="0" w:color="auto"/>
              <w:left w:val="nil" w:sz="6" w:space="0" w:color="auto"/>
              <w:bottom w:val="nil" w:sz="6" w:space="0" w:color="auto"/>
              <w:right w:val="nil" w:sz="6" w:space="0" w:color="auto"/>
            </w:tcBorders>
          </w:tcPr>
          <w:p>
            <w:pPr/>
          </w:p>
        </w:tc>
        <w:tc>
          <w:tcPr>
            <w:tcW w:w="587" w:type="dxa"/>
            <w:tcBorders>
              <w:top w:val="nil" w:sz="6" w:space="0" w:color="auto"/>
              <w:left w:val="nil" w:sz="6" w:space="0" w:color="auto"/>
              <w:bottom w:val="nil" w:sz="6" w:space="0" w:color="auto"/>
              <w:right w:val="nil" w:sz="6" w:space="0" w:color="auto"/>
            </w:tcBorders>
          </w:tcPr>
          <w:p>
            <w:pPr>
              <w:pStyle w:val="TableParagraph"/>
              <w:spacing w:line="137" w:lineRule="exact"/>
              <w:ind w:right="1"/>
              <w:jc w:val="center"/>
              <w:rPr>
                <w:rFonts w:ascii="宋体" w:hAnsi="宋体" w:cs="宋体" w:eastAsia="宋体" w:hint="default"/>
                <w:sz w:val="13"/>
                <w:szCs w:val="13"/>
              </w:rPr>
            </w:pPr>
            <w:r>
              <w:rPr>
                <w:rFonts w:ascii="宋体" w:hAnsi="宋体" w:cs="宋体" w:eastAsia="宋体" w:hint="default"/>
                <w:sz w:val="13"/>
                <w:szCs w:val="13"/>
              </w:rPr>
              <w:t>全资</w:t>
            </w:r>
          </w:p>
        </w:tc>
        <w:tc>
          <w:tcPr>
            <w:tcW w:w="602" w:type="dxa"/>
            <w:tcBorders>
              <w:top w:val="nil" w:sz="6" w:space="0" w:color="auto"/>
              <w:left w:val="nil" w:sz="6" w:space="0" w:color="auto"/>
              <w:bottom w:val="nil" w:sz="6" w:space="0" w:color="auto"/>
              <w:right w:val="nil" w:sz="6" w:space="0" w:color="auto"/>
            </w:tcBorders>
          </w:tcPr>
          <w:p>
            <w:pPr>
              <w:pStyle w:val="TableParagraph"/>
              <w:spacing w:line="137" w:lineRule="exact"/>
              <w:ind w:right="86"/>
              <w:jc w:val="center"/>
              <w:rPr>
                <w:rFonts w:ascii="宋体" w:hAnsi="宋体" w:cs="宋体" w:eastAsia="宋体" w:hint="default"/>
                <w:sz w:val="13"/>
                <w:szCs w:val="13"/>
              </w:rPr>
            </w:pPr>
            <w:r>
              <w:rPr>
                <w:rFonts w:ascii="宋体" w:hAnsi="宋体" w:cs="宋体" w:eastAsia="宋体" w:hint="default"/>
                <w:sz w:val="13"/>
                <w:szCs w:val="13"/>
              </w:rPr>
              <w:t>深圳</w:t>
            </w:r>
          </w:p>
        </w:tc>
        <w:tc>
          <w:tcPr>
            <w:tcW w:w="914" w:type="dxa"/>
            <w:tcBorders>
              <w:top w:val="nil" w:sz="6" w:space="0" w:color="auto"/>
              <w:left w:val="nil" w:sz="6" w:space="0" w:color="auto"/>
              <w:bottom w:val="nil" w:sz="6" w:space="0" w:color="auto"/>
              <w:right w:val="nil" w:sz="6" w:space="0" w:color="auto"/>
            </w:tcBorders>
          </w:tcPr>
          <w:p>
            <w:pP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Times New Roman" w:hAnsi="Times New Roman" w:cs="Times New Roman" w:eastAsia="Times New Roman" w:hint="default"/>
                <w:sz w:val="13"/>
                <w:szCs w:val="13"/>
              </w:rPr>
            </w:pPr>
            <w:r>
              <w:rPr>
                <w:rFonts w:ascii="Times New Roman"/>
                <w:w w:val="95"/>
                <w:sz w:val="13"/>
              </w:rPr>
              <w:t>5,000,000</w:t>
            </w:r>
            <w:r>
              <w:rPr>
                <w:rFonts w:ascii="Times New Roman"/>
                <w:sz w:val="13"/>
              </w:rPr>
            </w:r>
          </w:p>
        </w:tc>
        <w:tc>
          <w:tcPr>
            <w:tcW w:w="1380" w:type="dxa"/>
            <w:tcBorders>
              <w:top w:val="nil" w:sz="6" w:space="0" w:color="auto"/>
              <w:left w:val="nil" w:sz="6" w:space="0" w:color="auto"/>
              <w:bottom w:val="nil" w:sz="6" w:space="0" w:color="auto"/>
              <w:right w:val="nil" w:sz="6" w:space="0" w:color="auto"/>
            </w:tcBorders>
          </w:tcPr>
          <w:p>
            <w:pPr>
              <w:pStyle w:val="TableParagraph"/>
              <w:spacing w:line="137" w:lineRule="exact"/>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46"/>
              <w:jc w:val="right"/>
              <w:rPr>
                <w:rFonts w:ascii="Times New Roman" w:hAnsi="Times New Roman" w:cs="Times New Roman" w:eastAsia="Times New Roman" w:hint="default"/>
                <w:sz w:val="13"/>
                <w:szCs w:val="13"/>
              </w:rPr>
            </w:pPr>
            <w:r>
              <w:rPr>
                <w:rFonts w:ascii="Times New Roman"/>
                <w:w w:val="95"/>
                <w:sz w:val="13"/>
              </w:rPr>
              <w:t>5,000,000</w:t>
            </w:r>
            <w:r>
              <w:rPr>
                <w:rFonts w:ascii="Times New Roman"/>
                <w:sz w:val="13"/>
              </w:rPr>
            </w: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6"/>
              <w:ind w:left="55" w:right="0"/>
              <w:jc w:val="center"/>
              <w:rPr>
                <w:rFonts w:ascii="Times New Roman" w:hAnsi="Times New Roman" w:cs="Times New Roman" w:eastAsia="Times New Roman" w:hint="default"/>
                <w:sz w:val="13"/>
                <w:szCs w:val="13"/>
              </w:rPr>
            </w:pPr>
            <w:r>
              <w:rPr>
                <w:rFonts w:ascii="Times New Roman"/>
                <w:sz w:val="13"/>
              </w:rPr>
              <w:t>100</w:t>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
              <w:jc w:val="center"/>
              <w:rPr>
                <w:rFonts w:ascii="Times New Roman" w:hAnsi="Times New Roman" w:cs="Times New Roman" w:eastAsia="Times New Roman" w:hint="default"/>
                <w:sz w:val="13"/>
                <w:szCs w:val="13"/>
              </w:rPr>
            </w:pPr>
            <w:r>
              <w:rPr>
                <w:rFonts w:ascii="Times New Roman"/>
                <w:sz w:val="13"/>
              </w:rPr>
              <w:t>100</w:t>
            </w:r>
          </w:p>
        </w:tc>
        <w:tc>
          <w:tcPr>
            <w:tcW w:w="610" w:type="dxa"/>
            <w:tcBorders>
              <w:top w:val="nil" w:sz="6" w:space="0" w:color="auto"/>
              <w:left w:val="nil" w:sz="6" w:space="0" w:color="auto"/>
              <w:bottom w:val="nil" w:sz="6" w:space="0" w:color="auto"/>
              <w:right w:val="nil" w:sz="6" w:space="0" w:color="auto"/>
            </w:tcBorders>
          </w:tcPr>
          <w:p>
            <w:pPr>
              <w:pStyle w:val="TableParagraph"/>
              <w:spacing w:line="137" w:lineRule="exact"/>
              <w:ind w:right="65"/>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214"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129" w:lineRule="exact"/>
              <w:ind w:left="122"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587" w:type="dxa"/>
            <w:tcBorders>
              <w:top w:val="nil" w:sz="6" w:space="0" w:color="auto"/>
              <w:left w:val="nil" w:sz="6" w:space="0" w:color="auto"/>
              <w:bottom w:val="nil" w:sz="6" w:space="0" w:color="auto"/>
              <w:right w:val="nil" w:sz="6" w:space="0" w:color="auto"/>
            </w:tcBorders>
          </w:tcPr>
          <w:p>
            <w:pPr/>
          </w:p>
        </w:tc>
        <w:tc>
          <w:tcPr>
            <w:tcW w:w="602"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Style w:val="TableParagraph"/>
              <w:spacing w:line="129" w:lineRule="exact"/>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223"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3"/>
                <w:szCs w:val="13"/>
              </w:rPr>
            </w:pPr>
            <w:r>
              <w:rPr>
                <w:rFonts w:ascii="宋体" w:hAnsi="宋体" w:cs="宋体" w:eastAsia="宋体" w:hint="default"/>
                <w:sz w:val="13"/>
                <w:szCs w:val="13"/>
              </w:rPr>
              <w:t>上海东软时代信息集</w:t>
            </w:r>
          </w:p>
        </w:tc>
        <w:tc>
          <w:tcPr>
            <w:tcW w:w="587" w:type="dxa"/>
            <w:tcBorders>
              <w:top w:val="nil" w:sz="6" w:space="0" w:color="auto"/>
              <w:left w:val="nil" w:sz="6" w:space="0" w:color="auto"/>
              <w:bottom w:val="nil" w:sz="6" w:space="0" w:color="auto"/>
              <w:right w:val="nil" w:sz="6" w:space="0" w:color="auto"/>
            </w:tcBorders>
          </w:tcPr>
          <w:p>
            <w:pPr/>
          </w:p>
        </w:tc>
        <w:tc>
          <w:tcPr>
            <w:tcW w:w="602"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368"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成技术有限公司</w:t>
            </w:r>
          </w:p>
        </w:tc>
        <w:tc>
          <w:tcPr>
            <w:tcW w:w="587" w:type="dxa"/>
            <w:tcBorders>
              <w:top w:val="nil" w:sz="6" w:space="0" w:color="auto"/>
              <w:left w:val="nil" w:sz="6" w:space="0" w:color="auto"/>
              <w:bottom w:val="nil" w:sz="6" w:space="0" w:color="auto"/>
              <w:right w:val="nil" w:sz="6" w:space="0" w:color="auto"/>
            </w:tcBorders>
          </w:tcPr>
          <w:p>
            <w:pPr>
              <w:pStyle w:val="TableParagraph"/>
              <w:spacing w:line="137" w:lineRule="exact"/>
              <w:ind w:right="1"/>
              <w:jc w:val="center"/>
              <w:rPr>
                <w:rFonts w:ascii="宋体" w:hAnsi="宋体" w:cs="宋体" w:eastAsia="宋体" w:hint="default"/>
                <w:sz w:val="13"/>
                <w:szCs w:val="13"/>
              </w:rPr>
            </w:pPr>
            <w:r>
              <w:rPr>
                <w:rFonts w:ascii="宋体" w:hAnsi="宋体" w:cs="宋体" w:eastAsia="宋体" w:hint="default"/>
                <w:sz w:val="13"/>
                <w:szCs w:val="13"/>
              </w:rPr>
              <w:t>全资</w:t>
            </w:r>
          </w:p>
        </w:tc>
        <w:tc>
          <w:tcPr>
            <w:tcW w:w="602" w:type="dxa"/>
            <w:tcBorders>
              <w:top w:val="nil" w:sz="6" w:space="0" w:color="auto"/>
              <w:left w:val="nil" w:sz="6" w:space="0" w:color="auto"/>
              <w:bottom w:val="nil" w:sz="6" w:space="0" w:color="auto"/>
              <w:right w:val="nil" w:sz="6" w:space="0" w:color="auto"/>
            </w:tcBorders>
          </w:tcPr>
          <w:p>
            <w:pPr>
              <w:pStyle w:val="TableParagraph"/>
              <w:spacing w:line="137" w:lineRule="exact"/>
              <w:ind w:right="86"/>
              <w:jc w:val="center"/>
              <w:rPr>
                <w:rFonts w:ascii="宋体" w:hAnsi="宋体" w:cs="宋体" w:eastAsia="宋体" w:hint="default"/>
                <w:sz w:val="13"/>
                <w:szCs w:val="13"/>
              </w:rPr>
            </w:pPr>
            <w:r>
              <w:rPr>
                <w:rFonts w:ascii="宋体" w:hAnsi="宋体" w:cs="宋体" w:eastAsia="宋体" w:hint="default"/>
                <w:sz w:val="13"/>
                <w:szCs w:val="13"/>
              </w:rPr>
              <w:t>上海</w:t>
            </w: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1380" w:type="dxa"/>
            <w:tcBorders>
              <w:top w:val="nil" w:sz="6" w:space="0" w:color="auto"/>
              <w:left w:val="nil" w:sz="6" w:space="0" w:color="auto"/>
              <w:bottom w:val="nil" w:sz="6" w:space="0" w:color="auto"/>
              <w:right w:val="nil" w:sz="6" w:space="0" w:color="auto"/>
            </w:tcBorders>
          </w:tcPr>
          <w:p>
            <w:pPr>
              <w:pStyle w:val="TableParagraph"/>
              <w:spacing w:line="137" w:lineRule="exact"/>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46"/>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6"/>
              <w:ind w:left="55" w:right="0"/>
              <w:jc w:val="center"/>
              <w:rPr>
                <w:rFonts w:ascii="Times New Roman" w:hAnsi="Times New Roman" w:cs="Times New Roman" w:eastAsia="Times New Roman" w:hint="default"/>
                <w:sz w:val="13"/>
                <w:szCs w:val="13"/>
              </w:rPr>
            </w:pPr>
            <w:r>
              <w:rPr>
                <w:rFonts w:ascii="Times New Roman"/>
                <w:sz w:val="13"/>
              </w:rPr>
              <w:t>100</w:t>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
              <w:jc w:val="center"/>
              <w:rPr>
                <w:rFonts w:ascii="Times New Roman" w:hAnsi="Times New Roman" w:cs="Times New Roman" w:eastAsia="Times New Roman" w:hint="default"/>
                <w:sz w:val="13"/>
                <w:szCs w:val="13"/>
              </w:rPr>
            </w:pPr>
            <w:r>
              <w:rPr>
                <w:rFonts w:ascii="Times New Roman"/>
                <w:sz w:val="13"/>
              </w:rPr>
              <w:t>100</w:t>
            </w:r>
          </w:p>
        </w:tc>
        <w:tc>
          <w:tcPr>
            <w:tcW w:w="610" w:type="dxa"/>
            <w:tcBorders>
              <w:top w:val="nil" w:sz="6" w:space="0" w:color="auto"/>
              <w:left w:val="nil" w:sz="6" w:space="0" w:color="auto"/>
              <w:bottom w:val="nil" w:sz="6" w:space="0" w:color="auto"/>
              <w:right w:val="nil" w:sz="6" w:space="0" w:color="auto"/>
            </w:tcBorders>
          </w:tcPr>
          <w:p>
            <w:pPr>
              <w:pStyle w:val="TableParagraph"/>
              <w:spacing w:line="137" w:lineRule="exact"/>
              <w:ind w:right="65"/>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223"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3"/>
                <w:szCs w:val="13"/>
              </w:rPr>
            </w:pPr>
            <w:r>
              <w:rPr>
                <w:rFonts w:ascii="宋体" w:hAnsi="宋体" w:cs="宋体" w:eastAsia="宋体" w:hint="default"/>
                <w:sz w:val="13"/>
                <w:szCs w:val="13"/>
              </w:rPr>
              <w:t>沈阳东软医疗系统有</w:t>
            </w:r>
          </w:p>
        </w:tc>
        <w:tc>
          <w:tcPr>
            <w:tcW w:w="587" w:type="dxa"/>
            <w:tcBorders>
              <w:top w:val="nil" w:sz="6" w:space="0" w:color="auto"/>
              <w:left w:val="nil" w:sz="6" w:space="0" w:color="auto"/>
              <w:bottom w:val="nil" w:sz="6" w:space="0" w:color="auto"/>
              <w:right w:val="nil" w:sz="6" w:space="0" w:color="auto"/>
            </w:tcBorders>
          </w:tcPr>
          <w:p>
            <w:pPr/>
          </w:p>
        </w:tc>
        <w:tc>
          <w:tcPr>
            <w:tcW w:w="602"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368"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限公司</w:t>
            </w:r>
          </w:p>
        </w:tc>
        <w:tc>
          <w:tcPr>
            <w:tcW w:w="587" w:type="dxa"/>
            <w:tcBorders>
              <w:top w:val="nil" w:sz="6" w:space="0" w:color="auto"/>
              <w:left w:val="nil" w:sz="6" w:space="0" w:color="auto"/>
              <w:bottom w:val="nil" w:sz="6" w:space="0" w:color="auto"/>
              <w:right w:val="nil" w:sz="6" w:space="0" w:color="auto"/>
            </w:tcBorders>
          </w:tcPr>
          <w:p>
            <w:pPr>
              <w:pStyle w:val="TableParagraph"/>
              <w:spacing w:line="137" w:lineRule="exact"/>
              <w:ind w:right="1"/>
              <w:jc w:val="center"/>
              <w:rPr>
                <w:rFonts w:ascii="宋体" w:hAnsi="宋体" w:cs="宋体" w:eastAsia="宋体" w:hint="default"/>
                <w:sz w:val="13"/>
                <w:szCs w:val="13"/>
              </w:rPr>
            </w:pPr>
            <w:r>
              <w:rPr>
                <w:rFonts w:ascii="宋体" w:hAnsi="宋体" w:cs="宋体" w:eastAsia="宋体" w:hint="default"/>
                <w:sz w:val="13"/>
                <w:szCs w:val="13"/>
              </w:rPr>
              <w:t>全资</w:t>
            </w:r>
          </w:p>
        </w:tc>
        <w:tc>
          <w:tcPr>
            <w:tcW w:w="602" w:type="dxa"/>
            <w:tcBorders>
              <w:top w:val="nil" w:sz="6" w:space="0" w:color="auto"/>
              <w:left w:val="nil" w:sz="6" w:space="0" w:color="auto"/>
              <w:bottom w:val="nil" w:sz="6" w:space="0" w:color="auto"/>
              <w:right w:val="nil" w:sz="6" w:space="0" w:color="auto"/>
            </w:tcBorders>
          </w:tcPr>
          <w:p>
            <w:pPr>
              <w:pStyle w:val="TableParagraph"/>
              <w:spacing w:line="137" w:lineRule="exact"/>
              <w:ind w:right="86"/>
              <w:jc w:val="center"/>
              <w:rPr>
                <w:rFonts w:ascii="宋体" w:hAnsi="宋体" w:cs="宋体" w:eastAsia="宋体" w:hint="default"/>
                <w:sz w:val="13"/>
                <w:szCs w:val="13"/>
              </w:rPr>
            </w:pPr>
            <w:r>
              <w:rPr>
                <w:rFonts w:ascii="宋体" w:hAnsi="宋体" w:cs="宋体" w:eastAsia="宋体" w:hint="default"/>
                <w:sz w:val="13"/>
                <w:szCs w:val="13"/>
              </w:rPr>
              <w:t>沈阳</w:t>
            </w: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Times New Roman" w:hAnsi="Times New Roman" w:cs="Times New Roman" w:eastAsia="Times New Roman" w:hint="default"/>
                <w:sz w:val="13"/>
                <w:szCs w:val="13"/>
              </w:rPr>
            </w:pPr>
            <w:r>
              <w:rPr>
                <w:rFonts w:ascii="Times New Roman"/>
                <w:w w:val="95"/>
                <w:sz w:val="13"/>
              </w:rPr>
              <w:t>78,000,000</w:t>
            </w:r>
            <w:r>
              <w:rPr>
                <w:rFonts w:ascii="Times New Roman"/>
                <w:sz w:val="13"/>
              </w:rPr>
            </w:r>
          </w:p>
        </w:tc>
        <w:tc>
          <w:tcPr>
            <w:tcW w:w="1380" w:type="dxa"/>
            <w:tcBorders>
              <w:top w:val="nil" w:sz="6" w:space="0" w:color="auto"/>
              <w:left w:val="nil" w:sz="6" w:space="0" w:color="auto"/>
              <w:bottom w:val="nil" w:sz="6" w:space="0" w:color="auto"/>
              <w:right w:val="nil" w:sz="6" w:space="0" w:color="auto"/>
            </w:tcBorders>
          </w:tcPr>
          <w:p>
            <w:pPr>
              <w:pStyle w:val="TableParagraph"/>
              <w:spacing w:line="137" w:lineRule="exact"/>
              <w:ind w:left="108" w:right="0"/>
              <w:jc w:val="left"/>
              <w:rPr>
                <w:rFonts w:ascii="宋体" w:hAnsi="宋体" w:cs="宋体" w:eastAsia="宋体" w:hint="default"/>
                <w:sz w:val="13"/>
                <w:szCs w:val="13"/>
              </w:rPr>
            </w:pPr>
            <w:r>
              <w:rPr>
                <w:rFonts w:ascii="宋体" w:hAnsi="宋体" w:cs="宋体" w:eastAsia="宋体" w:hint="default"/>
                <w:sz w:val="13"/>
                <w:szCs w:val="13"/>
              </w:rPr>
              <w:t>经营医疗系统</w:t>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46"/>
              <w:jc w:val="right"/>
              <w:rPr>
                <w:rFonts w:ascii="Times New Roman" w:hAnsi="Times New Roman" w:cs="Times New Roman" w:eastAsia="Times New Roman" w:hint="default"/>
                <w:sz w:val="13"/>
                <w:szCs w:val="13"/>
              </w:rPr>
            </w:pPr>
            <w:r>
              <w:rPr>
                <w:rFonts w:ascii="Times New Roman"/>
                <w:w w:val="95"/>
                <w:sz w:val="13"/>
              </w:rPr>
              <w:t>87,082,539</w:t>
            </w:r>
            <w:r>
              <w:rPr>
                <w:rFonts w:ascii="Times New Roman"/>
                <w:sz w:val="13"/>
              </w:rPr>
            </w: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6"/>
              <w:ind w:left="55" w:right="0"/>
              <w:jc w:val="center"/>
              <w:rPr>
                <w:rFonts w:ascii="Times New Roman" w:hAnsi="Times New Roman" w:cs="Times New Roman" w:eastAsia="Times New Roman" w:hint="default"/>
                <w:sz w:val="13"/>
                <w:szCs w:val="13"/>
              </w:rPr>
            </w:pPr>
            <w:r>
              <w:rPr>
                <w:rFonts w:ascii="Times New Roman"/>
                <w:sz w:val="13"/>
              </w:rPr>
              <w:t>100</w:t>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
              <w:jc w:val="center"/>
              <w:rPr>
                <w:rFonts w:ascii="Times New Roman" w:hAnsi="Times New Roman" w:cs="Times New Roman" w:eastAsia="Times New Roman" w:hint="default"/>
                <w:sz w:val="13"/>
                <w:szCs w:val="13"/>
              </w:rPr>
            </w:pPr>
            <w:r>
              <w:rPr>
                <w:rFonts w:ascii="Times New Roman"/>
                <w:sz w:val="13"/>
              </w:rPr>
              <w:t>100</w:t>
            </w:r>
          </w:p>
        </w:tc>
        <w:tc>
          <w:tcPr>
            <w:tcW w:w="610" w:type="dxa"/>
            <w:tcBorders>
              <w:top w:val="nil" w:sz="6" w:space="0" w:color="auto"/>
              <w:left w:val="nil" w:sz="6" w:space="0" w:color="auto"/>
              <w:bottom w:val="nil" w:sz="6" w:space="0" w:color="auto"/>
              <w:right w:val="nil" w:sz="6" w:space="0" w:color="auto"/>
            </w:tcBorders>
          </w:tcPr>
          <w:p>
            <w:pPr>
              <w:pStyle w:val="TableParagraph"/>
              <w:spacing w:line="137" w:lineRule="exact"/>
              <w:ind w:right="65"/>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223"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3"/>
                <w:szCs w:val="13"/>
              </w:rPr>
            </w:pPr>
            <w:r>
              <w:rPr>
                <w:rFonts w:ascii="宋体" w:hAnsi="宋体" w:cs="宋体" w:eastAsia="宋体" w:hint="default"/>
                <w:sz w:val="13"/>
                <w:szCs w:val="13"/>
              </w:rPr>
              <w:t>山东东软系统集成有</w:t>
            </w:r>
          </w:p>
        </w:tc>
        <w:tc>
          <w:tcPr>
            <w:tcW w:w="587" w:type="dxa"/>
            <w:tcBorders>
              <w:top w:val="nil" w:sz="6" w:space="0" w:color="auto"/>
              <w:left w:val="nil" w:sz="6" w:space="0" w:color="auto"/>
              <w:bottom w:val="nil" w:sz="6" w:space="0" w:color="auto"/>
              <w:right w:val="nil" w:sz="6" w:space="0" w:color="auto"/>
            </w:tcBorders>
          </w:tcPr>
          <w:p>
            <w:pPr/>
          </w:p>
        </w:tc>
        <w:tc>
          <w:tcPr>
            <w:tcW w:w="602"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152" w:hRule="exact"/>
        </w:trPr>
        <w:tc>
          <w:tcPr>
            <w:tcW w:w="1454" w:type="dxa"/>
            <w:tcBorders>
              <w:top w:val="nil" w:sz="6" w:space="0" w:color="auto"/>
              <w:left w:val="nil" w:sz="6" w:space="0" w:color="auto"/>
              <w:bottom w:val="nil" w:sz="6" w:space="0" w:color="auto"/>
              <w:right w:val="nil" w:sz="6" w:space="0" w:color="auto"/>
            </w:tcBorders>
          </w:tcPr>
          <w:p>
            <w:pPr/>
          </w:p>
        </w:tc>
        <w:tc>
          <w:tcPr>
            <w:tcW w:w="587" w:type="dxa"/>
            <w:tcBorders>
              <w:top w:val="nil" w:sz="6" w:space="0" w:color="auto"/>
              <w:left w:val="nil" w:sz="6" w:space="0" w:color="auto"/>
              <w:bottom w:val="nil" w:sz="6" w:space="0" w:color="auto"/>
              <w:right w:val="nil" w:sz="6" w:space="0" w:color="auto"/>
            </w:tcBorders>
          </w:tcPr>
          <w:p>
            <w:pPr>
              <w:pStyle w:val="TableParagraph"/>
              <w:spacing w:line="137" w:lineRule="exact"/>
              <w:ind w:right="1"/>
              <w:jc w:val="center"/>
              <w:rPr>
                <w:rFonts w:ascii="宋体" w:hAnsi="宋体" w:cs="宋体" w:eastAsia="宋体" w:hint="default"/>
                <w:sz w:val="13"/>
                <w:szCs w:val="13"/>
              </w:rPr>
            </w:pPr>
            <w:r>
              <w:rPr>
                <w:rFonts w:ascii="宋体" w:hAnsi="宋体" w:cs="宋体" w:eastAsia="宋体" w:hint="default"/>
                <w:sz w:val="13"/>
                <w:szCs w:val="13"/>
              </w:rPr>
              <w:t>全资</w:t>
            </w:r>
          </w:p>
        </w:tc>
        <w:tc>
          <w:tcPr>
            <w:tcW w:w="602" w:type="dxa"/>
            <w:tcBorders>
              <w:top w:val="nil" w:sz="6" w:space="0" w:color="auto"/>
              <w:left w:val="nil" w:sz="6" w:space="0" w:color="auto"/>
              <w:bottom w:val="nil" w:sz="6" w:space="0" w:color="auto"/>
              <w:right w:val="nil" w:sz="6" w:space="0" w:color="auto"/>
            </w:tcBorders>
          </w:tcPr>
          <w:p>
            <w:pPr>
              <w:pStyle w:val="TableParagraph"/>
              <w:spacing w:line="137" w:lineRule="exact"/>
              <w:ind w:right="86"/>
              <w:jc w:val="center"/>
              <w:rPr>
                <w:rFonts w:ascii="宋体" w:hAnsi="宋体" w:cs="宋体" w:eastAsia="宋体" w:hint="default"/>
                <w:sz w:val="13"/>
                <w:szCs w:val="13"/>
              </w:rPr>
            </w:pPr>
            <w:r>
              <w:rPr>
                <w:rFonts w:ascii="宋体" w:hAnsi="宋体" w:cs="宋体" w:eastAsia="宋体" w:hint="default"/>
                <w:sz w:val="13"/>
                <w:szCs w:val="13"/>
              </w:rPr>
              <w:t>青岛</w:t>
            </w:r>
          </w:p>
        </w:tc>
        <w:tc>
          <w:tcPr>
            <w:tcW w:w="914" w:type="dxa"/>
            <w:tcBorders>
              <w:top w:val="nil" w:sz="6" w:space="0" w:color="auto"/>
              <w:left w:val="nil" w:sz="6" w:space="0" w:color="auto"/>
              <w:bottom w:val="nil" w:sz="6" w:space="0" w:color="auto"/>
              <w:right w:val="nil" w:sz="6" w:space="0" w:color="auto"/>
            </w:tcBorders>
          </w:tcPr>
          <w:p>
            <w:pP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Times New Roman" w:hAnsi="Times New Roman" w:cs="Times New Roman" w:eastAsia="Times New Roman" w:hint="default"/>
                <w:sz w:val="13"/>
                <w:szCs w:val="13"/>
              </w:rPr>
            </w:pPr>
            <w:r>
              <w:rPr>
                <w:rFonts w:ascii="Times New Roman"/>
                <w:w w:val="95"/>
                <w:sz w:val="13"/>
              </w:rPr>
              <w:t>15,000,000</w:t>
            </w:r>
            <w:r>
              <w:rPr>
                <w:rFonts w:ascii="Times New Roman"/>
                <w:sz w:val="13"/>
              </w:rPr>
            </w:r>
          </w:p>
        </w:tc>
        <w:tc>
          <w:tcPr>
            <w:tcW w:w="1380" w:type="dxa"/>
            <w:tcBorders>
              <w:top w:val="nil" w:sz="6" w:space="0" w:color="auto"/>
              <w:left w:val="nil" w:sz="6" w:space="0" w:color="auto"/>
              <w:bottom w:val="nil" w:sz="6" w:space="0" w:color="auto"/>
              <w:right w:val="nil" w:sz="6" w:space="0" w:color="auto"/>
            </w:tcBorders>
          </w:tcPr>
          <w:p>
            <w:pPr>
              <w:pStyle w:val="TableParagraph"/>
              <w:spacing w:line="137" w:lineRule="exact"/>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46"/>
              <w:jc w:val="right"/>
              <w:rPr>
                <w:rFonts w:ascii="Times New Roman" w:hAnsi="Times New Roman" w:cs="Times New Roman" w:eastAsia="Times New Roman" w:hint="default"/>
                <w:sz w:val="13"/>
                <w:szCs w:val="13"/>
              </w:rPr>
            </w:pPr>
            <w:r>
              <w:rPr>
                <w:rFonts w:ascii="Times New Roman"/>
                <w:w w:val="95"/>
                <w:sz w:val="13"/>
              </w:rPr>
              <w:t>15,000,000</w:t>
            </w:r>
            <w:r>
              <w:rPr>
                <w:rFonts w:ascii="Times New Roman"/>
                <w:sz w:val="13"/>
              </w:rPr>
            </w: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6"/>
              <w:ind w:left="55" w:right="0"/>
              <w:jc w:val="center"/>
              <w:rPr>
                <w:rFonts w:ascii="Times New Roman" w:hAnsi="Times New Roman" w:cs="Times New Roman" w:eastAsia="Times New Roman" w:hint="default"/>
                <w:sz w:val="13"/>
                <w:szCs w:val="13"/>
              </w:rPr>
            </w:pPr>
            <w:r>
              <w:rPr>
                <w:rFonts w:ascii="Times New Roman"/>
                <w:sz w:val="13"/>
              </w:rPr>
              <w:t>100</w:t>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
              <w:jc w:val="center"/>
              <w:rPr>
                <w:rFonts w:ascii="Times New Roman" w:hAnsi="Times New Roman" w:cs="Times New Roman" w:eastAsia="Times New Roman" w:hint="default"/>
                <w:sz w:val="13"/>
                <w:szCs w:val="13"/>
              </w:rPr>
            </w:pPr>
            <w:r>
              <w:rPr>
                <w:rFonts w:ascii="Times New Roman"/>
                <w:sz w:val="13"/>
              </w:rPr>
              <w:t>100</w:t>
            </w:r>
          </w:p>
        </w:tc>
        <w:tc>
          <w:tcPr>
            <w:tcW w:w="610" w:type="dxa"/>
            <w:tcBorders>
              <w:top w:val="nil" w:sz="6" w:space="0" w:color="auto"/>
              <w:left w:val="nil" w:sz="6" w:space="0" w:color="auto"/>
              <w:bottom w:val="nil" w:sz="6" w:space="0" w:color="auto"/>
              <w:right w:val="nil" w:sz="6" w:space="0" w:color="auto"/>
            </w:tcBorders>
          </w:tcPr>
          <w:p>
            <w:pPr>
              <w:pStyle w:val="TableParagraph"/>
              <w:spacing w:line="137" w:lineRule="exact"/>
              <w:ind w:right="65"/>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214"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129" w:lineRule="exact"/>
              <w:ind w:left="122" w:right="0"/>
              <w:jc w:val="left"/>
              <w:rPr>
                <w:rFonts w:ascii="宋体" w:hAnsi="宋体" w:cs="宋体" w:eastAsia="宋体" w:hint="default"/>
                <w:sz w:val="13"/>
                <w:szCs w:val="13"/>
              </w:rPr>
            </w:pPr>
            <w:r>
              <w:rPr>
                <w:rFonts w:ascii="宋体" w:hAnsi="宋体" w:cs="宋体" w:eastAsia="宋体" w:hint="default"/>
                <w:sz w:val="13"/>
                <w:szCs w:val="13"/>
              </w:rPr>
              <w:t>限公司</w:t>
            </w:r>
          </w:p>
        </w:tc>
        <w:tc>
          <w:tcPr>
            <w:tcW w:w="587" w:type="dxa"/>
            <w:tcBorders>
              <w:top w:val="nil" w:sz="6" w:space="0" w:color="auto"/>
              <w:left w:val="nil" w:sz="6" w:space="0" w:color="auto"/>
              <w:bottom w:val="nil" w:sz="6" w:space="0" w:color="auto"/>
              <w:right w:val="nil" w:sz="6" w:space="0" w:color="auto"/>
            </w:tcBorders>
          </w:tcPr>
          <w:p>
            <w:pPr/>
          </w:p>
        </w:tc>
        <w:tc>
          <w:tcPr>
            <w:tcW w:w="602"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Style w:val="TableParagraph"/>
              <w:spacing w:line="129" w:lineRule="exact"/>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
        </w:tc>
        <w:tc>
          <w:tcPr>
            <w:tcW w:w="606"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226" w:hRule="exact"/>
        </w:trPr>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3"/>
                <w:szCs w:val="13"/>
              </w:rPr>
            </w:pPr>
            <w:r>
              <w:rPr>
                <w:rFonts w:ascii="宋体" w:hAnsi="宋体" w:cs="宋体" w:eastAsia="宋体" w:hint="default"/>
                <w:sz w:val="13"/>
                <w:szCs w:val="13"/>
              </w:rPr>
              <w:t>大连东软金融信息技</w:t>
            </w:r>
          </w:p>
        </w:tc>
        <w:tc>
          <w:tcPr>
            <w:tcW w:w="587" w:type="dxa"/>
            <w:tcBorders>
              <w:top w:val="nil" w:sz="6" w:space="0" w:color="auto"/>
              <w:left w:val="nil" w:sz="6" w:space="0" w:color="auto"/>
              <w:bottom w:val="nil" w:sz="6" w:space="0" w:color="auto"/>
              <w:right w:val="nil" w:sz="6" w:space="0" w:color="auto"/>
            </w:tcBorders>
          </w:tcPr>
          <w:p>
            <w:pPr/>
          </w:p>
        </w:tc>
        <w:tc>
          <w:tcPr>
            <w:tcW w:w="602"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0"/>
              <w:jc w:val="right"/>
              <w:rPr>
                <w:rFonts w:ascii="宋体" w:hAnsi="宋体" w:cs="宋体" w:eastAsia="宋体" w:hint="default"/>
                <w:sz w:val="13"/>
                <w:szCs w:val="13"/>
              </w:rPr>
            </w:pPr>
            <w:r>
              <w:rPr>
                <w:rFonts w:ascii="宋体" w:hAnsi="宋体" w:cs="宋体" w:eastAsia="宋体" w:hint="default"/>
                <w:w w:val="95"/>
                <w:sz w:val="13"/>
                <w:szCs w:val="13"/>
              </w:rPr>
              <w:t>美元</w:t>
            </w:r>
            <w:r>
              <w:rPr>
                <w:rFonts w:ascii="宋体" w:hAnsi="宋体" w:cs="宋体" w:eastAsia="宋体" w:hint="default"/>
                <w:sz w:val="13"/>
                <w:szCs w:val="13"/>
              </w:rPr>
            </w:r>
          </w:p>
        </w:tc>
        <w:tc>
          <w:tcPr>
            <w:tcW w:w="1380"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2" w:right="0"/>
              <w:jc w:val="center"/>
              <w:rPr>
                <w:rFonts w:ascii="Times New Roman" w:hAnsi="Times New Roman" w:cs="Times New Roman" w:eastAsia="Times New Roman" w:hint="default"/>
                <w:sz w:val="13"/>
                <w:szCs w:val="13"/>
              </w:rPr>
            </w:pPr>
            <w:r>
              <w:rPr>
                <w:rFonts w:ascii="宋体" w:hAnsi="宋体" w:cs="宋体" w:eastAsia="宋体" w:hint="default"/>
                <w:sz w:val="13"/>
                <w:szCs w:val="13"/>
              </w:rPr>
              <w:t>直接</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69</w:t>
            </w:r>
          </w:p>
        </w:tc>
        <w:tc>
          <w:tcPr>
            <w:tcW w:w="606"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230" w:type="dxa"/>
            <w:tcBorders>
              <w:top w:val="nil" w:sz="6" w:space="0" w:color="auto"/>
              <w:left w:val="nil" w:sz="6" w:space="0" w:color="auto"/>
              <w:bottom w:val="nil" w:sz="6" w:space="0" w:color="auto"/>
              <w:right w:val="nil" w:sz="6" w:space="0" w:color="auto"/>
            </w:tcBorders>
          </w:tcPr>
          <w:p>
            <w:pPr/>
          </w:p>
        </w:tc>
      </w:tr>
      <w:tr>
        <w:trPr>
          <w:trHeight w:val="312" w:hRule="exact"/>
        </w:trPr>
        <w:tc>
          <w:tcPr>
            <w:tcW w:w="1454" w:type="dxa"/>
            <w:tcBorders>
              <w:top w:val="nil" w:sz="6" w:space="0" w:color="auto"/>
              <w:left w:val="nil" w:sz="6" w:space="0" w:color="auto"/>
              <w:bottom w:val="single" w:sz="8" w:space="0" w:color="000000"/>
              <w:right w:val="nil" w:sz="6" w:space="0" w:color="auto"/>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术有限公司</w:t>
            </w:r>
          </w:p>
        </w:tc>
        <w:tc>
          <w:tcPr>
            <w:tcW w:w="587" w:type="dxa"/>
            <w:tcBorders>
              <w:top w:val="nil" w:sz="6" w:space="0" w:color="auto"/>
              <w:left w:val="nil" w:sz="6" w:space="0" w:color="auto"/>
              <w:bottom w:val="single" w:sz="8" w:space="0" w:color="000000"/>
              <w:right w:val="nil" w:sz="6" w:space="0" w:color="auto"/>
            </w:tcBorders>
          </w:tcPr>
          <w:p>
            <w:pPr>
              <w:pStyle w:val="TableParagraph"/>
              <w:spacing w:line="134" w:lineRule="exact"/>
              <w:ind w:right="1"/>
              <w:jc w:val="center"/>
              <w:rPr>
                <w:rFonts w:ascii="宋体" w:hAnsi="宋体" w:cs="宋体" w:eastAsia="宋体" w:hint="default"/>
                <w:sz w:val="13"/>
                <w:szCs w:val="13"/>
              </w:rPr>
            </w:pPr>
            <w:r>
              <w:rPr>
                <w:rFonts w:ascii="宋体" w:hAnsi="宋体" w:cs="宋体" w:eastAsia="宋体" w:hint="default"/>
                <w:sz w:val="13"/>
                <w:szCs w:val="13"/>
              </w:rPr>
              <w:t>全资</w:t>
            </w:r>
          </w:p>
        </w:tc>
        <w:tc>
          <w:tcPr>
            <w:tcW w:w="602" w:type="dxa"/>
            <w:tcBorders>
              <w:top w:val="nil" w:sz="6" w:space="0" w:color="auto"/>
              <w:left w:val="nil" w:sz="6" w:space="0" w:color="auto"/>
              <w:bottom w:val="single" w:sz="8" w:space="0" w:color="000000"/>
              <w:right w:val="nil" w:sz="6" w:space="0" w:color="auto"/>
            </w:tcBorders>
          </w:tcPr>
          <w:p>
            <w:pPr>
              <w:pStyle w:val="TableParagraph"/>
              <w:spacing w:line="134" w:lineRule="exact"/>
              <w:ind w:right="86"/>
              <w:jc w:val="center"/>
              <w:rPr>
                <w:rFonts w:ascii="宋体" w:hAnsi="宋体" w:cs="宋体" w:eastAsia="宋体" w:hint="default"/>
                <w:sz w:val="13"/>
                <w:szCs w:val="13"/>
              </w:rPr>
            </w:pPr>
            <w:r>
              <w:rPr>
                <w:rFonts w:ascii="宋体" w:hAnsi="宋体" w:cs="宋体" w:eastAsia="宋体" w:hint="default"/>
                <w:sz w:val="13"/>
                <w:szCs w:val="13"/>
              </w:rPr>
              <w:t>大连</w:t>
            </w:r>
          </w:p>
        </w:tc>
        <w:tc>
          <w:tcPr>
            <w:tcW w:w="914" w:type="dxa"/>
            <w:tcBorders>
              <w:top w:val="nil" w:sz="6" w:space="0" w:color="auto"/>
              <w:left w:val="nil" w:sz="6" w:space="0" w:color="auto"/>
              <w:bottom w:val="single" w:sz="8" w:space="0" w:color="000000"/>
              <w:right w:val="nil" w:sz="6" w:space="0" w:color="auto"/>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single" w:sz="8" w:space="0" w:color="000000"/>
              <w:right w:val="nil" w:sz="6" w:space="0" w:color="auto"/>
            </w:tcBorders>
          </w:tcPr>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1380" w:type="dxa"/>
            <w:tcBorders>
              <w:top w:val="nil" w:sz="6" w:space="0" w:color="auto"/>
              <w:left w:val="nil" w:sz="6" w:space="0" w:color="auto"/>
              <w:bottom w:val="single" w:sz="8" w:space="0" w:color="000000"/>
              <w:right w:val="nil" w:sz="6" w:space="0" w:color="auto"/>
            </w:tcBorders>
          </w:tcPr>
          <w:p>
            <w:pPr>
              <w:pStyle w:val="TableParagraph"/>
              <w:spacing w:line="134" w:lineRule="exact"/>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964" w:type="dxa"/>
            <w:tcBorders>
              <w:top w:val="nil" w:sz="6" w:space="0" w:color="auto"/>
              <w:left w:val="nil" w:sz="6" w:space="0" w:color="auto"/>
              <w:bottom w:val="single" w:sz="8" w:space="0" w:color="000000"/>
              <w:right w:val="nil" w:sz="6" w:space="0" w:color="auto"/>
            </w:tcBorders>
          </w:tcPr>
          <w:p>
            <w:pPr>
              <w:pStyle w:val="TableParagraph"/>
              <w:spacing w:line="240" w:lineRule="auto" w:before="2"/>
              <w:ind w:right="146"/>
              <w:jc w:val="right"/>
              <w:rPr>
                <w:rFonts w:ascii="Times New Roman" w:hAnsi="Times New Roman" w:cs="Times New Roman" w:eastAsia="Times New Roman" w:hint="default"/>
                <w:sz w:val="13"/>
                <w:szCs w:val="13"/>
              </w:rPr>
            </w:pPr>
            <w:r>
              <w:rPr>
                <w:rFonts w:ascii="Times New Roman"/>
                <w:w w:val="95"/>
                <w:sz w:val="13"/>
              </w:rPr>
              <w:t>13,491,850</w:t>
            </w:r>
            <w:r>
              <w:rPr>
                <w:rFonts w:ascii="Times New Roman"/>
                <w:sz w:val="13"/>
              </w:rPr>
            </w:r>
          </w:p>
        </w:tc>
        <w:tc>
          <w:tcPr>
            <w:tcW w:w="916" w:type="dxa"/>
            <w:tcBorders>
              <w:top w:val="nil" w:sz="6" w:space="0" w:color="auto"/>
              <w:left w:val="nil" w:sz="6" w:space="0" w:color="auto"/>
              <w:bottom w:val="single" w:sz="8" w:space="0" w:color="000000"/>
              <w:right w:val="nil" w:sz="6" w:space="0" w:color="auto"/>
            </w:tcBorders>
          </w:tcPr>
          <w:p>
            <w:pPr/>
          </w:p>
        </w:tc>
        <w:tc>
          <w:tcPr>
            <w:tcW w:w="626" w:type="dxa"/>
            <w:tcBorders>
              <w:top w:val="nil" w:sz="6" w:space="0" w:color="auto"/>
              <w:left w:val="nil" w:sz="6" w:space="0" w:color="auto"/>
              <w:bottom w:val="single" w:sz="8" w:space="0" w:color="000000"/>
              <w:right w:val="nil" w:sz="6" w:space="0" w:color="auto"/>
            </w:tcBorders>
          </w:tcPr>
          <w:p>
            <w:pPr>
              <w:pStyle w:val="TableParagraph"/>
              <w:spacing w:line="240" w:lineRule="auto" w:before="109"/>
              <w:ind w:left="53" w:right="0"/>
              <w:jc w:val="center"/>
              <w:rPr>
                <w:rFonts w:ascii="Times New Roman" w:hAnsi="Times New Roman" w:cs="Times New Roman" w:eastAsia="Times New Roman" w:hint="default"/>
                <w:sz w:val="13"/>
                <w:szCs w:val="13"/>
              </w:rPr>
            </w:pPr>
            <w:r>
              <w:rPr>
                <w:rFonts w:ascii="宋体" w:hAnsi="宋体" w:cs="宋体" w:eastAsia="宋体" w:hint="default"/>
                <w:sz w:val="13"/>
                <w:szCs w:val="13"/>
              </w:rPr>
              <w:t>间接</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31</w:t>
            </w:r>
          </w:p>
        </w:tc>
        <w:tc>
          <w:tcPr>
            <w:tcW w:w="606" w:type="dxa"/>
            <w:tcBorders>
              <w:top w:val="nil" w:sz="6" w:space="0" w:color="auto"/>
              <w:left w:val="nil" w:sz="6" w:space="0" w:color="auto"/>
              <w:bottom w:val="single" w:sz="8" w:space="0" w:color="000000"/>
              <w:right w:val="nil" w:sz="6" w:space="0" w:color="auto"/>
            </w:tcBorders>
          </w:tcPr>
          <w:p>
            <w:pPr>
              <w:pStyle w:val="TableParagraph"/>
              <w:spacing w:line="240" w:lineRule="auto" w:before="2"/>
              <w:ind w:right="1"/>
              <w:jc w:val="center"/>
              <w:rPr>
                <w:rFonts w:ascii="Times New Roman" w:hAnsi="Times New Roman" w:cs="Times New Roman" w:eastAsia="Times New Roman" w:hint="default"/>
                <w:sz w:val="13"/>
                <w:szCs w:val="13"/>
              </w:rPr>
            </w:pPr>
            <w:r>
              <w:rPr>
                <w:rFonts w:ascii="Times New Roman"/>
                <w:sz w:val="13"/>
              </w:rPr>
              <w:t>100</w:t>
            </w:r>
          </w:p>
        </w:tc>
        <w:tc>
          <w:tcPr>
            <w:tcW w:w="610" w:type="dxa"/>
            <w:tcBorders>
              <w:top w:val="nil" w:sz="6" w:space="0" w:color="auto"/>
              <w:left w:val="nil" w:sz="6" w:space="0" w:color="auto"/>
              <w:bottom w:val="single" w:sz="8" w:space="0" w:color="000000"/>
              <w:right w:val="nil" w:sz="6" w:space="0" w:color="auto"/>
            </w:tcBorders>
          </w:tcPr>
          <w:p>
            <w:pPr>
              <w:pStyle w:val="TableParagraph"/>
              <w:spacing w:line="134" w:lineRule="exact"/>
              <w:ind w:right="65"/>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674" w:type="dxa"/>
            <w:tcBorders>
              <w:top w:val="nil" w:sz="6" w:space="0" w:color="auto"/>
              <w:left w:val="nil" w:sz="6" w:space="0" w:color="auto"/>
              <w:bottom w:val="single" w:sz="8" w:space="0" w:color="000000"/>
              <w:right w:val="nil" w:sz="6" w:space="0" w:color="auto"/>
            </w:tcBorders>
          </w:tcPr>
          <w:p>
            <w:pPr/>
          </w:p>
        </w:tc>
        <w:tc>
          <w:tcPr>
            <w:tcW w:w="992" w:type="dxa"/>
            <w:tcBorders>
              <w:top w:val="nil" w:sz="6" w:space="0" w:color="auto"/>
              <w:left w:val="nil" w:sz="6" w:space="0" w:color="auto"/>
              <w:bottom w:val="single" w:sz="8" w:space="0" w:color="000000"/>
              <w:right w:val="nil" w:sz="6" w:space="0" w:color="auto"/>
            </w:tcBorders>
          </w:tcPr>
          <w:p>
            <w:pPr/>
          </w:p>
        </w:tc>
        <w:tc>
          <w:tcPr>
            <w:tcW w:w="2230" w:type="dxa"/>
            <w:tcBorders>
              <w:top w:val="nil" w:sz="6" w:space="0" w:color="auto"/>
              <w:left w:val="nil" w:sz="6" w:space="0" w:color="auto"/>
              <w:bottom w:val="single" w:sz="8" w:space="0" w:color="000000"/>
              <w:right w:val="nil" w:sz="6" w:space="0" w:color="auto"/>
            </w:tcBorders>
          </w:tcPr>
          <w:p>
            <w:pPr/>
          </w:p>
        </w:tc>
      </w:tr>
    </w:tbl>
    <w:p>
      <w:pPr>
        <w:spacing w:after="0"/>
        <w:sectPr>
          <w:headerReference w:type="default" r:id="rId33"/>
          <w:footerReference w:type="default" r:id="rId34"/>
          <w:pgSz w:w="16840" w:h="11900" w:orient="landscape"/>
          <w:pgMar w:header="883" w:footer="995" w:top="1600" w:bottom="1180" w:left="1300" w:right="1260"/>
          <w:pgNumType w:start="19"/>
        </w:sectPr>
      </w:pPr>
    </w:p>
    <w:p>
      <w:pPr>
        <w:spacing w:line="240" w:lineRule="auto" w:before="12"/>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6840" w:h="11900" w:orient="landscape"/>
          <w:pgMar w:header="883" w:footer="995" w:top="1600" w:bottom="1180" w:left="1300" w:right="1260"/>
        </w:sectPr>
      </w:pPr>
    </w:p>
    <w:p>
      <w:pPr>
        <w:spacing w:line="240" w:lineRule="auto" w:before="0"/>
        <w:rPr>
          <w:rFonts w:ascii="宋体" w:hAnsi="宋体" w:cs="宋体" w:eastAsia="宋体" w:hint="default"/>
          <w:sz w:val="12"/>
          <w:szCs w:val="12"/>
        </w:rPr>
      </w:pPr>
      <w:r>
        <w:rPr/>
        <w:pict>
          <v:group style="position:absolute;margin-left:101.990997pt;margin-top:93.419998pt;width:671.4pt;height:409.6pt;mso-position-horizontal-relative:page;mso-position-vertical-relative:page;z-index:-995584" coordorigin="2040,1868" coordsize="13428,8192">
            <v:group style="position:absolute;left:2049;top:1878;width:1491;height:2" coordorigin="2049,1878" coordsize="1491,2">
              <v:shape style="position:absolute;left:2049;top:1878;width:1491;height:2" coordorigin="2049,1878" coordsize="1491,0" path="m2049,1878l3540,1878e" filled="false" stroked="true" strokeweight=".96001pt" strokecolor="#000000">
                <v:path arrowok="t"/>
              </v:shape>
            </v:group>
            <v:group style="position:absolute;left:3540;top:1878;width:551;height:2" coordorigin="3540,1878" coordsize="551,2">
              <v:shape style="position:absolute;left:3540;top:1878;width:551;height:2" coordorigin="3540,1878" coordsize="551,0" path="m3540,1878l4091,1878e" filled="false" stroked="true" strokeweight=".96001pt" strokecolor="#000000">
                <v:path arrowok="t"/>
              </v:shape>
            </v:group>
            <v:group style="position:absolute;left:4091;top:1878;width:690;height:2" coordorigin="4091,1878" coordsize="690,2">
              <v:shape style="position:absolute;left:4091;top:1878;width:690;height:2" coordorigin="4091,1878" coordsize="690,0" path="m4091,1878l4781,1878e" filled="false" stroked="true" strokeweight=".96001pt" strokecolor="#000000">
                <v:path arrowok="t"/>
              </v:shape>
            </v:group>
            <v:group style="position:absolute;left:4781;top:1878;width:810;height:2" coordorigin="4781,1878" coordsize="810,2">
              <v:shape style="position:absolute;left:4781;top:1878;width:810;height:2" coordorigin="4781,1878" coordsize="810,0" path="m4781,1878l5591,1878e" filled="false" stroked="true" strokeweight=".96001pt" strokecolor="#000000">
                <v:path arrowok="t"/>
              </v:shape>
            </v:group>
            <v:group style="position:absolute;left:5591;top:1878;width:870;height:2" coordorigin="5591,1878" coordsize="870,2">
              <v:shape style="position:absolute;left:5591;top:1878;width:870;height:2" coordorigin="5591,1878" coordsize="870,0" path="m5591,1878l6461,1878e" filled="false" stroked="true" strokeweight=".96001pt" strokecolor="#000000">
                <v:path arrowok="t"/>
              </v:shape>
            </v:group>
            <v:group style="position:absolute;left:6461;top:1878;width:1434;height:2" coordorigin="6461,1878" coordsize="1434,2">
              <v:shape style="position:absolute;left:6461;top:1878;width:1434;height:2" coordorigin="6461,1878" coordsize="1434,0" path="m6461,1878l7895,1878e" filled="false" stroked="true" strokeweight=".96001pt" strokecolor="#000000">
                <v:path arrowok="t"/>
              </v:shape>
            </v:group>
            <v:group style="position:absolute;left:7895;top:1878;width:870;height:2" coordorigin="7895,1878" coordsize="870,2">
              <v:shape style="position:absolute;left:7895;top:1878;width:870;height:2" coordorigin="7895,1878" coordsize="870,0" path="m7895,1878l8765,1878e" filled="false" stroked="true" strokeweight=".96001pt" strokecolor="#000000">
                <v:path arrowok="t"/>
              </v:shape>
            </v:group>
            <v:group style="position:absolute;left:8765;top:1878;width:1011;height:2" coordorigin="8765,1878" coordsize="1011,2">
              <v:shape style="position:absolute;left:8765;top:1878;width:1011;height:2" coordorigin="8765,1878" coordsize="1011,0" path="m8765,1878l9775,1878e" filled="false" stroked="true" strokeweight=".96001pt" strokecolor="#000000">
                <v:path arrowok="t"/>
              </v:shape>
            </v:group>
            <v:group style="position:absolute;left:9775;top:1878;width:572;height:2" coordorigin="9775,1878" coordsize="572,2">
              <v:shape style="position:absolute;left:9775;top:1878;width:572;height:2" coordorigin="9775,1878" coordsize="572,0" path="m9775,1878l10346,1878e" filled="false" stroked="true" strokeweight=".96001pt" strokecolor="#000000">
                <v:path arrowok="t"/>
              </v:shape>
            </v:group>
            <v:group style="position:absolute;left:10346;top:1878;width:604;height:2" coordorigin="10346,1878" coordsize="604,2">
              <v:shape style="position:absolute;left:10346;top:1878;width:604;height:2" coordorigin="10346,1878" coordsize="604,0" path="m10346,1878l10950,1878e" filled="false" stroked="true" strokeweight=".96001pt" strokecolor="#000000">
                <v:path arrowok="t"/>
              </v:shape>
            </v:group>
            <v:group style="position:absolute;left:10950;top:1878;width:548;height:2" coordorigin="10950,1878" coordsize="548,2">
              <v:shape style="position:absolute;left:10950;top:1878;width:548;height:2" coordorigin="10950,1878" coordsize="548,0" path="m10950,1878l11497,1878e" filled="false" stroked="true" strokeweight=".96001pt" strokecolor="#000000">
                <v:path arrowok="t"/>
              </v:shape>
            </v:group>
            <v:group style="position:absolute;left:11497;top:1878;width:680;height:2" coordorigin="11497,1878" coordsize="680,2">
              <v:shape style="position:absolute;left:11497;top:1878;width:680;height:2" coordorigin="11497,1878" coordsize="680,0" path="m11497,1878l12176,1878e" filled="false" stroked="true" strokeweight=".96001pt" strokecolor="#000000">
                <v:path arrowok="t"/>
              </v:shape>
            </v:group>
            <v:group style="position:absolute;left:12176;top:1878;width:1180;height:2" coordorigin="12176,1878" coordsize="1180,2">
              <v:shape style="position:absolute;left:12176;top:1878;width:1180;height:2" coordorigin="12176,1878" coordsize="1180,0" path="m12176,1878l13356,1878e" filled="false" stroked="true" strokeweight=".96001pt" strokecolor="#000000">
                <v:path arrowok="t"/>
              </v:shape>
            </v:group>
            <v:group style="position:absolute;left:13356;top:1878;width:2102;height:2" coordorigin="13356,1878" coordsize="2102,2">
              <v:shape style="position:absolute;left:13356;top:1878;width:2102;height:2" coordorigin="13356,1878" coordsize="2102,0" path="m13356,1878l15457,1878e" filled="false" stroked="true" strokeweight=".96001pt" strokecolor="#000000">
                <v:path arrowok="t"/>
              </v:shape>
              <v:shape style="position:absolute;left:2049;top:1888;width:13418;height:8172" type="#_x0000_t75" stroked="false">
                <v:imagedata r:id="rId36" o:title=""/>
              </v:shape>
            </v:group>
            <w10:wrap type="none"/>
          </v:group>
        </w:pict>
      </w:r>
    </w:p>
    <w:p>
      <w:pPr>
        <w:spacing w:line="240" w:lineRule="auto" w:before="0"/>
        <w:rPr>
          <w:rFonts w:ascii="宋体" w:hAnsi="宋体" w:cs="宋体" w:eastAsia="宋体" w:hint="default"/>
          <w:sz w:val="12"/>
          <w:szCs w:val="12"/>
        </w:rPr>
      </w:pPr>
    </w:p>
    <w:p>
      <w:pPr>
        <w:spacing w:line="240" w:lineRule="auto" w:before="10"/>
        <w:rPr>
          <w:rFonts w:ascii="宋体" w:hAnsi="宋体" w:cs="宋体" w:eastAsia="宋体" w:hint="default"/>
          <w:sz w:val="13"/>
          <w:szCs w:val="13"/>
        </w:rPr>
      </w:pPr>
    </w:p>
    <w:p>
      <w:pPr>
        <w:spacing w:before="0"/>
        <w:ind w:left="1171" w:right="-20" w:firstLine="0"/>
        <w:jc w:val="left"/>
        <w:rPr>
          <w:rFonts w:ascii="宋体" w:hAnsi="宋体" w:cs="宋体" w:eastAsia="宋体" w:hint="default"/>
          <w:sz w:val="13"/>
          <w:szCs w:val="13"/>
        </w:rPr>
      </w:pPr>
      <w:r>
        <w:rPr/>
        <w:pict>
          <v:shape style="position:absolute;margin-left:101.750999pt;margin-top:9.281281pt;width:671.5pt;height:374.1pt;mso-position-horizontal-relative:page;mso-position-vertical-relative:paragraph;z-index:19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09"/>
                    <w:gridCol w:w="532"/>
                    <w:gridCol w:w="667"/>
                    <w:gridCol w:w="850"/>
                    <w:gridCol w:w="872"/>
                    <w:gridCol w:w="1445"/>
                    <w:gridCol w:w="899"/>
                    <w:gridCol w:w="946"/>
                    <w:gridCol w:w="580"/>
                    <w:gridCol w:w="622"/>
                    <w:gridCol w:w="4507"/>
                  </w:tblGrid>
                  <w:tr>
                    <w:trPr>
                      <w:trHeight w:val="438" w:hRule="exact"/>
                    </w:trPr>
                    <w:tc>
                      <w:tcPr>
                        <w:tcW w:w="1509" w:type="dxa"/>
                        <w:tcBorders>
                          <w:top w:val="nil" w:sz="6" w:space="0" w:color="auto"/>
                          <w:left w:val="nil" w:sz="6" w:space="0" w:color="auto"/>
                          <w:bottom w:val="nil" w:sz="6" w:space="0" w:color="auto"/>
                          <w:right w:val="nil" w:sz="6" w:space="0" w:color="auto"/>
                        </w:tcBorders>
                      </w:tcPr>
                      <w:p>
                        <w:pPr/>
                      </w:p>
                    </w:tc>
                    <w:tc>
                      <w:tcPr>
                        <w:tcW w:w="532" w:type="dxa"/>
                        <w:tcBorders>
                          <w:top w:val="nil" w:sz="6" w:space="0" w:color="auto"/>
                          <w:left w:val="nil" w:sz="6" w:space="0" w:color="auto"/>
                          <w:bottom w:val="nil" w:sz="6" w:space="0" w:color="auto"/>
                          <w:right w:val="nil" w:sz="6" w:space="0" w:color="auto"/>
                        </w:tcBorders>
                      </w:tcPr>
                      <w:p>
                        <w:pPr>
                          <w:pStyle w:val="TableParagraph"/>
                          <w:spacing w:line="130" w:lineRule="exact"/>
                          <w:ind w:left="18" w:right="0"/>
                          <w:jc w:val="center"/>
                          <w:rPr>
                            <w:rFonts w:ascii="宋体" w:hAnsi="宋体" w:cs="宋体" w:eastAsia="宋体" w:hint="default"/>
                            <w:sz w:val="13"/>
                            <w:szCs w:val="13"/>
                          </w:rPr>
                        </w:pPr>
                        <w:r>
                          <w:rPr>
                            <w:rFonts w:ascii="宋体" w:hAnsi="宋体" w:cs="宋体" w:eastAsia="宋体" w:hint="default"/>
                            <w:sz w:val="13"/>
                            <w:szCs w:val="13"/>
                          </w:rPr>
                          <w:t>类型</w:t>
                        </w:r>
                      </w:p>
                    </w:tc>
                    <w:tc>
                      <w:tcPr>
                        <w:tcW w:w="667"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872"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Style w:val="TableParagraph"/>
                          <w:spacing w:line="130" w:lineRule="exact"/>
                          <w:ind w:left="294" w:right="0"/>
                          <w:jc w:val="left"/>
                          <w:rPr>
                            <w:rFonts w:ascii="宋体" w:hAnsi="宋体" w:cs="宋体" w:eastAsia="宋体" w:hint="default"/>
                            <w:sz w:val="13"/>
                            <w:szCs w:val="13"/>
                          </w:rPr>
                        </w:pPr>
                        <w:r>
                          <w:rPr>
                            <w:rFonts w:ascii="宋体" w:hAnsi="宋体" w:cs="宋体" w:eastAsia="宋体" w:hint="default"/>
                            <w:sz w:val="13"/>
                            <w:szCs w:val="13"/>
                          </w:rPr>
                          <w:t>资额</w:t>
                        </w:r>
                      </w:p>
                    </w:tc>
                    <w:tc>
                      <w:tcPr>
                        <w:tcW w:w="946"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48" w:right="0"/>
                          <w:jc w:val="left"/>
                          <w:rPr>
                            <w:rFonts w:ascii="宋体" w:hAnsi="宋体" w:cs="宋体" w:eastAsia="宋体" w:hint="default"/>
                            <w:sz w:val="13"/>
                            <w:szCs w:val="13"/>
                          </w:rPr>
                        </w:pPr>
                        <w:r>
                          <w:rPr>
                            <w:rFonts w:ascii="宋体" w:hAnsi="宋体" w:cs="宋体" w:eastAsia="宋体" w:hint="default"/>
                            <w:sz w:val="13"/>
                            <w:szCs w:val="13"/>
                          </w:rPr>
                          <w:t>他项目余额</w:t>
                        </w:r>
                      </w:p>
                    </w:tc>
                    <w:tc>
                      <w:tcPr>
                        <w:tcW w:w="580" w:type="dxa"/>
                        <w:tcBorders>
                          <w:top w:val="nil" w:sz="6" w:space="0" w:color="auto"/>
                          <w:left w:val="nil" w:sz="6" w:space="0" w:color="auto"/>
                          <w:bottom w:val="nil" w:sz="6" w:space="0" w:color="auto"/>
                          <w:right w:val="nil" w:sz="6" w:space="0" w:color="auto"/>
                        </w:tcBorders>
                      </w:tcPr>
                      <w:p>
                        <w:pPr>
                          <w:pStyle w:val="TableParagraph"/>
                          <w:spacing w:line="139" w:lineRule="exact"/>
                          <w:ind w:right="105"/>
                          <w:jc w:val="right"/>
                          <w:rPr>
                            <w:rFonts w:ascii="Times New Roman" w:hAnsi="Times New Roman" w:cs="Times New Roman" w:eastAsia="Times New Roman" w:hint="default"/>
                            <w:sz w:val="13"/>
                            <w:szCs w:val="13"/>
                          </w:rPr>
                        </w:pPr>
                        <w:r>
                          <w:rPr>
                            <w:rFonts w:ascii="宋体" w:hAnsi="宋体" w:cs="宋体" w:eastAsia="宋体" w:hint="default"/>
                            <w:w w:val="95"/>
                            <w:sz w:val="13"/>
                            <w:szCs w:val="13"/>
                          </w:rPr>
                          <w:t>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c>
                    <w:tc>
                      <w:tcPr>
                        <w:tcW w:w="622" w:type="dxa"/>
                        <w:tcBorders>
                          <w:top w:val="nil" w:sz="6" w:space="0" w:color="auto"/>
                          <w:left w:val="nil" w:sz="6" w:space="0" w:color="auto"/>
                          <w:bottom w:val="nil" w:sz="6" w:space="0" w:color="auto"/>
                          <w:right w:val="nil" w:sz="6" w:space="0" w:color="auto"/>
                        </w:tcBorders>
                      </w:tcPr>
                      <w:p>
                        <w:pPr>
                          <w:pStyle w:val="TableParagraph"/>
                          <w:spacing w:line="139" w:lineRule="exact"/>
                          <w:ind w:right="74"/>
                          <w:jc w:val="right"/>
                          <w:rPr>
                            <w:rFonts w:ascii="Times New Roman" w:hAnsi="Times New Roman" w:cs="Times New Roman" w:eastAsia="Times New Roman" w:hint="default"/>
                            <w:sz w:val="13"/>
                            <w:szCs w:val="13"/>
                          </w:rPr>
                        </w:pPr>
                        <w:r>
                          <w:rPr>
                            <w:rFonts w:ascii="宋体" w:hAnsi="宋体" w:cs="宋体" w:eastAsia="宋体" w:hint="default"/>
                            <w:w w:val="95"/>
                            <w:sz w:val="13"/>
                            <w:szCs w:val="13"/>
                          </w:rPr>
                          <w:t>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c>
                    <w:tc>
                      <w:tcPr>
                        <w:tcW w:w="4507" w:type="dxa"/>
                        <w:tcBorders>
                          <w:top w:val="nil" w:sz="6" w:space="0" w:color="auto"/>
                          <w:left w:val="nil" w:sz="6" w:space="0" w:color="auto"/>
                          <w:bottom w:val="nil" w:sz="6" w:space="0" w:color="auto"/>
                          <w:right w:val="nil" w:sz="6" w:space="0" w:color="auto"/>
                        </w:tcBorders>
                      </w:tcPr>
                      <w:p>
                        <w:pPr>
                          <w:pStyle w:val="TableParagraph"/>
                          <w:tabs>
                            <w:tab w:pos="754" w:val="left" w:leader="none"/>
                            <w:tab w:pos="2480" w:val="left" w:leader="none"/>
                          </w:tabs>
                          <w:spacing w:line="118" w:lineRule="exact"/>
                          <w:ind w:left="76" w:right="0"/>
                          <w:jc w:val="left"/>
                          <w:rPr>
                            <w:rFonts w:ascii="宋体" w:hAnsi="宋体" w:cs="宋体" w:eastAsia="宋体" w:hint="default"/>
                            <w:sz w:val="13"/>
                            <w:szCs w:val="13"/>
                          </w:rPr>
                        </w:pPr>
                        <w:r>
                          <w:rPr>
                            <w:rFonts w:ascii="宋体" w:hAnsi="宋体" w:cs="宋体" w:eastAsia="宋体" w:hint="default"/>
                            <w:w w:val="95"/>
                            <w:sz w:val="13"/>
                            <w:szCs w:val="13"/>
                          </w:rPr>
                          <w:t>并报表</w:t>
                          <w:tab/>
                          <w:t>权益</w:t>
                          <w:tab/>
                        </w:r>
                        <w:r>
                          <w:rPr>
                            <w:rFonts w:ascii="宋体" w:hAnsi="宋体" w:cs="宋体" w:eastAsia="宋体" w:hint="default"/>
                            <w:sz w:val="13"/>
                            <w:szCs w:val="13"/>
                          </w:rPr>
                          <w:t>东在该子公司期初所有者权益中所</w:t>
                        </w:r>
                      </w:p>
                      <w:p>
                        <w:pPr>
                          <w:pStyle w:val="TableParagraph"/>
                          <w:spacing w:line="145" w:lineRule="exact"/>
                          <w:ind w:right="876"/>
                          <w:jc w:val="center"/>
                          <w:rPr>
                            <w:rFonts w:ascii="宋体" w:hAnsi="宋体" w:cs="宋体" w:eastAsia="宋体" w:hint="default"/>
                            <w:sz w:val="13"/>
                            <w:szCs w:val="13"/>
                          </w:rPr>
                        </w:pPr>
                        <w:r>
                          <w:rPr>
                            <w:rFonts w:ascii="宋体" w:hAnsi="宋体" w:cs="宋体" w:eastAsia="宋体" w:hint="default"/>
                            <w:sz w:val="13"/>
                            <w:szCs w:val="13"/>
                          </w:rPr>
                          <w:t>益的金额</w:t>
                        </w:r>
                      </w:p>
                      <w:p>
                        <w:pPr>
                          <w:pStyle w:val="TableParagraph"/>
                          <w:spacing w:line="158" w:lineRule="exact"/>
                          <w:ind w:left="2935" w:right="0"/>
                          <w:jc w:val="left"/>
                          <w:rPr>
                            <w:rFonts w:ascii="宋体" w:hAnsi="宋体" w:cs="宋体" w:eastAsia="宋体" w:hint="default"/>
                            <w:sz w:val="13"/>
                            <w:szCs w:val="13"/>
                          </w:rPr>
                        </w:pPr>
                        <w:r>
                          <w:rPr>
                            <w:rFonts w:ascii="宋体" w:hAnsi="宋体" w:cs="宋体" w:eastAsia="宋体" w:hint="default"/>
                            <w:sz w:val="13"/>
                            <w:szCs w:val="13"/>
                          </w:rPr>
                          <w:t>享有份额后的余额</w:t>
                        </w:r>
                      </w:p>
                    </w:tc>
                  </w:tr>
                  <w:tr>
                    <w:trPr>
                      <w:trHeight w:val="303"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9"/>
                            <w:szCs w:val="9"/>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沈阳东软博安软件有</w:t>
                        </w:r>
                      </w:p>
                    </w:tc>
                    <w:tc>
                      <w:tcPr>
                        <w:tcW w:w="532" w:type="dxa"/>
                        <w:tcBorders>
                          <w:top w:val="nil" w:sz="6" w:space="0" w:color="auto"/>
                          <w:left w:val="nil" w:sz="6" w:space="0" w:color="auto"/>
                          <w:bottom w:val="nil" w:sz="6" w:space="0" w:color="auto"/>
                          <w:right w:val="nil" w:sz="6" w:space="0" w:color="auto"/>
                        </w:tcBorders>
                      </w:tcPr>
                      <w:p>
                        <w:pPr/>
                      </w:p>
                    </w:tc>
                    <w:tc>
                      <w:tcPr>
                        <w:tcW w:w="667"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9"/>
                            <w:szCs w:val="9"/>
                          </w:rPr>
                        </w:pPr>
                      </w:p>
                      <w:p>
                        <w:pPr>
                          <w:pStyle w:val="TableParagraph"/>
                          <w:spacing w:line="240" w:lineRule="auto"/>
                          <w:ind w:left="150"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9"/>
                            <w:szCs w:val="9"/>
                          </w:rPr>
                        </w:pPr>
                      </w:p>
                      <w:p>
                        <w:pPr>
                          <w:pStyle w:val="TableParagraph"/>
                          <w:spacing w:line="240" w:lineRule="auto"/>
                          <w:ind w:right="140"/>
                          <w:jc w:val="right"/>
                          <w:rPr>
                            <w:rFonts w:ascii="宋体" w:hAnsi="宋体" w:cs="宋体" w:eastAsia="宋体" w:hint="default"/>
                            <w:sz w:val="13"/>
                            <w:szCs w:val="13"/>
                          </w:rPr>
                        </w:pPr>
                        <w:r>
                          <w:rPr>
                            <w:rFonts w:ascii="宋体" w:hAnsi="宋体" w:cs="宋体" w:eastAsia="宋体" w:hint="default"/>
                            <w:w w:val="95"/>
                            <w:sz w:val="13"/>
                            <w:szCs w:val="13"/>
                          </w:rPr>
                          <w:t>美元</w:t>
                        </w:r>
                        <w:r>
                          <w:rPr>
                            <w:rFonts w:ascii="宋体" w:hAnsi="宋体" w:cs="宋体" w:eastAsia="宋体" w:hint="default"/>
                            <w:sz w:val="13"/>
                            <w:szCs w:val="13"/>
                          </w:rPr>
                        </w:r>
                      </w:p>
                    </w:tc>
                    <w:tc>
                      <w:tcPr>
                        <w:tcW w:w="1445"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c>
                      <w:tcPr>
                        <w:tcW w:w="622" w:type="dxa"/>
                        <w:tcBorders>
                          <w:top w:val="nil" w:sz="6" w:space="0" w:color="auto"/>
                          <w:left w:val="nil" w:sz="6" w:space="0" w:color="auto"/>
                          <w:bottom w:val="nil" w:sz="6" w:space="0" w:color="auto"/>
                          <w:right w:val="nil" w:sz="6" w:space="0" w:color="auto"/>
                        </w:tcBorders>
                      </w:tcPr>
                      <w:p>
                        <w:pPr/>
                      </w:p>
                    </w:tc>
                    <w:tc>
                      <w:tcPr>
                        <w:tcW w:w="4507" w:type="dxa"/>
                        <w:tcBorders>
                          <w:top w:val="nil" w:sz="6" w:space="0" w:color="auto"/>
                          <w:left w:val="nil" w:sz="6" w:space="0" w:color="auto"/>
                          <w:bottom w:val="nil" w:sz="6" w:space="0" w:color="auto"/>
                          <w:right w:val="nil" w:sz="6" w:space="0" w:color="auto"/>
                        </w:tcBorders>
                      </w:tcPr>
                      <w:p>
                        <w:pPr/>
                      </w:p>
                    </w:tc>
                  </w:tr>
                  <w:tr>
                    <w:trPr>
                      <w:trHeight w:val="388"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限公司</w:t>
                        </w:r>
                      </w:p>
                    </w:tc>
                    <w:tc>
                      <w:tcPr>
                        <w:tcW w:w="532" w:type="dxa"/>
                        <w:tcBorders>
                          <w:top w:val="nil" w:sz="6" w:space="0" w:color="auto"/>
                          <w:left w:val="nil" w:sz="6" w:space="0" w:color="auto"/>
                          <w:bottom w:val="nil" w:sz="6" w:space="0" w:color="auto"/>
                          <w:right w:val="nil" w:sz="6" w:space="0" w:color="auto"/>
                        </w:tcBorders>
                      </w:tcPr>
                      <w:p>
                        <w:pPr>
                          <w:pStyle w:val="TableParagraph"/>
                          <w:spacing w:line="140" w:lineRule="exact"/>
                          <w:ind w:right="53"/>
                          <w:jc w:val="center"/>
                          <w:rPr>
                            <w:rFonts w:ascii="宋体" w:hAnsi="宋体" w:cs="宋体" w:eastAsia="宋体" w:hint="default"/>
                            <w:sz w:val="13"/>
                            <w:szCs w:val="13"/>
                          </w:rPr>
                        </w:pPr>
                        <w:r>
                          <w:rPr>
                            <w:rFonts w:ascii="宋体" w:hAnsi="宋体" w:cs="宋体" w:eastAsia="宋体" w:hint="default"/>
                            <w:sz w:val="13"/>
                            <w:szCs w:val="13"/>
                          </w:rPr>
                          <w:t>控股</w:t>
                        </w:r>
                      </w:p>
                    </w:tc>
                    <w:tc>
                      <w:tcPr>
                        <w:tcW w:w="667" w:type="dxa"/>
                        <w:tcBorders>
                          <w:top w:val="nil" w:sz="6" w:space="0" w:color="auto"/>
                          <w:left w:val="nil" w:sz="6" w:space="0" w:color="auto"/>
                          <w:bottom w:val="nil" w:sz="6" w:space="0" w:color="auto"/>
                          <w:right w:val="nil" w:sz="6" w:space="0" w:color="auto"/>
                        </w:tcBorders>
                      </w:tcPr>
                      <w:p>
                        <w:pPr>
                          <w:pStyle w:val="TableParagraph"/>
                          <w:spacing w:line="140" w:lineRule="exact"/>
                          <w:ind w:right="151"/>
                          <w:jc w:val="center"/>
                          <w:rPr>
                            <w:rFonts w:ascii="宋体" w:hAnsi="宋体" w:cs="宋体" w:eastAsia="宋体" w:hint="default"/>
                            <w:sz w:val="13"/>
                            <w:szCs w:val="13"/>
                          </w:rPr>
                        </w:pPr>
                        <w:r>
                          <w:rPr>
                            <w:rFonts w:ascii="宋体" w:hAnsi="宋体" w:cs="宋体" w:eastAsia="宋体" w:hint="default"/>
                            <w:sz w:val="13"/>
                            <w:szCs w:val="13"/>
                          </w:rPr>
                          <w:t>沈阳</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50"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2"/>
                            <w:szCs w:val="12"/>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5"/>
                            <w:sz w:val="13"/>
                          </w:rPr>
                          <w:t>2,500,000</w:t>
                        </w:r>
                        <w:r>
                          <w:rPr>
                            <w:rFonts w:ascii="Times New Roman"/>
                            <w:sz w:val="13"/>
                          </w:rPr>
                        </w:r>
                      </w:p>
                    </w:tc>
                    <w:tc>
                      <w:tcPr>
                        <w:tcW w:w="1445" w:type="dxa"/>
                        <w:tcBorders>
                          <w:top w:val="nil" w:sz="6" w:space="0" w:color="auto"/>
                          <w:left w:val="nil" w:sz="6" w:space="0" w:color="auto"/>
                          <w:bottom w:val="nil" w:sz="6" w:space="0" w:color="auto"/>
                          <w:right w:val="nil" w:sz="6" w:space="0" w:color="auto"/>
                        </w:tcBorders>
                      </w:tcPr>
                      <w:p>
                        <w:pPr>
                          <w:pStyle w:val="TableParagraph"/>
                          <w:spacing w:line="140" w:lineRule="exact"/>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6"/>
                          <w:jc w:val="right"/>
                          <w:rPr>
                            <w:rFonts w:ascii="Times New Roman" w:hAnsi="Times New Roman" w:cs="Times New Roman" w:eastAsia="Times New Roman" w:hint="default"/>
                            <w:sz w:val="13"/>
                            <w:szCs w:val="13"/>
                          </w:rPr>
                        </w:pPr>
                        <w:r>
                          <w:rPr>
                            <w:rFonts w:ascii="Times New Roman"/>
                            <w:w w:val="95"/>
                            <w:sz w:val="13"/>
                          </w:rPr>
                          <w:t>12,416,895</w:t>
                        </w:r>
                        <w:r>
                          <w:rPr>
                            <w:rFonts w:ascii="Times New Roman"/>
                            <w:sz w:val="13"/>
                          </w:rPr>
                        </w: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9"/>
                          <w:jc w:val="right"/>
                          <w:rPr>
                            <w:rFonts w:ascii="Times New Roman" w:hAnsi="Times New Roman" w:cs="Times New Roman" w:eastAsia="Times New Roman" w:hint="default"/>
                            <w:sz w:val="13"/>
                            <w:szCs w:val="13"/>
                          </w:rPr>
                        </w:pPr>
                        <w:r>
                          <w:rPr>
                            <w:rFonts w:ascii="Times New Roman"/>
                            <w:w w:val="95"/>
                            <w:sz w:val="13"/>
                          </w:rPr>
                          <w:t>60</w:t>
                        </w:r>
                        <w:r>
                          <w:rPr>
                            <w:rFonts w:ascii="Times New Roman"/>
                            <w:sz w:val="13"/>
                          </w:rPr>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Times New Roman" w:hAnsi="Times New Roman" w:cs="Times New Roman" w:eastAsia="Times New Roman" w:hint="default"/>
                            <w:sz w:val="13"/>
                            <w:szCs w:val="13"/>
                          </w:rPr>
                        </w:pPr>
                        <w:r>
                          <w:rPr>
                            <w:rFonts w:ascii="Times New Roman"/>
                            <w:w w:val="95"/>
                            <w:sz w:val="13"/>
                          </w:rPr>
                          <w:t>60</w:t>
                        </w:r>
                        <w:r>
                          <w:rPr>
                            <w:rFonts w:ascii="Times New Roman"/>
                            <w:sz w:val="13"/>
                          </w:rPr>
                        </w:r>
                      </w:p>
                    </w:tc>
                    <w:tc>
                      <w:tcPr>
                        <w:tcW w:w="4507" w:type="dxa"/>
                        <w:tcBorders>
                          <w:top w:val="nil" w:sz="6" w:space="0" w:color="auto"/>
                          <w:left w:val="nil" w:sz="6" w:space="0" w:color="auto"/>
                          <w:bottom w:val="nil" w:sz="6" w:space="0" w:color="auto"/>
                          <w:right w:val="nil" w:sz="6" w:space="0" w:color="auto"/>
                        </w:tcBorders>
                      </w:tcPr>
                      <w:p>
                        <w:pPr>
                          <w:pStyle w:val="TableParagraph"/>
                          <w:tabs>
                            <w:tab w:pos="1115" w:val="right" w:leader="none"/>
                          </w:tabs>
                          <w:spacing w:line="158" w:lineRule="exact"/>
                          <w:ind w:left="206" w:right="0"/>
                          <w:jc w:val="left"/>
                          <w:rPr>
                            <w:rFonts w:ascii="Times New Roman" w:hAnsi="Times New Roman" w:cs="Times New Roman" w:eastAsia="Times New Roman" w:hint="default"/>
                            <w:sz w:val="13"/>
                            <w:szCs w:val="13"/>
                          </w:rPr>
                        </w:pPr>
                        <w:r>
                          <w:rPr>
                            <w:rFonts w:ascii="宋体" w:hAnsi="宋体" w:cs="宋体" w:eastAsia="宋体" w:hint="default"/>
                            <w:position w:val="1"/>
                            <w:sz w:val="13"/>
                            <w:szCs w:val="13"/>
                          </w:rPr>
                          <w:t>是</w:t>
                        </w:r>
                        <w:r>
                          <w:rPr>
                            <w:rFonts w:ascii="Times New Roman" w:hAnsi="Times New Roman" w:cs="Times New Roman" w:eastAsia="Times New Roman" w:hint="default"/>
                            <w:sz w:val="13"/>
                            <w:szCs w:val="13"/>
                          </w:rPr>
                          <w:tab/>
                          <w:t>40</w:t>
                        </w:r>
                      </w:p>
                    </w:tc>
                  </w:tr>
                  <w:tr>
                    <w:trPr>
                      <w:trHeight w:val="222"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22" w:right="0"/>
                          <w:jc w:val="left"/>
                          <w:rPr>
                            <w:rFonts w:ascii="宋体" w:hAnsi="宋体" w:cs="宋体" w:eastAsia="宋体" w:hint="default"/>
                            <w:sz w:val="13"/>
                            <w:szCs w:val="13"/>
                          </w:rPr>
                        </w:pPr>
                        <w:r>
                          <w:rPr>
                            <w:rFonts w:ascii="宋体" w:hAnsi="宋体" w:cs="宋体" w:eastAsia="宋体" w:hint="default"/>
                            <w:sz w:val="13"/>
                            <w:szCs w:val="13"/>
                          </w:rPr>
                          <w:t>南京东软系统集成有</w:t>
                        </w:r>
                      </w:p>
                    </w:tc>
                    <w:tc>
                      <w:tcPr>
                        <w:tcW w:w="532" w:type="dxa"/>
                        <w:tcBorders>
                          <w:top w:val="nil" w:sz="6" w:space="0" w:color="auto"/>
                          <w:left w:val="nil" w:sz="6" w:space="0" w:color="auto"/>
                          <w:bottom w:val="nil" w:sz="6" w:space="0" w:color="auto"/>
                          <w:right w:val="nil" w:sz="6" w:space="0" w:color="auto"/>
                        </w:tcBorders>
                      </w:tcPr>
                      <w:p>
                        <w:pPr/>
                      </w:p>
                    </w:tc>
                    <w:tc>
                      <w:tcPr>
                        <w:tcW w:w="667"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50"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c>
                      <w:tcPr>
                        <w:tcW w:w="622" w:type="dxa"/>
                        <w:tcBorders>
                          <w:top w:val="nil" w:sz="6" w:space="0" w:color="auto"/>
                          <w:left w:val="nil" w:sz="6" w:space="0" w:color="auto"/>
                          <w:bottom w:val="nil" w:sz="6" w:space="0" w:color="auto"/>
                          <w:right w:val="nil" w:sz="6" w:space="0" w:color="auto"/>
                        </w:tcBorders>
                      </w:tcPr>
                      <w:p>
                        <w:pPr/>
                      </w:p>
                    </w:tc>
                    <w:tc>
                      <w:tcPr>
                        <w:tcW w:w="4507" w:type="dxa"/>
                        <w:tcBorders>
                          <w:top w:val="nil" w:sz="6" w:space="0" w:color="auto"/>
                          <w:left w:val="nil" w:sz="6" w:space="0" w:color="auto"/>
                          <w:bottom w:val="nil" w:sz="6" w:space="0" w:color="auto"/>
                          <w:right w:val="nil" w:sz="6" w:space="0" w:color="auto"/>
                        </w:tcBorders>
                      </w:tcPr>
                      <w:p>
                        <w:pPr/>
                      </w:p>
                    </w:tc>
                  </w:tr>
                  <w:tr>
                    <w:trPr>
                      <w:trHeight w:val="38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限公司</w:t>
                        </w:r>
                      </w:p>
                    </w:tc>
                    <w:tc>
                      <w:tcPr>
                        <w:tcW w:w="532" w:type="dxa"/>
                        <w:tcBorders>
                          <w:top w:val="nil" w:sz="6" w:space="0" w:color="auto"/>
                          <w:left w:val="nil" w:sz="6" w:space="0" w:color="auto"/>
                          <w:bottom w:val="nil" w:sz="6" w:space="0" w:color="auto"/>
                          <w:right w:val="nil" w:sz="6" w:space="0" w:color="auto"/>
                        </w:tcBorders>
                      </w:tcPr>
                      <w:p>
                        <w:pPr>
                          <w:pStyle w:val="TableParagraph"/>
                          <w:spacing w:line="140" w:lineRule="exact"/>
                          <w:ind w:right="53"/>
                          <w:jc w:val="center"/>
                          <w:rPr>
                            <w:rFonts w:ascii="宋体" w:hAnsi="宋体" w:cs="宋体" w:eastAsia="宋体" w:hint="default"/>
                            <w:sz w:val="13"/>
                            <w:szCs w:val="13"/>
                          </w:rPr>
                        </w:pPr>
                        <w:r>
                          <w:rPr>
                            <w:rFonts w:ascii="宋体" w:hAnsi="宋体" w:cs="宋体" w:eastAsia="宋体" w:hint="default"/>
                            <w:sz w:val="13"/>
                            <w:szCs w:val="13"/>
                          </w:rPr>
                          <w:t>全资</w:t>
                        </w:r>
                      </w:p>
                    </w:tc>
                    <w:tc>
                      <w:tcPr>
                        <w:tcW w:w="667" w:type="dxa"/>
                        <w:tcBorders>
                          <w:top w:val="nil" w:sz="6" w:space="0" w:color="auto"/>
                          <w:left w:val="nil" w:sz="6" w:space="0" w:color="auto"/>
                          <w:bottom w:val="nil" w:sz="6" w:space="0" w:color="auto"/>
                          <w:right w:val="nil" w:sz="6" w:space="0" w:color="auto"/>
                        </w:tcBorders>
                      </w:tcPr>
                      <w:p>
                        <w:pPr>
                          <w:pStyle w:val="TableParagraph"/>
                          <w:spacing w:line="140" w:lineRule="exact"/>
                          <w:ind w:right="151"/>
                          <w:jc w:val="center"/>
                          <w:rPr>
                            <w:rFonts w:ascii="宋体" w:hAnsi="宋体" w:cs="宋体" w:eastAsia="宋体" w:hint="default"/>
                            <w:sz w:val="13"/>
                            <w:szCs w:val="13"/>
                          </w:rPr>
                        </w:pPr>
                        <w:r>
                          <w:rPr>
                            <w:rFonts w:ascii="宋体" w:hAnsi="宋体" w:cs="宋体" w:eastAsia="宋体" w:hint="default"/>
                            <w:sz w:val="13"/>
                            <w:szCs w:val="13"/>
                          </w:rPr>
                          <w:t>南京</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50"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Times New Roman" w:hAnsi="Times New Roman" w:cs="Times New Roman" w:eastAsia="Times New Roman" w:hint="default"/>
                            <w:sz w:val="13"/>
                            <w:szCs w:val="13"/>
                          </w:rPr>
                        </w:pPr>
                        <w:r>
                          <w:rPr>
                            <w:rFonts w:ascii="Times New Roman"/>
                            <w:w w:val="95"/>
                            <w:sz w:val="13"/>
                          </w:rPr>
                          <w:t>12,000,000</w:t>
                        </w:r>
                        <w:r>
                          <w:rPr>
                            <w:rFonts w:ascii="Times New Roman"/>
                            <w:sz w:val="13"/>
                          </w:rPr>
                        </w:r>
                      </w:p>
                    </w:tc>
                    <w:tc>
                      <w:tcPr>
                        <w:tcW w:w="1445" w:type="dxa"/>
                        <w:tcBorders>
                          <w:top w:val="nil" w:sz="6" w:space="0" w:color="auto"/>
                          <w:left w:val="nil" w:sz="6" w:space="0" w:color="auto"/>
                          <w:bottom w:val="nil" w:sz="6" w:space="0" w:color="auto"/>
                          <w:right w:val="nil" w:sz="6" w:space="0" w:color="auto"/>
                        </w:tcBorders>
                      </w:tcPr>
                      <w:p>
                        <w:pPr>
                          <w:pStyle w:val="TableParagraph"/>
                          <w:spacing w:line="140" w:lineRule="exact"/>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6"/>
                          <w:jc w:val="right"/>
                          <w:rPr>
                            <w:rFonts w:ascii="Times New Roman" w:hAnsi="Times New Roman" w:cs="Times New Roman" w:eastAsia="Times New Roman" w:hint="default"/>
                            <w:sz w:val="13"/>
                            <w:szCs w:val="13"/>
                          </w:rPr>
                        </w:pPr>
                        <w:r>
                          <w:rPr>
                            <w:rFonts w:ascii="Times New Roman"/>
                            <w:w w:val="95"/>
                            <w:sz w:val="13"/>
                          </w:rPr>
                          <w:t>12,000,000</w:t>
                        </w:r>
                        <w:r>
                          <w:rPr>
                            <w:rFonts w:ascii="Times New Roman"/>
                            <w:sz w:val="13"/>
                          </w:rPr>
                        </w: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9"/>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4507" w:type="dxa"/>
                        <w:tcBorders>
                          <w:top w:val="nil" w:sz="6" w:space="0" w:color="auto"/>
                          <w:left w:val="nil" w:sz="6" w:space="0" w:color="auto"/>
                          <w:bottom w:val="nil" w:sz="6" w:space="0" w:color="auto"/>
                          <w:right w:val="nil" w:sz="6" w:space="0" w:color="auto"/>
                        </w:tcBorders>
                      </w:tcPr>
                      <w:p>
                        <w:pPr>
                          <w:pStyle w:val="TableParagraph"/>
                          <w:spacing w:line="140" w:lineRule="exact"/>
                          <w:ind w:left="206" w:right="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r>
                  <w:tr>
                    <w:trPr>
                      <w:trHeight w:val="230" w:hRule="exact"/>
                    </w:trPr>
                    <w:tc>
                      <w:tcPr>
                        <w:tcW w:w="1509" w:type="dxa"/>
                        <w:tcBorders>
                          <w:top w:val="nil" w:sz="6" w:space="0" w:color="auto"/>
                          <w:left w:val="nil" w:sz="6" w:space="0" w:color="auto"/>
                          <w:bottom w:val="nil" w:sz="6" w:space="0" w:color="auto"/>
                          <w:right w:val="nil" w:sz="6" w:space="0" w:color="auto"/>
                        </w:tcBorders>
                      </w:tcPr>
                      <w:p>
                        <w:pPr/>
                      </w:p>
                    </w:tc>
                    <w:tc>
                      <w:tcPr>
                        <w:tcW w:w="532" w:type="dxa"/>
                        <w:tcBorders>
                          <w:top w:val="nil" w:sz="6" w:space="0" w:color="auto"/>
                          <w:left w:val="nil" w:sz="6" w:space="0" w:color="auto"/>
                          <w:bottom w:val="nil" w:sz="6" w:space="0" w:color="auto"/>
                          <w:right w:val="nil" w:sz="6" w:space="0" w:color="auto"/>
                        </w:tcBorders>
                      </w:tcPr>
                      <w:p>
                        <w:pPr/>
                      </w:p>
                    </w:tc>
                    <w:tc>
                      <w:tcPr>
                        <w:tcW w:w="667"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50"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宋体" w:hAnsi="宋体" w:cs="宋体" w:eastAsia="宋体" w:hint="default"/>
                            <w:sz w:val="13"/>
                            <w:szCs w:val="13"/>
                          </w:rPr>
                        </w:pPr>
                        <w:r>
                          <w:rPr>
                            <w:rFonts w:ascii="宋体" w:hAnsi="宋体" w:cs="宋体" w:eastAsia="宋体" w:hint="default"/>
                            <w:w w:val="95"/>
                            <w:sz w:val="13"/>
                            <w:szCs w:val="13"/>
                          </w:rPr>
                          <w:t>美元</w:t>
                        </w:r>
                        <w:r>
                          <w:rPr>
                            <w:rFonts w:ascii="宋体" w:hAnsi="宋体" w:cs="宋体" w:eastAsia="宋体" w:hint="default"/>
                            <w:sz w:val="13"/>
                            <w:szCs w:val="13"/>
                          </w:rPr>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3"/>
                            <w:szCs w:val="13"/>
                          </w:rPr>
                        </w:pPr>
                        <w:r>
                          <w:rPr>
                            <w:rFonts w:ascii="宋体" w:hAnsi="宋体" w:cs="宋体" w:eastAsia="宋体" w:hint="default"/>
                            <w:sz w:val="13"/>
                            <w:szCs w:val="13"/>
                          </w:rPr>
                          <w:t>计算机软件开发、销</w:t>
                        </w:r>
                      </w:p>
                    </w:tc>
                    <w:tc>
                      <w:tcPr>
                        <w:tcW w:w="899"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c>
                      <w:tcPr>
                        <w:tcW w:w="622" w:type="dxa"/>
                        <w:tcBorders>
                          <w:top w:val="nil" w:sz="6" w:space="0" w:color="auto"/>
                          <w:left w:val="nil" w:sz="6" w:space="0" w:color="auto"/>
                          <w:bottom w:val="nil" w:sz="6" w:space="0" w:color="auto"/>
                          <w:right w:val="nil" w:sz="6" w:space="0" w:color="auto"/>
                        </w:tcBorders>
                      </w:tcPr>
                      <w:p>
                        <w:pPr/>
                      </w:p>
                    </w:tc>
                    <w:tc>
                      <w:tcPr>
                        <w:tcW w:w="4507" w:type="dxa"/>
                        <w:tcBorders>
                          <w:top w:val="nil" w:sz="6" w:space="0" w:color="auto"/>
                          <w:left w:val="nil" w:sz="6" w:space="0" w:color="auto"/>
                          <w:bottom w:val="nil" w:sz="6" w:space="0" w:color="auto"/>
                          <w:right w:val="nil" w:sz="6" w:space="0" w:color="auto"/>
                        </w:tcBorders>
                      </w:tcPr>
                      <w:p>
                        <w:pPr/>
                      </w:p>
                    </w:tc>
                  </w:tr>
                  <w:tr>
                    <w:trPr>
                      <w:trHeight w:val="388"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140" w:lineRule="exact"/>
                          <w:ind w:left="122" w:right="0"/>
                          <w:jc w:val="left"/>
                          <w:rPr>
                            <w:rFonts w:ascii="宋体" w:hAnsi="宋体" w:cs="宋体" w:eastAsia="宋体" w:hint="default"/>
                            <w:sz w:val="13"/>
                            <w:szCs w:val="13"/>
                          </w:rPr>
                        </w:pPr>
                        <w:r>
                          <w:rPr>
                            <w:rFonts w:ascii="宋体" w:hAnsi="宋体" w:cs="宋体" w:eastAsia="宋体" w:hint="default"/>
                            <w:spacing w:val="-3"/>
                            <w:sz w:val="13"/>
                            <w:szCs w:val="13"/>
                          </w:rPr>
                          <w:t>东软（香港）有限公司</w:t>
                        </w:r>
                      </w:p>
                    </w:tc>
                    <w:tc>
                      <w:tcPr>
                        <w:tcW w:w="532" w:type="dxa"/>
                        <w:tcBorders>
                          <w:top w:val="nil" w:sz="6" w:space="0" w:color="auto"/>
                          <w:left w:val="nil" w:sz="6" w:space="0" w:color="auto"/>
                          <w:bottom w:val="nil" w:sz="6" w:space="0" w:color="auto"/>
                          <w:right w:val="nil" w:sz="6" w:space="0" w:color="auto"/>
                        </w:tcBorders>
                      </w:tcPr>
                      <w:p>
                        <w:pPr>
                          <w:pStyle w:val="TableParagraph"/>
                          <w:spacing w:line="140" w:lineRule="exact"/>
                          <w:ind w:right="53"/>
                          <w:jc w:val="center"/>
                          <w:rPr>
                            <w:rFonts w:ascii="宋体" w:hAnsi="宋体" w:cs="宋体" w:eastAsia="宋体" w:hint="default"/>
                            <w:sz w:val="13"/>
                            <w:szCs w:val="13"/>
                          </w:rPr>
                        </w:pPr>
                        <w:r>
                          <w:rPr>
                            <w:rFonts w:ascii="宋体" w:hAnsi="宋体" w:cs="宋体" w:eastAsia="宋体" w:hint="default"/>
                            <w:sz w:val="13"/>
                            <w:szCs w:val="13"/>
                          </w:rPr>
                          <w:t>全资</w:t>
                        </w:r>
                      </w:p>
                    </w:tc>
                    <w:tc>
                      <w:tcPr>
                        <w:tcW w:w="667" w:type="dxa"/>
                        <w:tcBorders>
                          <w:top w:val="nil" w:sz="6" w:space="0" w:color="auto"/>
                          <w:left w:val="nil" w:sz="6" w:space="0" w:color="auto"/>
                          <w:bottom w:val="nil" w:sz="6" w:space="0" w:color="auto"/>
                          <w:right w:val="nil" w:sz="6" w:space="0" w:color="auto"/>
                        </w:tcBorders>
                      </w:tcPr>
                      <w:p>
                        <w:pPr>
                          <w:pStyle w:val="TableParagraph"/>
                          <w:spacing w:line="140" w:lineRule="exact"/>
                          <w:ind w:right="151"/>
                          <w:jc w:val="center"/>
                          <w:rPr>
                            <w:rFonts w:ascii="宋体" w:hAnsi="宋体" w:cs="宋体" w:eastAsia="宋体" w:hint="default"/>
                            <w:sz w:val="13"/>
                            <w:szCs w:val="13"/>
                          </w:rPr>
                        </w:pPr>
                        <w:r>
                          <w:rPr>
                            <w:rFonts w:ascii="宋体" w:hAnsi="宋体" w:cs="宋体" w:eastAsia="宋体" w:hint="default"/>
                            <w:sz w:val="13"/>
                            <w:szCs w:val="13"/>
                          </w:rPr>
                          <w:t>香港</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50"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2"/>
                            <w:szCs w:val="12"/>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5"/>
                            <w:sz w:val="13"/>
                          </w:rPr>
                          <w:t>850,000</w:t>
                        </w:r>
                        <w:r>
                          <w:rPr>
                            <w:rFonts w:ascii="Times New Roman"/>
                            <w:sz w:val="13"/>
                          </w:rPr>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08" w:right="0"/>
                          <w:jc w:val="left"/>
                          <w:rPr>
                            <w:rFonts w:ascii="宋体" w:hAnsi="宋体" w:cs="宋体" w:eastAsia="宋体" w:hint="default"/>
                            <w:sz w:val="13"/>
                            <w:szCs w:val="13"/>
                          </w:rPr>
                        </w:pPr>
                        <w:r>
                          <w:rPr>
                            <w:rFonts w:ascii="宋体" w:hAnsi="宋体" w:cs="宋体" w:eastAsia="宋体" w:hint="default"/>
                            <w:sz w:val="13"/>
                            <w:szCs w:val="13"/>
                          </w:rPr>
                          <w:t>售、咨询</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6"/>
                          <w:jc w:val="right"/>
                          <w:rPr>
                            <w:rFonts w:ascii="Times New Roman" w:hAnsi="Times New Roman" w:cs="Times New Roman" w:eastAsia="Times New Roman" w:hint="default"/>
                            <w:sz w:val="13"/>
                            <w:szCs w:val="13"/>
                          </w:rPr>
                        </w:pPr>
                        <w:r>
                          <w:rPr>
                            <w:rFonts w:ascii="Times New Roman"/>
                            <w:w w:val="95"/>
                            <w:sz w:val="13"/>
                          </w:rPr>
                          <w:t>7,037,915</w:t>
                        </w:r>
                        <w:r>
                          <w:rPr>
                            <w:rFonts w:ascii="Times New Roman"/>
                            <w:sz w:val="13"/>
                          </w:rPr>
                        </w: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9"/>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4507" w:type="dxa"/>
                        <w:tcBorders>
                          <w:top w:val="nil" w:sz="6" w:space="0" w:color="auto"/>
                          <w:left w:val="nil" w:sz="6" w:space="0" w:color="auto"/>
                          <w:bottom w:val="nil" w:sz="6" w:space="0" w:color="auto"/>
                          <w:right w:val="nil" w:sz="6" w:space="0" w:color="auto"/>
                        </w:tcBorders>
                      </w:tcPr>
                      <w:p>
                        <w:pPr>
                          <w:pStyle w:val="TableParagraph"/>
                          <w:spacing w:line="140" w:lineRule="exact"/>
                          <w:ind w:left="206" w:right="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r>
                  <w:tr>
                    <w:trPr>
                      <w:trHeight w:val="223"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2" w:right="0"/>
                          <w:jc w:val="left"/>
                          <w:rPr>
                            <w:rFonts w:ascii="宋体" w:hAnsi="宋体" w:cs="宋体" w:eastAsia="宋体" w:hint="default"/>
                            <w:sz w:val="13"/>
                            <w:szCs w:val="13"/>
                          </w:rPr>
                        </w:pPr>
                        <w:r>
                          <w:rPr>
                            <w:rFonts w:ascii="宋体" w:hAnsi="宋体" w:cs="宋体" w:eastAsia="宋体" w:hint="default"/>
                            <w:sz w:val="13"/>
                            <w:szCs w:val="13"/>
                          </w:rPr>
                          <w:t>成都东软系统集成有</w:t>
                        </w:r>
                      </w:p>
                    </w:tc>
                    <w:tc>
                      <w:tcPr>
                        <w:tcW w:w="532" w:type="dxa"/>
                        <w:tcBorders>
                          <w:top w:val="nil" w:sz="6" w:space="0" w:color="auto"/>
                          <w:left w:val="nil" w:sz="6" w:space="0" w:color="auto"/>
                          <w:bottom w:val="nil" w:sz="6" w:space="0" w:color="auto"/>
                          <w:right w:val="nil" w:sz="6" w:space="0" w:color="auto"/>
                        </w:tcBorders>
                      </w:tcPr>
                      <w:p>
                        <w:pPr/>
                      </w:p>
                    </w:tc>
                    <w:tc>
                      <w:tcPr>
                        <w:tcW w:w="667"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50"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c>
                      <w:tcPr>
                        <w:tcW w:w="622" w:type="dxa"/>
                        <w:tcBorders>
                          <w:top w:val="nil" w:sz="6" w:space="0" w:color="auto"/>
                          <w:left w:val="nil" w:sz="6" w:space="0" w:color="auto"/>
                          <w:bottom w:val="nil" w:sz="6" w:space="0" w:color="auto"/>
                          <w:right w:val="nil" w:sz="6" w:space="0" w:color="auto"/>
                        </w:tcBorders>
                      </w:tcPr>
                      <w:p>
                        <w:pPr/>
                      </w:p>
                    </w:tc>
                    <w:tc>
                      <w:tcPr>
                        <w:tcW w:w="4507" w:type="dxa"/>
                        <w:tcBorders>
                          <w:top w:val="nil" w:sz="6" w:space="0" w:color="auto"/>
                          <w:left w:val="nil" w:sz="6" w:space="0" w:color="auto"/>
                          <w:bottom w:val="nil" w:sz="6" w:space="0" w:color="auto"/>
                          <w:right w:val="nil" w:sz="6" w:space="0" w:color="auto"/>
                        </w:tcBorders>
                      </w:tcPr>
                      <w:p>
                        <w:pPr/>
                      </w:p>
                    </w:tc>
                  </w:tr>
                  <w:tr>
                    <w:trPr>
                      <w:trHeight w:val="38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限公司</w:t>
                        </w:r>
                      </w:p>
                    </w:tc>
                    <w:tc>
                      <w:tcPr>
                        <w:tcW w:w="532" w:type="dxa"/>
                        <w:tcBorders>
                          <w:top w:val="nil" w:sz="6" w:space="0" w:color="auto"/>
                          <w:left w:val="nil" w:sz="6" w:space="0" w:color="auto"/>
                          <w:bottom w:val="nil" w:sz="6" w:space="0" w:color="auto"/>
                          <w:right w:val="nil" w:sz="6" w:space="0" w:color="auto"/>
                        </w:tcBorders>
                      </w:tcPr>
                      <w:p>
                        <w:pPr>
                          <w:pStyle w:val="TableParagraph"/>
                          <w:spacing w:line="140" w:lineRule="exact"/>
                          <w:ind w:right="53"/>
                          <w:jc w:val="center"/>
                          <w:rPr>
                            <w:rFonts w:ascii="宋体" w:hAnsi="宋体" w:cs="宋体" w:eastAsia="宋体" w:hint="default"/>
                            <w:sz w:val="13"/>
                            <w:szCs w:val="13"/>
                          </w:rPr>
                        </w:pPr>
                        <w:r>
                          <w:rPr>
                            <w:rFonts w:ascii="宋体" w:hAnsi="宋体" w:cs="宋体" w:eastAsia="宋体" w:hint="default"/>
                            <w:sz w:val="13"/>
                            <w:szCs w:val="13"/>
                          </w:rPr>
                          <w:t>全资</w:t>
                        </w:r>
                      </w:p>
                    </w:tc>
                    <w:tc>
                      <w:tcPr>
                        <w:tcW w:w="667" w:type="dxa"/>
                        <w:tcBorders>
                          <w:top w:val="nil" w:sz="6" w:space="0" w:color="auto"/>
                          <w:left w:val="nil" w:sz="6" w:space="0" w:color="auto"/>
                          <w:bottom w:val="nil" w:sz="6" w:space="0" w:color="auto"/>
                          <w:right w:val="nil" w:sz="6" w:space="0" w:color="auto"/>
                        </w:tcBorders>
                      </w:tcPr>
                      <w:p>
                        <w:pPr>
                          <w:pStyle w:val="TableParagraph"/>
                          <w:spacing w:line="140" w:lineRule="exact"/>
                          <w:ind w:right="151"/>
                          <w:jc w:val="center"/>
                          <w:rPr>
                            <w:rFonts w:ascii="宋体" w:hAnsi="宋体" w:cs="宋体" w:eastAsia="宋体" w:hint="default"/>
                            <w:sz w:val="13"/>
                            <w:szCs w:val="13"/>
                          </w:rPr>
                        </w:pPr>
                        <w:r>
                          <w:rPr>
                            <w:rFonts w:ascii="宋体" w:hAnsi="宋体" w:cs="宋体" w:eastAsia="宋体" w:hint="default"/>
                            <w:sz w:val="13"/>
                            <w:szCs w:val="13"/>
                          </w:rPr>
                          <w:t>成都</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50"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1445" w:type="dxa"/>
                        <w:tcBorders>
                          <w:top w:val="nil" w:sz="6" w:space="0" w:color="auto"/>
                          <w:left w:val="nil" w:sz="6" w:space="0" w:color="auto"/>
                          <w:bottom w:val="nil" w:sz="6" w:space="0" w:color="auto"/>
                          <w:right w:val="nil" w:sz="6" w:space="0" w:color="auto"/>
                        </w:tcBorders>
                      </w:tcPr>
                      <w:p>
                        <w:pPr>
                          <w:pStyle w:val="TableParagraph"/>
                          <w:spacing w:line="140" w:lineRule="exact"/>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6"/>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9"/>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4507" w:type="dxa"/>
                        <w:tcBorders>
                          <w:top w:val="nil" w:sz="6" w:space="0" w:color="auto"/>
                          <w:left w:val="nil" w:sz="6" w:space="0" w:color="auto"/>
                          <w:bottom w:val="nil" w:sz="6" w:space="0" w:color="auto"/>
                          <w:right w:val="nil" w:sz="6" w:space="0" w:color="auto"/>
                        </w:tcBorders>
                      </w:tcPr>
                      <w:p>
                        <w:pPr>
                          <w:pStyle w:val="TableParagraph"/>
                          <w:spacing w:line="140" w:lineRule="exact"/>
                          <w:ind w:left="206" w:right="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r>
                  <w:tr>
                    <w:trPr>
                      <w:trHeight w:val="23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3"/>
                            <w:szCs w:val="13"/>
                          </w:rPr>
                        </w:pPr>
                        <w:r>
                          <w:rPr>
                            <w:rFonts w:ascii="宋体" w:hAnsi="宋体" w:cs="宋体" w:eastAsia="宋体" w:hint="default"/>
                            <w:sz w:val="13"/>
                            <w:szCs w:val="13"/>
                          </w:rPr>
                          <w:t>秦皇岛东软软件有限</w:t>
                        </w:r>
                      </w:p>
                    </w:tc>
                    <w:tc>
                      <w:tcPr>
                        <w:tcW w:w="532" w:type="dxa"/>
                        <w:tcBorders>
                          <w:top w:val="nil" w:sz="6" w:space="0" w:color="auto"/>
                          <w:left w:val="nil" w:sz="6" w:space="0" w:color="auto"/>
                          <w:bottom w:val="nil" w:sz="6" w:space="0" w:color="auto"/>
                          <w:right w:val="nil" w:sz="6" w:space="0" w:color="auto"/>
                        </w:tcBorders>
                      </w:tcPr>
                      <w:p>
                        <w:pPr/>
                      </w:p>
                    </w:tc>
                    <w:tc>
                      <w:tcPr>
                        <w:tcW w:w="667"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50"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3"/>
                            <w:szCs w:val="13"/>
                          </w:rPr>
                        </w:pPr>
                        <w:r>
                          <w:rPr>
                            <w:rFonts w:ascii="宋体" w:hAnsi="宋体" w:cs="宋体" w:eastAsia="宋体" w:hint="default"/>
                            <w:sz w:val="13"/>
                            <w:szCs w:val="13"/>
                          </w:rPr>
                          <w:t>计算机软件开发、网</w:t>
                        </w:r>
                      </w:p>
                    </w:tc>
                    <w:tc>
                      <w:tcPr>
                        <w:tcW w:w="899"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c>
                      <w:tcPr>
                        <w:tcW w:w="622" w:type="dxa"/>
                        <w:tcBorders>
                          <w:top w:val="nil" w:sz="6" w:space="0" w:color="auto"/>
                          <w:left w:val="nil" w:sz="6" w:space="0" w:color="auto"/>
                          <w:bottom w:val="nil" w:sz="6" w:space="0" w:color="auto"/>
                          <w:right w:val="nil" w:sz="6" w:space="0" w:color="auto"/>
                        </w:tcBorders>
                      </w:tcPr>
                      <w:p>
                        <w:pPr/>
                      </w:p>
                    </w:tc>
                    <w:tc>
                      <w:tcPr>
                        <w:tcW w:w="4507" w:type="dxa"/>
                        <w:tcBorders>
                          <w:top w:val="nil" w:sz="6" w:space="0" w:color="auto"/>
                          <w:left w:val="nil" w:sz="6" w:space="0" w:color="auto"/>
                          <w:bottom w:val="nil" w:sz="6" w:space="0" w:color="auto"/>
                          <w:right w:val="nil" w:sz="6" w:space="0" w:color="auto"/>
                        </w:tcBorders>
                      </w:tcPr>
                      <w:p>
                        <w:pPr/>
                      </w:p>
                    </w:tc>
                  </w:tr>
                  <w:tr>
                    <w:trPr>
                      <w:trHeight w:val="38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532" w:type="dxa"/>
                        <w:tcBorders>
                          <w:top w:val="nil" w:sz="6" w:space="0" w:color="auto"/>
                          <w:left w:val="nil" w:sz="6" w:space="0" w:color="auto"/>
                          <w:bottom w:val="nil" w:sz="6" w:space="0" w:color="auto"/>
                          <w:right w:val="nil" w:sz="6" w:space="0" w:color="auto"/>
                        </w:tcBorders>
                      </w:tcPr>
                      <w:p>
                        <w:pPr>
                          <w:pStyle w:val="TableParagraph"/>
                          <w:spacing w:line="140" w:lineRule="exact"/>
                          <w:ind w:right="53"/>
                          <w:jc w:val="center"/>
                          <w:rPr>
                            <w:rFonts w:ascii="宋体" w:hAnsi="宋体" w:cs="宋体" w:eastAsia="宋体" w:hint="default"/>
                            <w:sz w:val="13"/>
                            <w:szCs w:val="13"/>
                          </w:rPr>
                        </w:pPr>
                        <w:r>
                          <w:rPr>
                            <w:rFonts w:ascii="宋体" w:hAnsi="宋体" w:cs="宋体" w:eastAsia="宋体" w:hint="default"/>
                            <w:sz w:val="13"/>
                            <w:szCs w:val="13"/>
                          </w:rPr>
                          <w:t>控股</w:t>
                        </w:r>
                      </w:p>
                    </w:tc>
                    <w:tc>
                      <w:tcPr>
                        <w:tcW w:w="667" w:type="dxa"/>
                        <w:tcBorders>
                          <w:top w:val="nil" w:sz="6" w:space="0" w:color="auto"/>
                          <w:left w:val="nil" w:sz="6" w:space="0" w:color="auto"/>
                          <w:bottom w:val="nil" w:sz="6" w:space="0" w:color="auto"/>
                          <w:right w:val="nil" w:sz="6" w:space="0" w:color="auto"/>
                        </w:tcBorders>
                      </w:tcPr>
                      <w:p>
                        <w:pPr>
                          <w:pStyle w:val="TableParagraph"/>
                          <w:spacing w:line="140" w:lineRule="exact"/>
                          <w:ind w:right="21"/>
                          <w:jc w:val="center"/>
                          <w:rPr>
                            <w:rFonts w:ascii="宋体" w:hAnsi="宋体" w:cs="宋体" w:eastAsia="宋体" w:hint="default"/>
                            <w:sz w:val="13"/>
                            <w:szCs w:val="13"/>
                          </w:rPr>
                        </w:pPr>
                        <w:r>
                          <w:rPr>
                            <w:rFonts w:ascii="宋体" w:hAnsi="宋体" w:cs="宋体" w:eastAsia="宋体" w:hint="default"/>
                            <w:sz w:val="13"/>
                            <w:szCs w:val="13"/>
                          </w:rPr>
                          <w:t>秦皇岛</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50"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Times New Roman" w:hAnsi="Times New Roman" w:cs="Times New Roman" w:eastAsia="Times New Roman" w:hint="default"/>
                            <w:sz w:val="13"/>
                            <w:szCs w:val="13"/>
                          </w:rPr>
                        </w:pPr>
                        <w:r>
                          <w:rPr>
                            <w:rFonts w:ascii="Times New Roman"/>
                            <w:w w:val="95"/>
                            <w:sz w:val="13"/>
                          </w:rPr>
                          <w:t>10,000,000</w:t>
                        </w:r>
                        <w:r>
                          <w:rPr>
                            <w:rFonts w:ascii="Times New Roman"/>
                            <w:sz w:val="13"/>
                          </w:rPr>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08" w:right="0"/>
                          <w:jc w:val="left"/>
                          <w:rPr>
                            <w:rFonts w:ascii="宋体" w:hAnsi="宋体" w:cs="宋体" w:eastAsia="宋体" w:hint="default"/>
                            <w:sz w:val="13"/>
                            <w:szCs w:val="13"/>
                          </w:rPr>
                        </w:pPr>
                        <w:r>
                          <w:rPr>
                            <w:rFonts w:ascii="宋体" w:hAnsi="宋体" w:cs="宋体" w:eastAsia="宋体" w:hint="default"/>
                            <w:sz w:val="13"/>
                            <w:szCs w:val="13"/>
                          </w:rPr>
                          <w:t>络集成</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6"/>
                          <w:jc w:val="right"/>
                          <w:rPr>
                            <w:rFonts w:ascii="Times New Roman" w:hAnsi="Times New Roman" w:cs="Times New Roman" w:eastAsia="Times New Roman" w:hint="default"/>
                            <w:sz w:val="13"/>
                            <w:szCs w:val="13"/>
                          </w:rPr>
                        </w:pPr>
                        <w:r>
                          <w:rPr>
                            <w:rFonts w:ascii="Times New Roman"/>
                            <w:w w:val="95"/>
                            <w:sz w:val="13"/>
                          </w:rPr>
                          <w:t>8,500,000</w:t>
                        </w:r>
                        <w:r>
                          <w:rPr>
                            <w:rFonts w:ascii="Times New Roman"/>
                            <w:sz w:val="13"/>
                          </w:rPr>
                        </w: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9"/>
                          <w:jc w:val="right"/>
                          <w:rPr>
                            <w:rFonts w:ascii="Times New Roman" w:hAnsi="Times New Roman" w:cs="Times New Roman" w:eastAsia="Times New Roman" w:hint="default"/>
                            <w:sz w:val="13"/>
                            <w:szCs w:val="13"/>
                          </w:rPr>
                        </w:pPr>
                        <w:r>
                          <w:rPr>
                            <w:rFonts w:ascii="Times New Roman"/>
                            <w:w w:val="95"/>
                            <w:sz w:val="13"/>
                          </w:rPr>
                          <w:t>85</w:t>
                        </w:r>
                        <w:r>
                          <w:rPr>
                            <w:rFonts w:ascii="Times New Roman"/>
                            <w:sz w:val="13"/>
                          </w:rPr>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Times New Roman" w:hAnsi="Times New Roman" w:cs="Times New Roman" w:eastAsia="Times New Roman" w:hint="default"/>
                            <w:sz w:val="13"/>
                            <w:szCs w:val="13"/>
                          </w:rPr>
                        </w:pPr>
                        <w:r>
                          <w:rPr>
                            <w:rFonts w:ascii="Times New Roman"/>
                            <w:w w:val="95"/>
                            <w:sz w:val="13"/>
                          </w:rPr>
                          <w:t>85</w:t>
                        </w:r>
                        <w:r>
                          <w:rPr>
                            <w:rFonts w:ascii="Times New Roman"/>
                            <w:sz w:val="13"/>
                          </w:rPr>
                        </w:r>
                      </w:p>
                    </w:tc>
                    <w:tc>
                      <w:tcPr>
                        <w:tcW w:w="4507" w:type="dxa"/>
                        <w:tcBorders>
                          <w:top w:val="nil" w:sz="6" w:space="0" w:color="auto"/>
                          <w:left w:val="nil" w:sz="6" w:space="0" w:color="auto"/>
                          <w:bottom w:val="nil" w:sz="6" w:space="0" w:color="auto"/>
                          <w:right w:val="nil" w:sz="6" w:space="0" w:color="auto"/>
                        </w:tcBorders>
                      </w:tcPr>
                      <w:p>
                        <w:pPr>
                          <w:pStyle w:val="TableParagraph"/>
                          <w:tabs>
                            <w:tab w:pos="1115" w:val="right" w:leader="none"/>
                          </w:tabs>
                          <w:spacing w:line="158" w:lineRule="exact"/>
                          <w:ind w:left="206" w:right="0"/>
                          <w:jc w:val="left"/>
                          <w:rPr>
                            <w:rFonts w:ascii="Times New Roman" w:hAnsi="Times New Roman" w:cs="Times New Roman" w:eastAsia="Times New Roman" w:hint="default"/>
                            <w:sz w:val="13"/>
                            <w:szCs w:val="13"/>
                          </w:rPr>
                        </w:pPr>
                        <w:r>
                          <w:rPr>
                            <w:rFonts w:ascii="宋体" w:hAnsi="宋体" w:cs="宋体" w:eastAsia="宋体" w:hint="default"/>
                            <w:position w:val="1"/>
                            <w:sz w:val="13"/>
                            <w:szCs w:val="13"/>
                          </w:rPr>
                          <w:t>是</w:t>
                        </w:r>
                        <w:r>
                          <w:rPr>
                            <w:rFonts w:ascii="Times New Roman" w:hAnsi="Times New Roman" w:cs="Times New Roman" w:eastAsia="Times New Roman" w:hint="default"/>
                            <w:sz w:val="13"/>
                            <w:szCs w:val="13"/>
                          </w:rPr>
                          <w:tab/>
                          <w:t>15</w:t>
                        </w:r>
                      </w:p>
                    </w:tc>
                  </w:tr>
                  <w:tr>
                    <w:trPr>
                      <w:trHeight w:val="23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3"/>
                            <w:szCs w:val="13"/>
                          </w:rPr>
                        </w:pPr>
                        <w:r>
                          <w:rPr>
                            <w:rFonts w:ascii="宋体" w:hAnsi="宋体" w:cs="宋体" w:eastAsia="宋体" w:hint="default"/>
                            <w:sz w:val="13"/>
                            <w:szCs w:val="13"/>
                          </w:rPr>
                          <w:t>上海东软时代数码技</w:t>
                        </w:r>
                      </w:p>
                    </w:tc>
                    <w:tc>
                      <w:tcPr>
                        <w:tcW w:w="532" w:type="dxa"/>
                        <w:tcBorders>
                          <w:top w:val="nil" w:sz="6" w:space="0" w:color="auto"/>
                          <w:left w:val="nil" w:sz="6" w:space="0" w:color="auto"/>
                          <w:bottom w:val="nil" w:sz="6" w:space="0" w:color="auto"/>
                          <w:right w:val="nil" w:sz="6" w:space="0" w:color="auto"/>
                        </w:tcBorders>
                      </w:tcPr>
                      <w:p>
                        <w:pPr/>
                      </w:p>
                    </w:tc>
                    <w:tc>
                      <w:tcPr>
                        <w:tcW w:w="667"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50"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c>
                      <w:tcPr>
                        <w:tcW w:w="622" w:type="dxa"/>
                        <w:tcBorders>
                          <w:top w:val="nil" w:sz="6" w:space="0" w:color="auto"/>
                          <w:left w:val="nil" w:sz="6" w:space="0" w:color="auto"/>
                          <w:bottom w:val="nil" w:sz="6" w:space="0" w:color="auto"/>
                          <w:right w:val="nil" w:sz="6" w:space="0" w:color="auto"/>
                        </w:tcBorders>
                      </w:tcPr>
                      <w:p>
                        <w:pPr/>
                      </w:p>
                    </w:tc>
                    <w:tc>
                      <w:tcPr>
                        <w:tcW w:w="4507" w:type="dxa"/>
                        <w:tcBorders>
                          <w:top w:val="nil" w:sz="6" w:space="0" w:color="auto"/>
                          <w:left w:val="nil" w:sz="6" w:space="0" w:color="auto"/>
                          <w:bottom w:val="nil" w:sz="6" w:space="0" w:color="auto"/>
                          <w:right w:val="nil" w:sz="6" w:space="0" w:color="auto"/>
                        </w:tcBorders>
                      </w:tcPr>
                      <w:p>
                        <w:pPr/>
                      </w:p>
                    </w:tc>
                  </w:tr>
                  <w:tr>
                    <w:trPr>
                      <w:trHeight w:val="38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术有限公司</w:t>
                        </w:r>
                      </w:p>
                    </w:tc>
                    <w:tc>
                      <w:tcPr>
                        <w:tcW w:w="532" w:type="dxa"/>
                        <w:tcBorders>
                          <w:top w:val="nil" w:sz="6" w:space="0" w:color="auto"/>
                          <w:left w:val="nil" w:sz="6" w:space="0" w:color="auto"/>
                          <w:bottom w:val="nil" w:sz="6" w:space="0" w:color="auto"/>
                          <w:right w:val="nil" w:sz="6" w:space="0" w:color="auto"/>
                        </w:tcBorders>
                      </w:tcPr>
                      <w:p>
                        <w:pPr>
                          <w:pStyle w:val="TableParagraph"/>
                          <w:spacing w:line="140" w:lineRule="exact"/>
                          <w:ind w:right="53"/>
                          <w:jc w:val="center"/>
                          <w:rPr>
                            <w:rFonts w:ascii="宋体" w:hAnsi="宋体" w:cs="宋体" w:eastAsia="宋体" w:hint="default"/>
                            <w:sz w:val="13"/>
                            <w:szCs w:val="13"/>
                          </w:rPr>
                        </w:pPr>
                        <w:r>
                          <w:rPr>
                            <w:rFonts w:ascii="宋体" w:hAnsi="宋体" w:cs="宋体" w:eastAsia="宋体" w:hint="default"/>
                            <w:sz w:val="13"/>
                            <w:szCs w:val="13"/>
                          </w:rPr>
                          <w:t>全资</w:t>
                        </w:r>
                      </w:p>
                    </w:tc>
                    <w:tc>
                      <w:tcPr>
                        <w:tcW w:w="667" w:type="dxa"/>
                        <w:tcBorders>
                          <w:top w:val="nil" w:sz="6" w:space="0" w:color="auto"/>
                          <w:left w:val="nil" w:sz="6" w:space="0" w:color="auto"/>
                          <w:bottom w:val="nil" w:sz="6" w:space="0" w:color="auto"/>
                          <w:right w:val="nil" w:sz="6" w:space="0" w:color="auto"/>
                        </w:tcBorders>
                      </w:tcPr>
                      <w:p>
                        <w:pPr>
                          <w:pStyle w:val="TableParagraph"/>
                          <w:spacing w:line="140" w:lineRule="exact"/>
                          <w:ind w:right="152"/>
                          <w:jc w:val="center"/>
                          <w:rPr>
                            <w:rFonts w:ascii="宋体" w:hAnsi="宋体" w:cs="宋体" w:eastAsia="宋体" w:hint="default"/>
                            <w:sz w:val="13"/>
                            <w:szCs w:val="13"/>
                          </w:rPr>
                        </w:pPr>
                        <w:r>
                          <w:rPr>
                            <w:rFonts w:ascii="宋体" w:hAnsi="宋体" w:cs="宋体" w:eastAsia="宋体" w:hint="default"/>
                            <w:sz w:val="13"/>
                            <w:szCs w:val="13"/>
                          </w:rPr>
                          <w:t>上海</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50"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1445" w:type="dxa"/>
                        <w:tcBorders>
                          <w:top w:val="nil" w:sz="6" w:space="0" w:color="auto"/>
                          <w:left w:val="nil" w:sz="6" w:space="0" w:color="auto"/>
                          <w:bottom w:val="nil" w:sz="6" w:space="0" w:color="auto"/>
                          <w:right w:val="nil" w:sz="6" w:space="0" w:color="auto"/>
                        </w:tcBorders>
                      </w:tcPr>
                      <w:p>
                        <w:pPr>
                          <w:pStyle w:val="TableParagraph"/>
                          <w:spacing w:line="140" w:lineRule="exact"/>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6"/>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9"/>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4507" w:type="dxa"/>
                        <w:tcBorders>
                          <w:top w:val="nil" w:sz="6" w:space="0" w:color="auto"/>
                          <w:left w:val="nil" w:sz="6" w:space="0" w:color="auto"/>
                          <w:bottom w:val="nil" w:sz="6" w:space="0" w:color="auto"/>
                          <w:right w:val="nil" w:sz="6" w:space="0" w:color="auto"/>
                        </w:tcBorders>
                      </w:tcPr>
                      <w:p>
                        <w:pPr>
                          <w:pStyle w:val="TableParagraph"/>
                          <w:spacing w:line="140" w:lineRule="exact"/>
                          <w:ind w:left="206" w:right="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r>
                  <w:tr>
                    <w:trPr>
                      <w:trHeight w:val="23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3"/>
                            <w:szCs w:val="13"/>
                          </w:rPr>
                        </w:pPr>
                        <w:r>
                          <w:rPr>
                            <w:rFonts w:ascii="宋体" w:hAnsi="宋体" w:cs="宋体" w:eastAsia="宋体" w:hint="default"/>
                            <w:sz w:val="13"/>
                            <w:szCs w:val="13"/>
                          </w:rPr>
                          <w:t>广东东软软件有限公</w:t>
                        </w:r>
                      </w:p>
                    </w:tc>
                    <w:tc>
                      <w:tcPr>
                        <w:tcW w:w="532" w:type="dxa"/>
                        <w:tcBorders>
                          <w:top w:val="nil" w:sz="6" w:space="0" w:color="auto"/>
                          <w:left w:val="nil" w:sz="6" w:space="0" w:color="auto"/>
                          <w:bottom w:val="nil" w:sz="6" w:space="0" w:color="auto"/>
                          <w:right w:val="nil" w:sz="6" w:space="0" w:color="auto"/>
                        </w:tcBorders>
                      </w:tcPr>
                      <w:p>
                        <w:pPr/>
                      </w:p>
                    </w:tc>
                    <w:tc>
                      <w:tcPr>
                        <w:tcW w:w="667"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50"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c>
                      <w:tcPr>
                        <w:tcW w:w="622" w:type="dxa"/>
                        <w:tcBorders>
                          <w:top w:val="nil" w:sz="6" w:space="0" w:color="auto"/>
                          <w:left w:val="nil" w:sz="6" w:space="0" w:color="auto"/>
                          <w:bottom w:val="nil" w:sz="6" w:space="0" w:color="auto"/>
                          <w:right w:val="nil" w:sz="6" w:space="0" w:color="auto"/>
                        </w:tcBorders>
                      </w:tcPr>
                      <w:p>
                        <w:pPr/>
                      </w:p>
                    </w:tc>
                    <w:tc>
                      <w:tcPr>
                        <w:tcW w:w="4507" w:type="dxa"/>
                        <w:tcBorders>
                          <w:top w:val="nil" w:sz="6" w:space="0" w:color="auto"/>
                          <w:left w:val="nil" w:sz="6" w:space="0" w:color="auto"/>
                          <w:bottom w:val="nil" w:sz="6" w:space="0" w:color="auto"/>
                          <w:right w:val="nil" w:sz="6" w:space="0" w:color="auto"/>
                        </w:tcBorders>
                      </w:tcPr>
                      <w:p>
                        <w:pPr/>
                      </w:p>
                    </w:tc>
                  </w:tr>
                  <w:tr>
                    <w:trPr>
                      <w:trHeight w:val="38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w w:val="99"/>
                            <w:sz w:val="13"/>
                            <w:szCs w:val="13"/>
                          </w:rPr>
                          <w:t>司</w:t>
                        </w:r>
                        <w:r>
                          <w:rPr>
                            <w:rFonts w:ascii="宋体" w:hAnsi="宋体" w:cs="宋体" w:eastAsia="宋体" w:hint="default"/>
                            <w:sz w:val="13"/>
                            <w:szCs w:val="13"/>
                          </w:rPr>
                        </w:r>
                      </w:p>
                    </w:tc>
                    <w:tc>
                      <w:tcPr>
                        <w:tcW w:w="532" w:type="dxa"/>
                        <w:tcBorders>
                          <w:top w:val="nil" w:sz="6" w:space="0" w:color="auto"/>
                          <w:left w:val="nil" w:sz="6" w:space="0" w:color="auto"/>
                          <w:bottom w:val="nil" w:sz="6" w:space="0" w:color="auto"/>
                          <w:right w:val="nil" w:sz="6" w:space="0" w:color="auto"/>
                        </w:tcBorders>
                      </w:tcPr>
                      <w:p>
                        <w:pPr>
                          <w:pStyle w:val="TableParagraph"/>
                          <w:spacing w:line="140" w:lineRule="exact"/>
                          <w:ind w:right="53"/>
                          <w:jc w:val="center"/>
                          <w:rPr>
                            <w:rFonts w:ascii="宋体" w:hAnsi="宋体" w:cs="宋体" w:eastAsia="宋体" w:hint="default"/>
                            <w:sz w:val="13"/>
                            <w:szCs w:val="13"/>
                          </w:rPr>
                        </w:pPr>
                        <w:r>
                          <w:rPr>
                            <w:rFonts w:ascii="宋体" w:hAnsi="宋体" w:cs="宋体" w:eastAsia="宋体" w:hint="default"/>
                            <w:sz w:val="13"/>
                            <w:szCs w:val="13"/>
                          </w:rPr>
                          <w:t>全资</w:t>
                        </w:r>
                      </w:p>
                    </w:tc>
                    <w:tc>
                      <w:tcPr>
                        <w:tcW w:w="667" w:type="dxa"/>
                        <w:tcBorders>
                          <w:top w:val="nil" w:sz="6" w:space="0" w:color="auto"/>
                          <w:left w:val="nil" w:sz="6" w:space="0" w:color="auto"/>
                          <w:bottom w:val="nil" w:sz="6" w:space="0" w:color="auto"/>
                          <w:right w:val="nil" w:sz="6" w:space="0" w:color="auto"/>
                        </w:tcBorders>
                      </w:tcPr>
                      <w:p>
                        <w:pPr>
                          <w:pStyle w:val="TableParagraph"/>
                          <w:spacing w:line="140" w:lineRule="exact"/>
                          <w:ind w:right="151"/>
                          <w:jc w:val="center"/>
                          <w:rPr>
                            <w:rFonts w:ascii="宋体" w:hAnsi="宋体" w:cs="宋体" w:eastAsia="宋体" w:hint="default"/>
                            <w:sz w:val="13"/>
                            <w:szCs w:val="13"/>
                          </w:rPr>
                        </w:pPr>
                        <w:r>
                          <w:rPr>
                            <w:rFonts w:ascii="宋体" w:hAnsi="宋体" w:cs="宋体" w:eastAsia="宋体" w:hint="default"/>
                            <w:sz w:val="13"/>
                            <w:szCs w:val="13"/>
                          </w:rPr>
                          <w:t>广州</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50"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1445" w:type="dxa"/>
                        <w:tcBorders>
                          <w:top w:val="nil" w:sz="6" w:space="0" w:color="auto"/>
                          <w:left w:val="nil" w:sz="6" w:space="0" w:color="auto"/>
                          <w:bottom w:val="nil" w:sz="6" w:space="0" w:color="auto"/>
                          <w:right w:val="nil" w:sz="6" w:space="0" w:color="auto"/>
                        </w:tcBorders>
                      </w:tcPr>
                      <w:p>
                        <w:pPr>
                          <w:pStyle w:val="TableParagraph"/>
                          <w:spacing w:line="140" w:lineRule="exact"/>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6"/>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9"/>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4507" w:type="dxa"/>
                        <w:tcBorders>
                          <w:top w:val="nil" w:sz="6" w:space="0" w:color="auto"/>
                          <w:left w:val="nil" w:sz="6" w:space="0" w:color="auto"/>
                          <w:bottom w:val="nil" w:sz="6" w:space="0" w:color="auto"/>
                          <w:right w:val="nil" w:sz="6" w:space="0" w:color="auto"/>
                        </w:tcBorders>
                      </w:tcPr>
                      <w:p>
                        <w:pPr>
                          <w:pStyle w:val="TableParagraph"/>
                          <w:spacing w:line="140" w:lineRule="exact"/>
                          <w:ind w:left="206" w:right="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r>
                  <w:tr>
                    <w:trPr>
                      <w:trHeight w:val="23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3"/>
                            <w:szCs w:val="13"/>
                          </w:rPr>
                        </w:pPr>
                        <w:r>
                          <w:rPr>
                            <w:rFonts w:ascii="宋体" w:hAnsi="宋体" w:cs="宋体" w:eastAsia="宋体" w:hint="default"/>
                            <w:sz w:val="13"/>
                            <w:szCs w:val="13"/>
                          </w:rPr>
                          <w:t>西安东软系统集成有</w:t>
                        </w:r>
                      </w:p>
                    </w:tc>
                    <w:tc>
                      <w:tcPr>
                        <w:tcW w:w="532" w:type="dxa"/>
                        <w:tcBorders>
                          <w:top w:val="nil" w:sz="6" w:space="0" w:color="auto"/>
                          <w:left w:val="nil" w:sz="6" w:space="0" w:color="auto"/>
                          <w:bottom w:val="nil" w:sz="6" w:space="0" w:color="auto"/>
                          <w:right w:val="nil" w:sz="6" w:space="0" w:color="auto"/>
                        </w:tcBorders>
                      </w:tcPr>
                      <w:p>
                        <w:pPr/>
                      </w:p>
                    </w:tc>
                    <w:tc>
                      <w:tcPr>
                        <w:tcW w:w="667"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50"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c>
                      <w:tcPr>
                        <w:tcW w:w="622" w:type="dxa"/>
                        <w:tcBorders>
                          <w:top w:val="nil" w:sz="6" w:space="0" w:color="auto"/>
                          <w:left w:val="nil" w:sz="6" w:space="0" w:color="auto"/>
                          <w:bottom w:val="nil" w:sz="6" w:space="0" w:color="auto"/>
                          <w:right w:val="nil" w:sz="6" w:space="0" w:color="auto"/>
                        </w:tcBorders>
                      </w:tcPr>
                      <w:p>
                        <w:pPr/>
                      </w:p>
                    </w:tc>
                    <w:tc>
                      <w:tcPr>
                        <w:tcW w:w="4507" w:type="dxa"/>
                        <w:tcBorders>
                          <w:top w:val="nil" w:sz="6" w:space="0" w:color="auto"/>
                          <w:left w:val="nil" w:sz="6" w:space="0" w:color="auto"/>
                          <w:bottom w:val="nil" w:sz="6" w:space="0" w:color="auto"/>
                          <w:right w:val="nil" w:sz="6" w:space="0" w:color="auto"/>
                        </w:tcBorders>
                      </w:tcPr>
                      <w:p>
                        <w:pPr/>
                      </w:p>
                    </w:tc>
                  </w:tr>
                  <w:tr>
                    <w:trPr>
                      <w:trHeight w:val="38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限公司</w:t>
                        </w:r>
                      </w:p>
                    </w:tc>
                    <w:tc>
                      <w:tcPr>
                        <w:tcW w:w="532" w:type="dxa"/>
                        <w:tcBorders>
                          <w:top w:val="nil" w:sz="6" w:space="0" w:color="auto"/>
                          <w:left w:val="nil" w:sz="6" w:space="0" w:color="auto"/>
                          <w:bottom w:val="nil" w:sz="6" w:space="0" w:color="auto"/>
                          <w:right w:val="nil" w:sz="6" w:space="0" w:color="auto"/>
                        </w:tcBorders>
                      </w:tcPr>
                      <w:p>
                        <w:pPr>
                          <w:pStyle w:val="TableParagraph"/>
                          <w:spacing w:line="140" w:lineRule="exact"/>
                          <w:ind w:right="53"/>
                          <w:jc w:val="center"/>
                          <w:rPr>
                            <w:rFonts w:ascii="宋体" w:hAnsi="宋体" w:cs="宋体" w:eastAsia="宋体" w:hint="default"/>
                            <w:sz w:val="13"/>
                            <w:szCs w:val="13"/>
                          </w:rPr>
                        </w:pPr>
                        <w:r>
                          <w:rPr>
                            <w:rFonts w:ascii="宋体" w:hAnsi="宋体" w:cs="宋体" w:eastAsia="宋体" w:hint="default"/>
                            <w:sz w:val="13"/>
                            <w:szCs w:val="13"/>
                          </w:rPr>
                          <w:t>全资</w:t>
                        </w:r>
                      </w:p>
                    </w:tc>
                    <w:tc>
                      <w:tcPr>
                        <w:tcW w:w="667" w:type="dxa"/>
                        <w:tcBorders>
                          <w:top w:val="nil" w:sz="6" w:space="0" w:color="auto"/>
                          <w:left w:val="nil" w:sz="6" w:space="0" w:color="auto"/>
                          <w:bottom w:val="nil" w:sz="6" w:space="0" w:color="auto"/>
                          <w:right w:val="nil" w:sz="6" w:space="0" w:color="auto"/>
                        </w:tcBorders>
                      </w:tcPr>
                      <w:p>
                        <w:pPr>
                          <w:pStyle w:val="TableParagraph"/>
                          <w:spacing w:line="140" w:lineRule="exact"/>
                          <w:ind w:right="151"/>
                          <w:jc w:val="center"/>
                          <w:rPr>
                            <w:rFonts w:ascii="宋体" w:hAnsi="宋体" w:cs="宋体" w:eastAsia="宋体" w:hint="default"/>
                            <w:sz w:val="13"/>
                            <w:szCs w:val="13"/>
                          </w:rPr>
                        </w:pPr>
                        <w:r>
                          <w:rPr>
                            <w:rFonts w:ascii="宋体" w:hAnsi="宋体" w:cs="宋体" w:eastAsia="宋体" w:hint="default"/>
                            <w:sz w:val="13"/>
                            <w:szCs w:val="13"/>
                          </w:rPr>
                          <w:t>西安</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50"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Times New Roman" w:hAnsi="Times New Roman" w:cs="Times New Roman" w:eastAsia="Times New Roman" w:hint="default"/>
                            <w:sz w:val="13"/>
                            <w:szCs w:val="13"/>
                          </w:rPr>
                        </w:pPr>
                        <w:r>
                          <w:rPr>
                            <w:rFonts w:ascii="Times New Roman"/>
                            <w:w w:val="95"/>
                            <w:sz w:val="13"/>
                          </w:rPr>
                          <w:t>25,000,000</w:t>
                        </w:r>
                        <w:r>
                          <w:rPr>
                            <w:rFonts w:ascii="Times New Roman"/>
                            <w:sz w:val="13"/>
                          </w:rPr>
                        </w:r>
                      </w:p>
                    </w:tc>
                    <w:tc>
                      <w:tcPr>
                        <w:tcW w:w="1445" w:type="dxa"/>
                        <w:tcBorders>
                          <w:top w:val="nil" w:sz="6" w:space="0" w:color="auto"/>
                          <w:left w:val="nil" w:sz="6" w:space="0" w:color="auto"/>
                          <w:bottom w:val="nil" w:sz="6" w:space="0" w:color="auto"/>
                          <w:right w:val="nil" w:sz="6" w:space="0" w:color="auto"/>
                        </w:tcBorders>
                      </w:tcPr>
                      <w:p>
                        <w:pPr>
                          <w:pStyle w:val="TableParagraph"/>
                          <w:spacing w:line="140" w:lineRule="exact"/>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6"/>
                          <w:jc w:val="right"/>
                          <w:rPr>
                            <w:rFonts w:ascii="Times New Roman" w:hAnsi="Times New Roman" w:cs="Times New Roman" w:eastAsia="Times New Roman" w:hint="default"/>
                            <w:sz w:val="13"/>
                            <w:szCs w:val="13"/>
                          </w:rPr>
                        </w:pPr>
                        <w:r>
                          <w:rPr>
                            <w:rFonts w:ascii="Times New Roman"/>
                            <w:w w:val="95"/>
                            <w:sz w:val="13"/>
                          </w:rPr>
                          <w:t>22,502,469</w:t>
                        </w:r>
                        <w:r>
                          <w:rPr>
                            <w:rFonts w:ascii="Times New Roman"/>
                            <w:sz w:val="13"/>
                          </w:rPr>
                        </w: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9"/>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4507" w:type="dxa"/>
                        <w:tcBorders>
                          <w:top w:val="nil" w:sz="6" w:space="0" w:color="auto"/>
                          <w:left w:val="nil" w:sz="6" w:space="0" w:color="auto"/>
                          <w:bottom w:val="nil" w:sz="6" w:space="0" w:color="auto"/>
                          <w:right w:val="nil" w:sz="6" w:space="0" w:color="auto"/>
                        </w:tcBorders>
                      </w:tcPr>
                      <w:p>
                        <w:pPr>
                          <w:pStyle w:val="TableParagraph"/>
                          <w:spacing w:line="140" w:lineRule="exact"/>
                          <w:ind w:left="206" w:right="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r>
                  <w:tr>
                    <w:trPr>
                      <w:trHeight w:val="23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3"/>
                            <w:szCs w:val="13"/>
                          </w:rPr>
                        </w:pPr>
                        <w:r>
                          <w:rPr>
                            <w:rFonts w:ascii="宋体" w:hAnsi="宋体" w:cs="宋体" w:eastAsia="宋体" w:hint="default"/>
                            <w:sz w:val="13"/>
                            <w:szCs w:val="13"/>
                          </w:rPr>
                          <w:t>武汉东软信息技术有</w:t>
                        </w:r>
                      </w:p>
                    </w:tc>
                    <w:tc>
                      <w:tcPr>
                        <w:tcW w:w="532" w:type="dxa"/>
                        <w:tcBorders>
                          <w:top w:val="nil" w:sz="6" w:space="0" w:color="auto"/>
                          <w:left w:val="nil" w:sz="6" w:space="0" w:color="auto"/>
                          <w:bottom w:val="nil" w:sz="6" w:space="0" w:color="auto"/>
                          <w:right w:val="nil" w:sz="6" w:space="0" w:color="auto"/>
                        </w:tcBorders>
                      </w:tcPr>
                      <w:p>
                        <w:pPr/>
                      </w:p>
                    </w:tc>
                    <w:tc>
                      <w:tcPr>
                        <w:tcW w:w="667"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50"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c>
                      <w:tcPr>
                        <w:tcW w:w="622" w:type="dxa"/>
                        <w:tcBorders>
                          <w:top w:val="nil" w:sz="6" w:space="0" w:color="auto"/>
                          <w:left w:val="nil" w:sz="6" w:space="0" w:color="auto"/>
                          <w:bottom w:val="nil" w:sz="6" w:space="0" w:color="auto"/>
                          <w:right w:val="nil" w:sz="6" w:space="0" w:color="auto"/>
                        </w:tcBorders>
                      </w:tcPr>
                      <w:p>
                        <w:pPr/>
                      </w:p>
                    </w:tc>
                    <w:tc>
                      <w:tcPr>
                        <w:tcW w:w="4507" w:type="dxa"/>
                        <w:tcBorders>
                          <w:top w:val="nil" w:sz="6" w:space="0" w:color="auto"/>
                          <w:left w:val="nil" w:sz="6" w:space="0" w:color="auto"/>
                          <w:bottom w:val="nil" w:sz="6" w:space="0" w:color="auto"/>
                          <w:right w:val="nil" w:sz="6" w:space="0" w:color="auto"/>
                        </w:tcBorders>
                      </w:tcPr>
                      <w:p>
                        <w:pPr/>
                      </w:p>
                    </w:tc>
                  </w:tr>
                  <w:tr>
                    <w:trPr>
                      <w:trHeight w:val="38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限公司</w:t>
                        </w:r>
                      </w:p>
                    </w:tc>
                    <w:tc>
                      <w:tcPr>
                        <w:tcW w:w="532" w:type="dxa"/>
                        <w:tcBorders>
                          <w:top w:val="nil" w:sz="6" w:space="0" w:color="auto"/>
                          <w:left w:val="nil" w:sz="6" w:space="0" w:color="auto"/>
                          <w:bottom w:val="nil" w:sz="6" w:space="0" w:color="auto"/>
                          <w:right w:val="nil" w:sz="6" w:space="0" w:color="auto"/>
                        </w:tcBorders>
                      </w:tcPr>
                      <w:p>
                        <w:pPr>
                          <w:pStyle w:val="TableParagraph"/>
                          <w:spacing w:line="140" w:lineRule="exact"/>
                          <w:ind w:right="53"/>
                          <w:jc w:val="center"/>
                          <w:rPr>
                            <w:rFonts w:ascii="宋体" w:hAnsi="宋体" w:cs="宋体" w:eastAsia="宋体" w:hint="default"/>
                            <w:sz w:val="13"/>
                            <w:szCs w:val="13"/>
                          </w:rPr>
                        </w:pPr>
                        <w:r>
                          <w:rPr>
                            <w:rFonts w:ascii="宋体" w:hAnsi="宋体" w:cs="宋体" w:eastAsia="宋体" w:hint="default"/>
                            <w:sz w:val="13"/>
                            <w:szCs w:val="13"/>
                          </w:rPr>
                          <w:t>全资</w:t>
                        </w:r>
                      </w:p>
                    </w:tc>
                    <w:tc>
                      <w:tcPr>
                        <w:tcW w:w="667" w:type="dxa"/>
                        <w:tcBorders>
                          <w:top w:val="nil" w:sz="6" w:space="0" w:color="auto"/>
                          <w:left w:val="nil" w:sz="6" w:space="0" w:color="auto"/>
                          <w:bottom w:val="nil" w:sz="6" w:space="0" w:color="auto"/>
                          <w:right w:val="nil" w:sz="6" w:space="0" w:color="auto"/>
                        </w:tcBorders>
                      </w:tcPr>
                      <w:p>
                        <w:pPr>
                          <w:pStyle w:val="TableParagraph"/>
                          <w:spacing w:line="140" w:lineRule="exact"/>
                          <w:ind w:right="151"/>
                          <w:jc w:val="center"/>
                          <w:rPr>
                            <w:rFonts w:ascii="宋体" w:hAnsi="宋体" w:cs="宋体" w:eastAsia="宋体" w:hint="default"/>
                            <w:sz w:val="13"/>
                            <w:szCs w:val="13"/>
                          </w:rPr>
                        </w:pPr>
                        <w:r>
                          <w:rPr>
                            <w:rFonts w:ascii="宋体" w:hAnsi="宋体" w:cs="宋体" w:eastAsia="宋体" w:hint="default"/>
                            <w:sz w:val="13"/>
                            <w:szCs w:val="13"/>
                          </w:rPr>
                          <w:t>武汉</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50"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Times New Roman" w:hAnsi="Times New Roman" w:cs="Times New Roman" w:eastAsia="Times New Roman" w:hint="default"/>
                            <w:sz w:val="13"/>
                            <w:szCs w:val="13"/>
                          </w:rPr>
                        </w:pPr>
                        <w:r>
                          <w:rPr>
                            <w:rFonts w:ascii="Times New Roman"/>
                            <w:w w:val="95"/>
                            <w:sz w:val="13"/>
                          </w:rPr>
                          <w:t>15,000,000</w:t>
                        </w:r>
                        <w:r>
                          <w:rPr>
                            <w:rFonts w:ascii="Times New Roman"/>
                            <w:sz w:val="13"/>
                          </w:rPr>
                        </w:r>
                      </w:p>
                    </w:tc>
                    <w:tc>
                      <w:tcPr>
                        <w:tcW w:w="1445" w:type="dxa"/>
                        <w:tcBorders>
                          <w:top w:val="nil" w:sz="6" w:space="0" w:color="auto"/>
                          <w:left w:val="nil" w:sz="6" w:space="0" w:color="auto"/>
                          <w:bottom w:val="nil" w:sz="6" w:space="0" w:color="auto"/>
                          <w:right w:val="nil" w:sz="6" w:space="0" w:color="auto"/>
                        </w:tcBorders>
                      </w:tcPr>
                      <w:p>
                        <w:pPr>
                          <w:pStyle w:val="TableParagraph"/>
                          <w:spacing w:line="140" w:lineRule="exact"/>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6"/>
                          <w:jc w:val="right"/>
                          <w:rPr>
                            <w:rFonts w:ascii="Times New Roman" w:hAnsi="Times New Roman" w:cs="Times New Roman" w:eastAsia="Times New Roman" w:hint="default"/>
                            <w:sz w:val="13"/>
                            <w:szCs w:val="13"/>
                          </w:rPr>
                        </w:pPr>
                        <w:r>
                          <w:rPr>
                            <w:rFonts w:ascii="Times New Roman"/>
                            <w:w w:val="95"/>
                            <w:sz w:val="13"/>
                          </w:rPr>
                          <w:t>15,000,000</w:t>
                        </w:r>
                        <w:r>
                          <w:rPr>
                            <w:rFonts w:ascii="Times New Roman"/>
                            <w:sz w:val="13"/>
                          </w:rPr>
                        </w: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9"/>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4507" w:type="dxa"/>
                        <w:tcBorders>
                          <w:top w:val="nil" w:sz="6" w:space="0" w:color="auto"/>
                          <w:left w:val="nil" w:sz="6" w:space="0" w:color="auto"/>
                          <w:bottom w:val="nil" w:sz="6" w:space="0" w:color="auto"/>
                          <w:right w:val="nil" w:sz="6" w:space="0" w:color="auto"/>
                        </w:tcBorders>
                      </w:tcPr>
                      <w:p>
                        <w:pPr>
                          <w:pStyle w:val="TableParagraph"/>
                          <w:spacing w:line="140" w:lineRule="exact"/>
                          <w:ind w:left="206" w:right="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r>
                  <w:tr>
                    <w:trPr>
                      <w:trHeight w:val="230" w:hRule="exact"/>
                    </w:trPr>
                    <w:tc>
                      <w:tcPr>
                        <w:tcW w:w="1509" w:type="dxa"/>
                        <w:tcBorders>
                          <w:top w:val="nil" w:sz="6" w:space="0" w:color="auto"/>
                          <w:left w:val="nil" w:sz="6" w:space="0" w:color="auto"/>
                          <w:bottom w:val="nil" w:sz="6" w:space="0" w:color="auto"/>
                          <w:right w:val="nil" w:sz="6" w:space="0" w:color="auto"/>
                        </w:tcBorders>
                      </w:tcPr>
                      <w:p>
                        <w:pPr/>
                      </w:p>
                    </w:tc>
                    <w:tc>
                      <w:tcPr>
                        <w:tcW w:w="532" w:type="dxa"/>
                        <w:tcBorders>
                          <w:top w:val="nil" w:sz="6" w:space="0" w:color="auto"/>
                          <w:left w:val="nil" w:sz="6" w:space="0" w:color="auto"/>
                          <w:bottom w:val="nil" w:sz="6" w:space="0" w:color="auto"/>
                          <w:right w:val="nil" w:sz="6" w:space="0" w:color="auto"/>
                        </w:tcBorders>
                      </w:tcPr>
                      <w:p>
                        <w:pPr/>
                      </w:p>
                    </w:tc>
                    <w:tc>
                      <w:tcPr>
                        <w:tcW w:w="667"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872"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899"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c>
                      <w:tcPr>
                        <w:tcW w:w="622" w:type="dxa"/>
                        <w:tcBorders>
                          <w:top w:val="nil" w:sz="6" w:space="0" w:color="auto"/>
                          <w:left w:val="nil" w:sz="6" w:space="0" w:color="auto"/>
                          <w:bottom w:val="nil" w:sz="6" w:space="0" w:color="auto"/>
                          <w:right w:val="nil" w:sz="6" w:space="0" w:color="auto"/>
                        </w:tcBorders>
                      </w:tcPr>
                      <w:p>
                        <w:pPr/>
                      </w:p>
                    </w:tc>
                    <w:tc>
                      <w:tcPr>
                        <w:tcW w:w="4507" w:type="dxa"/>
                        <w:tcBorders>
                          <w:top w:val="nil" w:sz="6" w:space="0" w:color="auto"/>
                          <w:left w:val="nil" w:sz="6" w:space="0" w:color="auto"/>
                          <w:bottom w:val="nil" w:sz="6" w:space="0" w:color="auto"/>
                          <w:right w:val="nil" w:sz="6" w:space="0" w:color="auto"/>
                        </w:tcBorders>
                      </w:tcPr>
                      <w:p>
                        <w:pPr/>
                      </w:p>
                    </w:tc>
                  </w:tr>
                  <w:tr>
                    <w:trPr>
                      <w:trHeight w:val="15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140" w:lineRule="exact"/>
                          <w:ind w:left="122" w:right="0"/>
                          <w:jc w:val="left"/>
                          <w:rPr>
                            <w:rFonts w:ascii="宋体" w:hAnsi="宋体" w:cs="宋体" w:eastAsia="宋体" w:hint="default"/>
                            <w:sz w:val="13"/>
                            <w:szCs w:val="13"/>
                          </w:rPr>
                        </w:pPr>
                        <w:r>
                          <w:rPr>
                            <w:rFonts w:ascii="宋体" w:hAnsi="宋体" w:cs="宋体" w:eastAsia="宋体" w:hint="default"/>
                            <w:sz w:val="13"/>
                            <w:szCs w:val="13"/>
                          </w:rPr>
                          <w:t>北京东软超越软件技</w:t>
                        </w:r>
                      </w:p>
                    </w:tc>
                    <w:tc>
                      <w:tcPr>
                        <w:tcW w:w="532" w:type="dxa"/>
                        <w:tcBorders>
                          <w:top w:val="nil" w:sz="6" w:space="0" w:color="auto"/>
                          <w:left w:val="nil" w:sz="6" w:space="0" w:color="auto"/>
                          <w:bottom w:val="nil" w:sz="6" w:space="0" w:color="auto"/>
                          <w:right w:val="nil" w:sz="6" w:space="0" w:color="auto"/>
                        </w:tcBorders>
                      </w:tcPr>
                      <w:p>
                        <w:pPr/>
                      </w:p>
                    </w:tc>
                    <w:tc>
                      <w:tcPr>
                        <w:tcW w:w="667"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140" w:lineRule="exact"/>
                          <w:ind w:left="150"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c>
                      <w:tcPr>
                        <w:tcW w:w="622" w:type="dxa"/>
                        <w:tcBorders>
                          <w:top w:val="nil" w:sz="6" w:space="0" w:color="auto"/>
                          <w:left w:val="nil" w:sz="6" w:space="0" w:color="auto"/>
                          <w:bottom w:val="nil" w:sz="6" w:space="0" w:color="auto"/>
                          <w:right w:val="nil" w:sz="6" w:space="0" w:color="auto"/>
                        </w:tcBorders>
                      </w:tcPr>
                      <w:p>
                        <w:pPr/>
                      </w:p>
                    </w:tc>
                    <w:tc>
                      <w:tcPr>
                        <w:tcW w:w="4507" w:type="dxa"/>
                        <w:tcBorders>
                          <w:top w:val="nil" w:sz="6" w:space="0" w:color="auto"/>
                          <w:left w:val="nil" w:sz="6" w:space="0" w:color="auto"/>
                          <w:bottom w:val="nil" w:sz="6" w:space="0" w:color="auto"/>
                          <w:right w:val="nil" w:sz="6" w:space="0" w:color="auto"/>
                        </w:tcBorders>
                      </w:tcPr>
                      <w:p>
                        <w:pPr/>
                      </w:p>
                    </w:tc>
                  </w:tr>
                  <w:tr>
                    <w:trPr>
                      <w:trHeight w:val="30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术有限公司</w:t>
                        </w:r>
                      </w:p>
                    </w:tc>
                    <w:tc>
                      <w:tcPr>
                        <w:tcW w:w="532" w:type="dxa"/>
                        <w:tcBorders>
                          <w:top w:val="nil" w:sz="6" w:space="0" w:color="auto"/>
                          <w:left w:val="nil" w:sz="6" w:space="0" w:color="auto"/>
                          <w:bottom w:val="nil" w:sz="6" w:space="0" w:color="auto"/>
                          <w:right w:val="nil" w:sz="6" w:space="0" w:color="auto"/>
                        </w:tcBorders>
                      </w:tcPr>
                      <w:p>
                        <w:pPr>
                          <w:pStyle w:val="TableParagraph"/>
                          <w:spacing w:line="140" w:lineRule="exact"/>
                          <w:ind w:right="53"/>
                          <w:jc w:val="center"/>
                          <w:rPr>
                            <w:rFonts w:ascii="宋体" w:hAnsi="宋体" w:cs="宋体" w:eastAsia="宋体" w:hint="default"/>
                            <w:sz w:val="13"/>
                            <w:szCs w:val="13"/>
                          </w:rPr>
                        </w:pPr>
                        <w:r>
                          <w:rPr>
                            <w:rFonts w:ascii="宋体" w:hAnsi="宋体" w:cs="宋体" w:eastAsia="宋体" w:hint="default"/>
                            <w:sz w:val="13"/>
                            <w:szCs w:val="13"/>
                          </w:rPr>
                          <w:t>全资</w:t>
                        </w:r>
                      </w:p>
                    </w:tc>
                    <w:tc>
                      <w:tcPr>
                        <w:tcW w:w="667" w:type="dxa"/>
                        <w:tcBorders>
                          <w:top w:val="nil" w:sz="6" w:space="0" w:color="auto"/>
                          <w:left w:val="nil" w:sz="6" w:space="0" w:color="auto"/>
                          <w:bottom w:val="nil" w:sz="6" w:space="0" w:color="auto"/>
                          <w:right w:val="nil" w:sz="6" w:space="0" w:color="auto"/>
                        </w:tcBorders>
                      </w:tcPr>
                      <w:p>
                        <w:pPr>
                          <w:pStyle w:val="TableParagraph"/>
                          <w:spacing w:line="140" w:lineRule="exact"/>
                          <w:ind w:right="152"/>
                          <w:jc w:val="center"/>
                          <w:rPr>
                            <w:rFonts w:ascii="宋体" w:hAnsi="宋体" w:cs="宋体" w:eastAsia="宋体" w:hint="default"/>
                            <w:sz w:val="13"/>
                            <w:szCs w:val="13"/>
                          </w:rPr>
                        </w:pPr>
                        <w:r>
                          <w:rPr>
                            <w:rFonts w:ascii="宋体" w:hAnsi="宋体" w:cs="宋体" w:eastAsia="宋体" w:hint="default"/>
                            <w:sz w:val="13"/>
                            <w:szCs w:val="13"/>
                          </w:rPr>
                          <w:t>北京</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50"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Times New Roman" w:hAnsi="Times New Roman" w:cs="Times New Roman" w:eastAsia="Times New Roman" w:hint="default"/>
                            <w:sz w:val="13"/>
                            <w:szCs w:val="13"/>
                          </w:rPr>
                        </w:pPr>
                        <w:r>
                          <w:rPr>
                            <w:rFonts w:ascii="Times New Roman"/>
                            <w:w w:val="95"/>
                            <w:sz w:val="13"/>
                          </w:rPr>
                          <w:t>65,000,000</w:t>
                        </w:r>
                        <w:r>
                          <w:rPr>
                            <w:rFonts w:ascii="Times New Roman"/>
                            <w:sz w:val="13"/>
                          </w:rPr>
                        </w:r>
                      </w:p>
                    </w:tc>
                    <w:tc>
                      <w:tcPr>
                        <w:tcW w:w="1445" w:type="dxa"/>
                        <w:tcBorders>
                          <w:top w:val="nil" w:sz="6" w:space="0" w:color="auto"/>
                          <w:left w:val="nil" w:sz="6" w:space="0" w:color="auto"/>
                          <w:bottom w:val="nil" w:sz="6" w:space="0" w:color="auto"/>
                          <w:right w:val="nil" w:sz="6" w:space="0" w:color="auto"/>
                        </w:tcBorders>
                      </w:tcPr>
                      <w:p>
                        <w:pPr>
                          <w:pStyle w:val="TableParagraph"/>
                          <w:spacing w:line="140" w:lineRule="exact"/>
                          <w:ind w:left="108" w:right="0"/>
                          <w:jc w:val="left"/>
                          <w:rPr>
                            <w:rFonts w:ascii="宋体" w:hAnsi="宋体" w:cs="宋体" w:eastAsia="宋体" w:hint="default"/>
                            <w:sz w:val="13"/>
                            <w:szCs w:val="13"/>
                          </w:rPr>
                        </w:pPr>
                        <w:r>
                          <w:rPr>
                            <w:rFonts w:ascii="宋体" w:hAnsi="宋体" w:cs="宋体" w:eastAsia="宋体" w:hint="default"/>
                            <w:sz w:val="13"/>
                            <w:szCs w:val="13"/>
                          </w:rPr>
                          <w:t>及相关货物、技术进</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6"/>
                          <w:jc w:val="right"/>
                          <w:rPr>
                            <w:rFonts w:ascii="Times New Roman" w:hAnsi="Times New Roman" w:cs="Times New Roman" w:eastAsia="Times New Roman" w:hint="default"/>
                            <w:sz w:val="13"/>
                            <w:szCs w:val="13"/>
                          </w:rPr>
                        </w:pPr>
                        <w:r>
                          <w:rPr>
                            <w:rFonts w:ascii="Times New Roman"/>
                            <w:w w:val="95"/>
                            <w:sz w:val="13"/>
                          </w:rPr>
                          <w:t>64,396,361</w:t>
                        </w:r>
                        <w:r>
                          <w:rPr>
                            <w:rFonts w:ascii="Times New Roman"/>
                            <w:sz w:val="13"/>
                          </w:rPr>
                        </w: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9"/>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4507" w:type="dxa"/>
                        <w:tcBorders>
                          <w:top w:val="nil" w:sz="6" w:space="0" w:color="auto"/>
                          <w:left w:val="nil" w:sz="6" w:space="0" w:color="auto"/>
                          <w:bottom w:val="nil" w:sz="6" w:space="0" w:color="auto"/>
                          <w:right w:val="nil" w:sz="6" w:space="0" w:color="auto"/>
                        </w:tcBorders>
                      </w:tcPr>
                      <w:p>
                        <w:pPr>
                          <w:pStyle w:val="TableParagraph"/>
                          <w:spacing w:line="140" w:lineRule="exact"/>
                          <w:ind w:left="206" w:right="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r>
                  <w:tr>
                    <w:trPr>
                      <w:trHeight w:val="230" w:hRule="exact"/>
                    </w:trPr>
                    <w:tc>
                      <w:tcPr>
                        <w:tcW w:w="1509" w:type="dxa"/>
                        <w:tcBorders>
                          <w:top w:val="nil" w:sz="6" w:space="0" w:color="auto"/>
                          <w:left w:val="nil" w:sz="6" w:space="0" w:color="auto"/>
                          <w:bottom w:val="nil" w:sz="6" w:space="0" w:color="auto"/>
                          <w:right w:val="nil" w:sz="6" w:space="0" w:color="auto"/>
                        </w:tcBorders>
                      </w:tcPr>
                      <w:p>
                        <w:pPr/>
                      </w:p>
                    </w:tc>
                    <w:tc>
                      <w:tcPr>
                        <w:tcW w:w="532" w:type="dxa"/>
                        <w:tcBorders>
                          <w:top w:val="nil" w:sz="6" w:space="0" w:color="auto"/>
                          <w:left w:val="nil" w:sz="6" w:space="0" w:color="auto"/>
                          <w:bottom w:val="nil" w:sz="6" w:space="0" w:color="auto"/>
                          <w:right w:val="nil" w:sz="6" w:space="0" w:color="auto"/>
                        </w:tcBorders>
                      </w:tcPr>
                      <w:p>
                        <w:pPr/>
                      </w:p>
                    </w:tc>
                    <w:tc>
                      <w:tcPr>
                        <w:tcW w:w="667"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872"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Style w:val="TableParagraph"/>
                          <w:spacing w:line="140" w:lineRule="exact"/>
                          <w:ind w:left="108" w:right="0"/>
                          <w:jc w:val="left"/>
                          <w:rPr>
                            <w:rFonts w:ascii="宋体" w:hAnsi="宋体" w:cs="宋体" w:eastAsia="宋体" w:hint="default"/>
                            <w:sz w:val="13"/>
                            <w:szCs w:val="13"/>
                          </w:rPr>
                        </w:pPr>
                        <w:r>
                          <w:rPr>
                            <w:rFonts w:ascii="宋体" w:hAnsi="宋体" w:cs="宋体" w:eastAsia="宋体" w:hint="default"/>
                            <w:sz w:val="13"/>
                            <w:szCs w:val="13"/>
                          </w:rPr>
                          <w:t>出口</w:t>
                        </w:r>
                      </w:p>
                    </w:tc>
                    <w:tc>
                      <w:tcPr>
                        <w:tcW w:w="899"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c>
                      <w:tcPr>
                        <w:tcW w:w="622" w:type="dxa"/>
                        <w:tcBorders>
                          <w:top w:val="nil" w:sz="6" w:space="0" w:color="auto"/>
                          <w:left w:val="nil" w:sz="6" w:space="0" w:color="auto"/>
                          <w:bottom w:val="nil" w:sz="6" w:space="0" w:color="auto"/>
                          <w:right w:val="nil" w:sz="6" w:space="0" w:color="auto"/>
                        </w:tcBorders>
                      </w:tcPr>
                      <w:p>
                        <w:pPr/>
                      </w:p>
                    </w:tc>
                    <w:tc>
                      <w:tcPr>
                        <w:tcW w:w="4507" w:type="dxa"/>
                        <w:tcBorders>
                          <w:top w:val="nil" w:sz="6" w:space="0" w:color="auto"/>
                          <w:left w:val="nil" w:sz="6" w:space="0" w:color="auto"/>
                          <w:bottom w:val="nil" w:sz="6" w:space="0" w:color="auto"/>
                          <w:right w:val="nil" w:sz="6" w:space="0" w:color="auto"/>
                        </w:tcBorders>
                      </w:tcPr>
                      <w:p>
                        <w:pPr/>
                      </w:p>
                    </w:tc>
                  </w:tr>
                  <w:tr>
                    <w:trPr>
                      <w:trHeight w:val="23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3"/>
                            <w:szCs w:val="13"/>
                          </w:rPr>
                        </w:pPr>
                        <w:r>
                          <w:rPr>
                            <w:rFonts w:ascii="宋体" w:hAnsi="宋体" w:cs="宋体" w:eastAsia="宋体" w:hint="default"/>
                            <w:sz w:val="13"/>
                            <w:szCs w:val="13"/>
                          </w:rPr>
                          <w:t>沈阳东软系统集成技</w:t>
                        </w:r>
                      </w:p>
                    </w:tc>
                    <w:tc>
                      <w:tcPr>
                        <w:tcW w:w="532" w:type="dxa"/>
                        <w:tcBorders>
                          <w:top w:val="nil" w:sz="6" w:space="0" w:color="auto"/>
                          <w:left w:val="nil" w:sz="6" w:space="0" w:color="auto"/>
                          <w:bottom w:val="nil" w:sz="6" w:space="0" w:color="auto"/>
                          <w:right w:val="nil" w:sz="6" w:space="0" w:color="auto"/>
                        </w:tcBorders>
                      </w:tcPr>
                      <w:p>
                        <w:pPr/>
                      </w:p>
                    </w:tc>
                    <w:tc>
                      <w:tcPr>
                        <w:tcW w:w="667"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50"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72"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899"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c>
                      <w:tcPr>
                        <w:tcW w:w="622" w:type="dxa"/>
                        <w:tcBorders>
                          <w:top w:val="nil" w:sz="6" w:space="0" w:color="auto"/>
                          <w:left w:val="nil" w:sz="6" w:space="0" w:color="auto"/>
                          <w:bottom w:val="nil" w:sz="6" w:space="0" w:color="auto"/>
                          <w:right w:val="nil" w:sz="6" w:space="0" w:color="auto"/>
                        </w:tcBorders>
                      </w:tcPr>
                      <w:p>
                        <w:pPr/>
                      </w:p>
                    </w:tc>
                    <w:tc>
                      <w:tcPr>
                        <w:tcW w:w="4507" w:type="dxa"/>
                        <w:tcBorders>
                          <w:top w:val="nil" w:sz="6" w:space="0" w:color="auto"/>
                          <w:left w:val="nil" w:sz="6" w:space="0" w:color="auto"/>
                          <w:bottom w:val="nil" w:sz="6" w:space="0" w:color="auto"/>
                          <w:right w:val="nil" w:sz="6" w:space="0" w:color="auto"/>
                        </w:tcBorders>
                      </w:tcPr>
                      <w:p>
                        <w:pPr/>
                      </w:p>
                    </w:tc>
                  </w:tr>
                  <w:tr>
                    <w:trPr>
                      <w:trHeight w:val="322" w:hRule="exact"/>
                    </w:trPr>
                    <w:tc>
                      <w:tcPr>
                        <w:tcW w:w="1509" w:type="dxa"/>
                        <w:tcBorders>
                          <w:top w:val="nil" w:sz="6" w:space="0" w:color="auto"/>
                          <w:left w:val="nil" w:sz="6" w:space="0" w:color="auto"/>
                          <w:bottom w:val="single" w:sz="8" w:space="0" w:color="000000"/>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术有限公司</w:t>
                        </w:r>
                      </w:p>
                    </w:tc>
                    <w:tc>
                      <w:tcPr>
                        <w:tcW w:w="532" w:type="dxa"/>
                        <w:tcBorders>
                          <w:top w:val="nil" w:sz="6" w:space="0" w:color="auto"/>
                          <w:left w:val="nil" w:sz="6" w:space="0" w:color="auto"/>
                          <w:bottom w:val="single" w:sz="8" w:space="0" w:color="000000"/>
                          <w:right w:val="nil" w:sz="6" w:space="0" w:color="auto"/>
                        </w:tcBorders>
                      </w:tcPr>
                      <w:p>
                        <w:pPr>
                          <w:pStyle w:val="TableParagraph"/>
                          <w:spacing w:line="140" w:lineRule="exact"/>
                          <w:ind w:right="53"/>
                          <w:jc w:val="center"/>
                          <w:rPr>
                            <w:rFonts w:ascii="宋体" w:hAnsi="宋体" w:cs="宋体" w:eastAsia="宋体" w:hint="default"/>
                            <w:sz w:val="13"/>
                            <w:szCs w:val="13"/>
                          </w:rPr>
                        </w:pPr>
                        <w:r>
                          <w:rPr>
                            <w:rFonts w:ascii="宋体" w:hAnsi="宋体" w:cs="宋体" w:eastAsia="宋体" w:hint="default"/>
                            <w:sz w:val="13"/>
                            <w:szCs w:val="13"/>
                          </w:rPr>
                          <w:t>全资</w:t>
                        </w:r>
                      </w:p>
                    </w:tc>
                    <w:tc>
                      <w:tcPr>
                        <w:tcW w:w="667" w:type="dxa"/>
                        <w:tcBorders>
                          <w:top w:val="nil" w:sz="6" w:space="0" w:color="auto"/>
                          <w:left w:val="nil" w:sz="6" w:space="0" w:color="auto"/>
                          <w:bottom w:val="single" w:sz="8" w:space="0" w:color="000000"/>
                          <w:right w:val="nil" w:sz="6" w:space="0" w:color="auto"/>
                        </w:tcBorders>
                      </w:tcPr>
                      <w:p>
                        <w:pPr>
                          <w:pStyle w:val="TableParagraph"/>
                          <w:spacing w:line="140" w:lineRule="exact"/>
                          <w:ind w:right="152"/>
                          <w:jc w:val="center"/>
                          <w:rPr>
                            <w:rFonts w:ascii="宋体" w:hAnsi="宋体" w:cs="宋体" w:eastAsia="宋体" w:hint="default"/>
                            <w:sz w:val="13"/>
                            <w:szCs w:val="13"/>
                          </w:rPr>
                        </w:pPr>
                        <w:r>
                          <w:rPr>
                            <w:rFonts w:ascii="宋体" w:hAnsi="宋体" w:cs="宋体" w:eastAsia="宋体" w:hint="default"/>
                            <w:sz w:val="13"/>
                            <w:szCs w:val="13"/>
                          </w:rPr>
                          <w:t>沈阳</w:t>
                        </w:r>
                      </w:p>
                    </w:tc>
                    <w:tc>
                      <w:tcPr>
                        <w:tcW w:w="850" w:type="dxa"/>
                        <w:tcBorders>
                          <w:top w:val="nil" w:sz="6" w:space="0" w:color="auto"/>
                          <w:left w:val="nil" w:sz="6" w:space="0" w:color="auto"/>
                          <w:bottom w:val="single" w:sz="8" w:space="0" w:color="000000"/>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50"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72" w:type="dxa"/>
                        <w:tcBorders>
                          <w:top w:val="nil" w:sz="6" w:space="0" w:color="auto"/>
                          <w:left w:val="nil" w:sz="6" w:space="0" w:color="auto"/>
                          <w:bottom w:val="single" w:sz="8" w:space="0" w:color="000000"/>
                          <w:right w:val="nil" w:sz="6" w:space="0" w:color="auto"/>
                        </w:tcBorders>
                      </w:tcPr>
                      <w:p>
                        <w:pPr>
                          <w:pStyle w:val="TableParagraph"/>
                          <w:spacing w:line="240" w:lineRule="auto" w:before="8"/>
                          <w:ind w:right="106"/>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1445" w:type="dxa"/>
                        <w:tcBorders>
                          <w:top w:val="nil" w:sz="6" w:space="0" w:color="auto"/>
                          <w:left w:val="nil" w:sz="6" w:space="0" w:color="auto"/>
                          <w:bottom w:val="single" w:sz="8" w:space="0" w:color="000000"/>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08" w:right="0"/>
                          <w:jc w:val="left"/>
                          <w:rPr>
                            <w:rFonts w:ascii="宋体" w:hAnsi="宋体" w:cs="宋体" w:eastAsia="宋体" w:hint="default"/>
                            <w:sz w:val="13"/>
                            <w:szCs w:val="13"/>
                          </w:rPr>
                        </w:pPr>
                        <w:r>
                          <w:rPr>
                            <w:rFonts w:ascii="宋体" w:hAnsi="宋体" w:cs="宋体" w:eastAsia="宋体" w:hint="default"/>
                            <w:sz w:val="13"/>
                            <w:szCs w:val="13"/>
                          </w:rPr>
                          <w:t>技术咨询、服务</w:t>
                        </w:r>
                      </w:p>
                    </w:tc>
                    <w:tc>
                      <w:tcPr>
                        <w:tcW w:w="899" w:type="dxa"/>
                        <w:tcBorders>
                          <w:top w:val="nil" w:sz="6" w:space="0" w:color="auto"/>
                          <w:left w:val="nil" w:sz="6" w:space="0" w:color="auto"/>
                          <w:bottom w:val="single" w:sz="8" w:space="0" w:color="000000"/>
                          <w:right w:val="nil" w:sz="6" w:space="0" w:color="auto"/>
                        </w:tcBorders>
                      </w:tcPr>
                      <w:p>
                        <w:pPr>
                          <w:pStyle w:val="TableParagraph"/>
                          <w:spacing w:line="240" w:lineRule="auto" w:before="8"/>
                          <w:ind w:right="146"/>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946" w:type="dxa"/>
                        <w:tcBorders>
                          <w:top w:val="nil" w:sz="6" w:space="0" w:color="auto"/>
                          <w:left w:val="nil" w:sz="6" w:space="0" w:color="auto"/>
                          <w:bottom w:val="single" w:sz="8" w:space="0" w:color="000000"/>
                          <w:right w:val="nil" w:sz="6" w:space="0" w:color="auto"/>
                        </w:tcBorders>
                      </w:tcPr>
                      <w:p>
                        <w:pPr/>
                      </w:p>
                    </w:tc>
                    <w:tc>
                      <w:tcPr>
                        <w:tcW w:w="580" w:type="dxa"/>
                        <w:tcBorders>
                          <w:top w:val="nil" w:sz="6" w:space="0" w:color="auto"/>
                          <w:left w:val="nil" w:sz="6" w:space="0" w:color="auto"/>
                          <w:bottom w:val="single" w:sz="8" w:space="0" w:color="000000"/>
                          <w:right w:val="nil" w:sz="6" w:space="0" w:color="auto"/>
                        </w:tcBorders>
                      </w:tcPr>
                      <w:p>
                        <w:pPr>
                          <w:pStyle w:val="TableParagraph"/>
                          <w:spacing w:line="240" w:lineRule="auto" w:before="8"/>
                          <w:ind w:right="89"/>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622" w:type="dxa"/>
                        <w:tcBorders>
                          <w:top w:val="nil" w:sz="6" w:space="0" w:color="auto"/>
                          <w:left w:val="nil" w:sz="6" w:space="0" w:color="auto"/>
                          <w:bottom w:val="single" w:sz="8" w:space="0" w:color="000000"/>
                          <w:right w:val="nil" w:sz="6" w:space="0" w:color="auto"/>
                        </w:tcBorders>
                      </w:tcPr>
                      <w:p>
                        <w:pPr>
                          <w:pStyle w:val="TableParagraph"/>
                          <w:spacing w:line="240" w:lineRule="auto" w:before="8"/>
                          <w:ind w:right="108"/>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4507" w:type="dxa"/>
                        <w:tcBorders>
                          <w:top w:val="nil" w:sz="6" w:space="0" w:color="auto"/>
                          <w:left w:val="nil" w:sz="6" w:space="0" w:color="auto"/>
                          <w:bottom w:val="single" w:sz="8" w:space="0" w:color="000000"/>
                          <w:right w:val="nil" w:sz="6" w:space="0" w:color="auto"/>
                        </w:tcBorders>
                      </w:tcPr>
                      <w:p>
                        <w:pPr>
                          <w:pStyle w:val="TableParagraph"/>
                          <w:spacing w:line="140" w:lineRule="exact"/>
                          <w:ind w:left="206" w:right="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r>
                </w:tbl>
                <w:p>
                  <w:pPr/>
                </w:p>
              </w:txbxContent>
            </v:textbox>
            <w10:wrap type="none"/>
          </v:shape>
        </w:pict>
      </w:r>
      <w:r>
        <w:rPr>
          <w:rFonts w:ascii="宋体" w:hAnsi="宋体" w:cs="宋体" w:eastAsia="宋体" w:hint="default"/>
          <w:sz w:val="13"/>
          <w:szCs w:val="13"/>
        </w:rPr>
        <w:t>子公司全称</w:t>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9"/>
        <w:rPr>
          <w:rFonts w:ascii="宋体" w:hAnsi="宋体" w:cs="宋体" w:eastAsia="宋体" w:hint="default"/>
          <w:sz w:val="14"/>
          <w:szCs w:val="14"/>
        </w:rPr>
      </w:pPr>
    </w:p>
    <w:p>
      <w:pPr>
        <w:spacing w:before="0"/>
        <w:ind w:left="464" w:right="-2" w:firstLine="0"/>
        <w:jc w:val="left"/>
        <w:rPr>
          <w:rFonts w:ascii="宋体" w:hAnsi="宋体" w:cs="宋体" w:eastAsia="宋体" w:hint="default"/>
          <w:sz w:val="13"/>
          <w:szCs w:val="13"/>
        </w:rPr>
      </w:pPr>
      <w:r>
        <w:rPr>
          <w:rFonts w:ascii="宋体" w:hAnsi="宋体" w:cs="宋体" w:eastAsia="宋体" w:hint="default"/>
          <w:w w:val="95"/>
          <w:sz w:val="13"/>
          <w:szCs w:val="13"/>
        </w:rPr>
        <w:t>子公司</w:t>
      </w:r>
      <w:r>
        <w:rPr>
          <w:rFonts w:ascii="宋体" w:hAnsi="宋体" w:cs="宋体" w:eastAsia="宋体" w:hint="default"/>
          <w:sz w:val="13"/>
          <w:szCs w:val="13"/>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0"/>
        <w:rPr>
          <w:rFonts w:ascii="宋体" w:hAnsi="宋体" w:cs="宋体" w:eastAsia="宋体" w:hint="default"/>
          <w:sz w:val="12"/>
          <w:szCs w:val="12"/>
        </w:rPr>
      </w:pPr>
    </w:p>
    <w:p>
      <w:pPr>
        <w:spacing w:line="240" w:lineRule="auto" w:before="10"/>
        <w:rPr>
          <w:rFonts w:ascii="宋体" w:hAnsi="宋体" w:cs="宋体" w:eastAsia="宋体" w:hint="default"/>
          <w:sz w:val="13"/>
          <w:szCs w:val="13"/>
        </w:rPr>
      </w:pPr>
    </w:p>
    <w:p>
      <w:pPr>
        <w:tabs>
          <w:tab w:pos="876" w:val="left" w:leader="none"/>
          <w:tab w:pos="1716" w:val="left" w:leader="none"/>
          <w:tab w:pos="2869" w:val="left" w:leader="none"/>
        </w:tabs>
        <w:spacing w:before="0"/>
        <w:ind w:left="191" w:right="0" w:firstLine="0"/>
        <w:jc w:val="left"/>
        <w:rPr>
          <w:rFonts w:ascii="宋体" w:hAnsi="宋体" w:cs="宋体" w:eastAsia="宋体" w:hint="default"/>
          <w:sz w:val="13"/>
          <w:szCs w:val="13"/>
        </w:rPr>
      </w:pPr>
      <w:r>
        <w:rPr>
          <w:rFonts w:ascii="宋体" w:hAnsi="宋体" w:cs="宋体" w:eastAsia="宋体" w:hint="default"/>
          <w:w w:val="95"/>
          <w:sz w:val="13"/>
          <w:szCs w:val="13"/>
        </w:rPr>
        <w:t>注册地</w:t>
        <w:tab/>
        <w:t>企业性质</w:t>
        <w:tab/>
        <w:t>注册资本</w:t>
        <w:tab/>
        <w:t>经营范围</w:t>
      </w:r>
      <w:r>
        <w:rPr>
          <w:rFonts w:ascii="宋体" w:hAnsi="宋体" w:cs="宋体" w:eastAsia="宋体" w:hint="default"/>
          <w:sz w:val="13"/>
          <w:szCs w:val="13"/>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9"/>
        <w:rPr>
          <w:rFonts w:ascii="宋体" w:hAnsi="宋体" w:cs="宋体" w:eastAsia="宋体" w:hint="default"/>
          <w:sz w:val="14"/>
          <w:szCs w:val="14"/>
        </w:rPr>
      </w:pPr>
    </w:p>
    <w:p>
      <w:pPr>
        <w:spacing w:before="0"/>
        <w:ind w:left="526" w:right="0" w:firstLine="0"/>
        <w:jc w:val="left"/>
        <w:rPr>
          <w:rFonts w:ascii="宋体" w:hAnsi="宋体" w:cs="宋体" w:eastAsia="宋体" w:hint="default"/>
          <w:sz w:val="13"/>
          <w:szCs w:val="13"/>
        </w:rPr>
      </w:pPr>
      <w:r>
        <w:rPr>
          <w:rFonts w:ascii="宋体" w:hAnsi="宋体" w:cs="宋体" w:eastAsia="宋体" w:hint="default"/>
          <w:w w:val="95"/>
          <w:sz w:val="13"/>
          <w:szCs w:val="13"/>
        </w:rPr>
        <w:t>期末实际投</w:t>
      </w:r>
      <w:r>
        <w:rPr>
          <w:rFonts w:ascii="宋体" w:hAnsi="宋体" w:cs="宋体" w:eastAsia="宋体" w:hint="default"/>
          <w:sz w:val="13"/>
          <w:szCs w:val="13"/>
        </w:rPr>
      </w:r>
    </w:p>
    <w:p>
      <w:pPr>
        <w:spacing w:line="240" w:lineRule="auto" w:before="7"/>
        <w:rPr>
          <w:rFonts w:ascii="宋体" w:hAnsi="宋体" w:cs="宋体" w:eastAsia="宋体" w:hint="default"/>
          <w:sz w:val="15"/>
          <w:szCs w:val="15"/>
        </w:rPr>
      </w:pPr>
      <w:r>
        <w:rPr/>
        <w:br w:type="column"/>
      </w:r>
      <w:r>
        <w:rPr>
          <w:rFonts w:ascii="宋体"/>
          <w:sz w:val="15"/>
        </w:rPr>
      </w:r>
    </w:p>
    <w:p>
      <w:pPr>
        <w:spacing w:line="410" w:lineRule="auto" w:before="0"/>
        <w:ind w:left="129" w:right="0" w:firstLine="0"/>
        <w:jc w:val="left"/>
        <w:rPr>
          <w:rFonts w:ascii="宋体" w:hAnsi="宋体" w:cs="宋体" w:eastAsia="宋体" w:hint="default"/>
          <w:sz w:val="13"/>
          <w:szCs w:val="13"/>
        </w:rPr>
      </w:pPr>
      <w:r>
        <w:rPr>
          <w:rFonts w:ascii="宋体" w:hAnsi="宋体" w:cs="宋体" w:eastAsia="宋体" w:hint="default"/>
          <w:w w:val="95"/>
          <w:sz w:val="13"/>
          <w:szCs w:val="13"/>
        </w:rPr>
        <w:t>实质上构成对子</w:t>
      </w:r>
      <w:r>
        <w:rPr>
          <w:rFonts w:ascii="宋体" w:hAnsi="宋体" w:cs="宋体" w:eastAsia="宋体" w:hint="default"/>
          <w:spacing w:val="-19"/>
          <w:w w:val="95"/>
          <w:sz w:val="13"/>
          <w:szCs w:val="13"/>
        </w:rPr>
        <w:t> </w:t>
      </w:r>
      <w:r>
        <w:rPr>
          <w:rFonts w:ascii="宋体" w:hAnsi="宋体" w:cs="宋体" w:eastAsia="宋体" w:hint="default"/>
          <w:spacing w:val="-19"/>
          <w:w w:val="95"/>
          <w:sz w:val="13"/>
          <w:szCs w:val="13"/>
        </w:rPr>
      </w:r>
      <w:r>
        <w:rPr>
          <w:rFonts w:ascii="宋体" w:hAnsi="宋体" w:cs="宋体" w:eastAsia="宋体" w:hint="default"/>
          <w:w w:val="95"/>
          <w:sz w:val="13"/>
          <w:szCs w:val="13"/>
        </w:rPr>
        <w:t>公司净投资的其</w:t>
      </w:r>
      <w:r>
        <w:rPr>
          <w:rFonts w:ascii="宋体" w:hAnsi="宋体" w:cs="宋体" w:eastAsia="宋体" w:hint="default"/>
          <w:sz w:val="13"/>
          <w:szCs w:val="13"/>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9"/>
        <w:rPr>
          <w:rFonts w:ascii="宋体" w:hAnsi="宋体" w:cs="宋体" w:eastAsia="宋体" w:hint="default"/>
          <w:sz w:val="14"/>
          <w:szCs w:val="14"/>
        </w:rPr>
      </w:pPr>
    </w:p>
    <w:p>
      <w:pPr>
        <w:spacing w:before="0"/>
        <w:ind w:left="94" w:right="-2" w:firstLine="0"/>
        <w:jc w:val="left"/>
        <w:rPr>
          <w:rFonts w:ascii="宋体" w:hAnsi="宋体" w:cs="宋体" w:eastAsia="宋体" w:hint="default"/>
          <w:sz w:val="13"/>
          <w:szCs w:val="13"/>
        </w:rPr>
      </w:pPr>
      <w:r>
        <w:rPr>
          <w:rFonts w:ascii="宋体" w:hAnsi="宋体" w:cs="宋体" w:eastAsia="宋体" w:hint="default"/>
          <w:w w:val="95"/>
          <w:sz w:val="13"/>
          <w:szCs w:val="13"/>
        </w:rPr>
        <w:t>持股比</w:t>
      </w:r>
      <w:r>
        <w:rPr>
          <w:rFonts w:ascii="宋体" w:hAnsi="宋体" w:cs="宋体" w:eastAsia="宋体" w:hint="default"/>
          <w:sz w:val="13"/>
          <w:szCs w:val="13"/>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9"/>
        <w:rPr>
          <w:rFonts w:ascii="宋体" w:hAnsi="宋体" w:cs="宋体" w:eastAsia="宋体" w:hint="default"/>
          <w:sz w:val="14"/>
          <w:szCs w:val="14"/>
        </w:rPr>
      </w:pPr>
    </w:p>
    <w:p>
      <w:pPr>
        <w:spacing w:before="0"/>
        <w:ind w:left="159" w:right="-2" w:firstLine="0"/>
        <w:jc w:val="left"/>
        <w:rPr>
          <w:rFonts w:ascii="宋体" w:hAnsi="宋体" w:cs="宋体" w:eastAsia="宋体" w:hint="default"/>
          <w:sz w:val="13"/>
          <w:szCs w:val="13"/>
        </w:rPr>
      </w:pPr>
      <w:r>
        <w:rPr>
          <w:rFonts w:ascii="宋体" w:hAnsi="宋体" w:cs="宋体" w:eastAsia="宋体" w:hint="default"/>
          <w:w w:val="95"/>
          <w:sz w:val="13"/>
          <w:szCs w:val="13"/>
        </w:rPr>
        <w:t>表决权</w:t>
      </w:r>
      <w:r>
        <w:rPr>
          <w:rFonts w:ascii="宋体" w:hAnsi="宋体" w:cs="宋体" w:eastAsia="宋体" w:hint="default"/>
          <w:sz w:val="13"/>
          <w:szCs w:val="13"/>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9"/>
        <w:rPr>
          <w:rFonts w:ascii="宋体" w:hAnsi="宋体" w:cs="宋体" w:eastAsia="宋体" w:hint="default"/>
          <w:sz w:val="14"/>
          <w:szCs w:val="14"/>
        </w:rPr>
      </w:pPr>
    </w:p>
    <w:p>
      <w:pPr>
        <w:spacing w:before="0"/>
        <w:ind w:left="146" w:right="-2" w:firstLine="0"/>
        <w:jc w:val="left"/>
        <w:rPr>
          <w:rFonts w:ascii="宋体" w:hAnsi="宋体" w:cs="宋体" w:eastAsia="宋体" w:hint="default"/>
          <w:sz w:val="13"/>
          <w:szCs w:val="13"/>
        </w:rPr>
      </w:pPr>
      <w:r>
        <w:rPr>
          <w:rFonts w:ascii="宋体" w:hAnsi="宋体" w:cs="宋体" w:eastAsia="宋体" w:hint="default"/>
          <w:w w:val="95"/>
          <w:sz w:val="13"/>
          <w:szCs w:val="13"/>
        </w:rPr>
        <w:t>是否合</w:t>
      </w:r>
      <w:r>
        <w:rPr>
          <w:rFonts w:ascii="宋体" w:hAnsi="宋体" w:cs="宋体" w:eastAsia="宋体" w:hint="default"/>
          <w:sz w:val="13"/>
          <w:szCs w:val="13"/>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9"/>
        <w:rPr>
          <w:rFonts w:ascii="宋体" w:hAnsi="宋体" w:cs="宋体" w:eastAsia="宋体" w:hint="default"/>
          <w:sz w:val="14"/>
          <w:szCs w:val="14"/>
        </w:rPr>
      </w:pPr>
    </w:p>
    <w:p>
      <w:pPr>
        <w:spacing w:before="0"/>
        <w:ind w:left="119" w:right="0" w:firstLine="0"/>
        <w:jc w:val="left"/>
        <w:rPr>
          <w:rFonts w:ascii="宋体" w:hAnsi="宋体" w:cs="宋体" w:eastAsia="宋体" w:hint="default"/>
          <w:sz w:val="13"/>
          <w:szCs w:val="13"/>
        </w:rPr>
      </w:pPr>
      <w:r>
        <w:rPr>
          <w:rFonts w:ascii="宋体" w:hAnsi="宋体" w:cs="宋体" w:eastAsia="宋体" w:hint="default"/>
          <w:w w:val="95"/>
          <w:sz w:val="13"/>
          <w:szCs w:val="13"/>
        </w:rPr>
        <w:t>少数股东</w:t>
      </w:r>
      <w:r>
        <w:rPr>
          <w:rFonts w:ascii="宋体" w:hAnsi="宋体" w:cs="宋体" w:eastAsia="宋体" w:hint="default"/>
          <w:sz w:val="13"/>
          <w:szCs w:val="13"/>
        </w:rPr>
      </w:r>
    </w:p>
    <w:p>
      <w:pPr>
        <w:spacing w:line="240" w:lineRule="auto" w:before="7"/>
        <w:rPr>
          <w:rFonts w:ascii="宋体" w:hAnsi="宋体" w:cs="宋体" w:eastAsia="宋体" w:hint="default"/>
          <w:sz w:val="15"/>
          <w:szCs w:val="15"/>
        </w:rPr>
      </w:pPr>
      <w:r>
        <w:rPr/>
        <w:br w:type="column"/>
      </w:r>
      <w:r>
        <w:rPr>
          <w:rFonts w:ascii="宋体"/>
          <w:sz w:val="15"/>
        </w:rPr>
      </w:r>
    </w:p>
    <w:p>
      <w:pPr>
        <w:spacing w:line="410" w:lineRule="auto" w:before="0"/>
        <w:ind w:left="111" w:right="0" w:firstLine="0"/>
        <w:jc w:val="left"/>
        <w:rPr>
          <w:rFonts w:ascii="宋体" w:hAnsi="宋体" w:cs="宋体" w:eastAsia="宋体" w:hint="default"/>
          <w:sz w:val="13"/>
          <w:szCs w:val="13"/>
        </w:rPr>
      </w:pPr>
      <w:r>
        <w:rPr>
          <w:rFonts w:ascii="宋体" w:hAnsi="宋体" w:cs="宋体" w:eastAsia="宋体" w:hint="default"/>
          <w:w w:val="95"/>
          <w:sz w:val="13"/>
          <w:szCs w:val="13"/>
        </w:rPr>
        <w:t>少数股东权益中用</w:t>
      </w:r>
      <w:r>
        <w:rPr>
          <w:rFonts w:ascii="宋体" w:hAnsi="宋体" w:cs="宋体" w:eastAsia="宋体" w:hint="default"/>
          <w:spacing w:val="-11"/>
          <w:w w:val="95"/>
          <w:sz w:val="13"/>
          <w:szCs w:val="13"/>
        </w:rPr>
        <w:t> </w:t>
      </w:r>
      <w:r>
        <w:rPr>
          <w:rFonts w:ascii="宋体" w:hAnsi="宋体" w:cs="宋体" w:eastAsia="宋体" w:hint="default"/>
          <w:spacing w:val="-11"/>
          <w:w w:val="95"/>
          <w:sz w:val="13"/>
          <w:szCs w:val="13"/>
        </w:rPr>
      </w:r>
      <w:r>
        <w:rPr>
          <w:rFonts w:ascii="宋体" w:hAnsi="宋体" w:cs="宋体" w:eastAsia="宋体" w:hint="default"/>
          <w:w w:val="95"/>
          <w:sz w:val="13"/>
          <w:szCs w:val="13"/>
        </w:rPr>
        <w:t>于冲减少数股东损</w:t>
      </w:r>
      <w:r>
        <w:rPr>
          <w:rFonts w:ascii="宋体" w:hAnsi="宋体" w:cs="宋体" w:eastAsia="宋体" w:hint="default"/>
          <w:sz w:val="13"/>
          <w:szCs w:val="13"/>
        </w:rPr>
      </w:r>
    </w:p>
    <w:p>
      <w:pPr>
        <w:spacing w:line="410" w:lineRule="auto" w:before="59"/>
        <w:ind w:left="107" w:right="175" w:firstLine="0"/>
        <w:jc w:val="left"/>
        <w:rPr>
          <w:rFonts w:ascii="宋体" w:hAnsi="宋体" w:cs="宋体" w:eastAsia="宋体" w:hint="default"/>
          <w:sz w:val="13"/>
          <w:szCs w:val="13"/>
        </w:rPr>
      </w:pPr>
      <w:r>
        <w:rPr/>
        <w:br w:type="column"/>
      </w:r>
      <w:r>
        <w:rPr>
          <w:rFonts w:ascii="宋体" w:hAnsi="宋体" w:cs="宋体" w:eastAsia="宋体" w:hint="default"/>
          <w:w w:val="99"/>
          <w:sz w:val="13"/>
          <w:szCs w:val="13"/>
        </w:rPr>
        <w:t>从母公</w:t>
      </w:r>
      <w:r>
        <w:rPr>
          <w:rFonts w:ascii="宋体" w:hAnsi="宋体" w:cs="宋体" w:eastAsia="宋体" w:hint="default"/>
          <w:spacing w:val="1"/>
          <w:w w:val="99"/>
          <w:sz w:val="13"/>
          <w:szCs w:val="13"/>
        </w:rPr>
        <w:t>司</w:t>
      </w:r>
      <w:r>
        <w:rPr>
          <w:rFonts w:ascii="宋体" w:hAnsi="宋体" w:cs="宋体" w:eastAsia="宋体" w:hint="default"/>
          <w:w w:val="99"/>
          <w:sz w:val="13"/>
          <w:szCs w:val="13"/>
        </w:rPr>
        <w:t>所有</w:t>
      </w:r>
      <w:r>
        <w:rPr>
          <w:rFonts w:ascii="宋体" w:hAnsi="宋体" w:cs="宋体" w:eastAsia="宋体" w:hint="default"/>
          <w:spacing w:val="1"/>
          <w:w w:val="99"/>
          <w:sz w:val="13"/>
          <w:szCs w:val="13"/>
        </w:rPr>
        <w:t>者</w:t>
      </w:r>
      <w:r>
        <w:rPr>
          <w:rFonts w:ascii="宋体" w:hAnsi="宋体" w:cs="宋体" w:eastAsia="宋体" w:hint="default"/>
          <w:w w:val="99"/>
          <w:sz w:val="13"/>
          <w:szCs w:val="13"/>
        </w:rPr>
        <w:t>权</w:t>
      </w:r>
      <w:r>
        <w:rPr>
          <w:rFonts w:ascii="宋体" w:hAnsi="宋体" w:cs="宋体" w:eastAsia="宋体" w:hint="default"/>
          <w:spacing w:val="1"/>
          <w:w w:val="99"/>
          <w:sz w:val="13"/>
          <w:szCs w:val="13"/>
        </w:rPr>
        <w:t>益</w:t>
      </w:r>
      <w:r>
        <w:rPr>
          <w:rFonts w:ascii="宋体" w:hAnsi="宋体" w:cs="宋体" w:eastAsia="宋体" w:hint="default"/>
          <w:w w:val="99"/>
          <w:sz w:val="13"/>
          <w:szCs w:val="13"/>
        </w:rPr>
        <w:t>冲减子</w:t>
      </w:r>
      <w:r>
        <w:rPr>
          <w:rFonts w:ascii="宋体" w:hAnsi="宋体" w:cs="宋体" w:eastAsia="宋体" w:hint="default"/>
          <w:spacing w:val="1"/>
          <w:w w:val="99"/>
          <w:sz w:val="13"/>
          <w:szCs w:val="13"/>
        </w:rPr>
        <w:t>公</w:t>
      </w:r>
      <w:r>
        <w:rPr>
          <w:rFonts w:ascii="宋体" w:hAnsi="宋体" w:cs="宋体" w:eastAsia="宋体" w:hint="default"/>
          <w:w w:val="99"/>
          <w:sz w:val="13"/>
          <w:szCs w:val="13"/>
        </w:rPr>
        <w:t>司少</w:t>
      </w:r>
      <w:r>
        <w:rPr>
          <w:rFonts w:ascii="宋体" w:hAnsi="宋体" w:cs="宋体" w:eastAsia="宋体" w:hint="default"/>
          <w:w w:val="99"/>
          <w:sz w:val="13"/>
          <w:szCs w:val="13"/>
        </w:rPr>
        <w:t> 数股东</w:t>
      </w:r>
      <w:r>
        <w:rPr>
          <w:rFonts w:ascii="宋体" w:hAnsi="宋体" w:cs="宋体" w:eastAsia="宋体" w:hint="default"/>
          <w:spacing w:val="1"/>
          <w:w w:val="99"/>
          <w:sz w:val="13"/>
          <w:szCs w:val="13"/>
        </w:rPr>
        <w:t>分</w:t>
      </w:r>
      <w:r>
        <w:rPr>
          <w:rFonts w:ascii="宋体" w:hAnsi="宋体" w:cs="宋体" w:eastAsia="宋体" w:hint="default"/>
          <w:w w:val="99"/>
          <w:sz w:val="13"/>
          <w:szCs w:val="13"/>
        </w:rPr>
        <w:t>担的</w:t>
      </w:r>
      <w:r>
        <w:rPr>
          <w:rFonts w:ascii="宋体" w:hAnsi="宋体" w:cs="宋体" w:eastAsia="宋体" w:hint="default"/>
          <w:spacing w:val="1"/>
          <w:w w:val="99"/>
          <w:sz w:val="13"/>
          <w:szCs w:val="13"/>
        </w:rPr>
        <w:t>本</w:t>
      </w:r>
      <w:r>
        <w:rPr>
          <w:rFonts w:ascii="宋体" w:hAnsi="宋体" w:cs="宋体" w:eastAsia="宋体" w:hint="default"/>
          <w:w w:val="99"/>
          <w:sz w:val="13"/>
          <w:szCs w:val="13"/>
        </w:rPr>
        <w:t>期</w:t>
      </w:r>
      <w:r>
        <w:rPr>
          <w:rFonts w:ascii="宋体" w:hAnsi="宋体" w:cs="宋体" w:eastAsia="宋体" w:hint="default"/>
          <w:spacing w:val="1"/>
          <w:w w:val="99"/>
          <w:sz w:val="13"/>
          <w:szCs w:val="13"/>
        </w:rPr>
        <w:t>亏</w:t>
      </w:r>
      <w:r>
        <w:rPr>
          <w:rFonts w:ascii="宋体" w:hAnsi="宋体" w:cs="宋体" w:eastAsia="宋体" w:hint="default"/>
          <w:w w:val="99"/>
          <w:sz w:val="13"/>
          <w:szCs w:val="13"/>
        </w:rPr>
        <w:t>损超过</w:t>
      </w:r>
      <w:r>
        <w:rPr>
          <w:rFonts w:ascii="宋体" w:hAnsi="宋体" w:cs="宋体" w:eastAsia="宋体" w:hint="default"/>
          <w:spacing w:val="1"/>
          <w:w w:val="99"/>
          <w:sz w:val="13"/>
          <w:szCs w:val="13"/>
        </w:rPr>
        <w:t>少</w:t>
      </w:r>
      <w:r>
        <w:rPr>
          <w:rFonts w:ascii="宋体" w:hAnsi="宋体" w:cs="宋体" w:eastAsia="宋体" w:hint="default"/>
          <w:w w:val="99"/>
          <w:sz w:val="13"/>
          <w:szCs w:val="13"/>
        </w:rPr>
        <w:t>数股</w:t>
      </w:r>
      <w:r>
        <w:rPr>
          <w:rFonts w:ascii="宋体" w:hAnsi="宋体" w:cs="宋体" w:eastAsia="宋体" w:hint="default"/>
          <w:sz w:val="13"/>
          <w:szCs w:val="13"/>
        </w:rPr>
      </w:r>
    </w:p>
    <w:p>
      <w:pPr>
        <w:spacing w:after="0" w:line="410" w:lineRule="auto"/>
        <w:jc w:val="left"/>
        <w:rPr>
          <w:rFonts w:ascii="宋体" w:hAnsi="宋体" w:cs="宋体" w:eastAsia="宋体" w:hint="default"/>
          <w:sz w:val="13"/>
          <w:szCs w:val="13"/>
        </w:rPr>
        <w:sectPr>
          <w:type w:val="continuous"/>
          <w:pgSz w:w="16840" w:h="11900" w:orient="landscape"/>
          <w:pgMar w:top="1600" w:bottom="280" w:left="1300" w:right="1260"/>
          <w:cols w:num="11" w:equalWidth="0">
            <w:col w:w="1822" w:space="40"/>
            <w:col w:w="853" w:space="40"/>
            <w:col w:w="3389" w:space="40"/>
            <w:col w:w="1176" w:space="40"/>
            <w:col w:w="1038" w:space="40"/>
            <w:col w:w="484" w:space="40"/>
            <w:col w:w="549" w:space="40"/>
            <w:col w:w="535" w:space="40"/>
            <w:col w:w="639" w:space="40"/>
            <w:col w:w="1151" w:space="40"/>
            <w:col w:w="2244"/>
          </w:cols>
        </w:sectPr>
      </w:pPr>
    </w:p>
    <w:p>
      <w:pPr>
        <w:spacing w:line="240" w:lineRule="auto" w:before="12"/>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6840" w:h="11900" w:orient="landscape"/>
          <w:pgMar w:header="883" w:footer="995" w:top="1600" w:bottom="1180" w:left="1300" w:right="1260"/>
        </w:sectPr>
      </w:pPr>
    </w:p>
    <w:p>
      <w:pPr>
        <w:spacing w:line="240" w:lineRule="auto" w:before="0"/>
        <w:rPr>
          <w:rFonts w:ascii="宋体" w:hAnsi="宋体" w:cs="宋体" w:eastAsia="宋体" w:hint="default"/>
          <w:sz w:val="12"/>
          <w:szCs w:val="12"/>
        </w:rPr>
      </w:pPr>
      <w:r>
        <w:rPr/>
        <w:pict>
          <v:group style="position:absolute;margin-left:101.990997pt;margin-top:93.419998pt;width:671.4pt;height:413.6pt;mso-position-horizontal-relative:page;mso-position-vertical-relative:page;z-index:-995536" coordorigin="2040,1868" coordsize="13428,8272">
            <v:group style="position:absolute;left:2049;top:1878;width:1491;height:2" coordorigin="2049,1878" coordsize="1491,2">
              <v:shape style="position:absolute;left:2049;top:1878;width:1491;height:2" coordorigin="2049,1878" coordsize="1491,0" path="m2049,1878l3540,1878e" filled="false" stroked="true" strokeweight=".96001pt" strokecolor="#000000">
                <v:path arrowok="t"/>
              </v:shape>
            </v:group>
            <v:group style="position:absolute;left:3540;top:1878;width:551;height:2" coordorigin="3540,1878" coordsize="551,2">
              <v:shape style="position:absolute;left:3540;top:1878;width:551;height:2" coordorigin="3540,1878" coordsize="551,0" path="m3540,1878l4091,1878e" filled="false" stroked="true" strokeweight=".96001pt" strokecolor="#000000">
                <v:path arrowok="t"/>
              </v:shape>
            </v:group>
            <v:group style="position:absolute;left:4091;top:1878;width:690;height:2" coordorigin="4091,1878" coordsize="690,2">
              <v:shape style="position:absolute;left:4091;top:1878;width:690;height:2" coordorigin="4091,1878" coordsize="690,0" path="m4091,1878l4781,1878e" filled="false" stroked="true" strokeweight=".96001pt" strokecolor="#000000">
                <v:path arrowok="t"/>
              </v:shape>
            </v:group>
            <v:group style="position:absolute;left:4781;top:1878;width:810;height:2" coordorigin="4781,1878" coordsize="810,2">
              <v:shape style="position:absolute;left:4781;top:1878;width:810;height:2" coordorigin="4781,1878" coordsize="810,0" path="m4781,1878l5591,1878e" filled="false" stroked="true" strokeweight=".96001pt" strokecolor="#000000">
                <v:path arrowok="t"/>
              </v:shape>
            </v:group>
            <v:group style="position:absolute;left:5591;top:1878;width:870;height:2" coordorigin="5591,1878" coordsize="870,2">
              <v:shape style="position:absolute;left:5591;top:1878;width:870;height:2" coordorigin="5591,1878" coordsize="870,0" path="m5591,1878l6461,1878e" filled="false" stroked="true" strokeweight=".96001pt" strokecolor="#000000">
                <v:path arrowok="t"/>
              </v:shape>
            </v:group>
            <v:group style="position:absolute;left:6461;top:1878;width:1434;height:2" coordorigin="6461,1878" coordsize="1434,2">
              <v:shape style="position:absolute;left:6461;top:1878;width:1434;height:2" coordorigin="6461,1878" coordsize="1434,0" path="m6461,1878l7895,1878e" filled="false" stroked="true" strokeweight=".96001pt" strokecolor="#000000">
                <v:path arrowok="t"/>
              </v:shape>
            </v:group>
            <v:group style="position:absolute;left:7895;top:1878;width:870;height:2" coordorigin="7895,1878" coordsize="870,2">
              <v:shape style="position:absolute;left:7895;top:1878;width:870;height:2" coordorigin="7895,1878" coordsize="870,0" path="m7895,1878l8765,1878e" filled="false" stroked="true" strokeweight=".96001pt" strokecolor="#000000">
                <v:path arrowok="t"/>
              </v:shape>
            </v:group>
            <v:group style="position:absolute;left:8765;top:1878;width:1011;height:2" coordorigin="8765,1878" coordsize="1011,2">
              <v:shape style="position:absolute;left:8765;top:1878;width:1011;height:2" coordorigin="8765,1878" coordsize="1011,0" path="m8765,1878l9775,1878e" filled="false" stroked="true" strokeweight=".96001pt" strokecolor="#000000">
                <v:path arrowok="t"/>
              </v:shape>
            </v:group>
            <v:group style="position:absolute;left:9775;top:1878;width:572;height:2" coordorigin="9775,1878" coordsize="572,2">
              <v:shape style="position:absolute;left:9775;top:1878;width:572;height:2" coordorigin="9775,1878" coordsize="572,0" path="m9775,1878l10346,1878e" filled="false" stroked="true" strokeweight=".96001pt" strokecolor="#000000">
                <v:path arrowok="t"/>
              </v:shape>
            </v:group>
            <v:group style="position:absolute;left:10346;top:1878;width:604;height:2" coordorigin="10346,1878" coordsize="604,2">
              <v:shape style="position:absolute;left:10346;top:1878;width:604;height:2" coordorigin="10346,1878" coordsize="604,0" path="m10346,1878l10950,1878e" filled="false" stroked="true" strokeweight=".96001pt" strokecolor="#000000">
                <v:path arrowok="t"/>
              </v:shape>
            </v:group>
            <v:group style="position:absolute;left:10950;top:1878;width:548;height:2" coordorigin="10950,1878" coordsize="548,2">
              <v:shape style="position:absolute;left:10950;top:1878;width:548;height:2" coordorigin="10950,1878" coordsize="548,0" path="m10950,1878l11497,1878e" filled="false" stroked="true" strokeweight=".96001pt" strokecolor="#000000">
                <v:path arrowok="t"/>
              </v:shape>
            </v:group>
            <v:group style="position:absolute;left:11497;top:1878;width:680;height:2" coordorigin="11497,1878" coordsize="680,2">
              <v:shape style="position:absolute;left:11497;top:1878;width:680;height:2" coordorigin="11497,1878" coordsize="680,0" path="m11497,1878l12176,1878e" filled="false" stroked="true" strokeweight=".96001pt" strokecolor="#000000">
                <v:path arrowok="t"/>
              </v:shape>
            </v:group>
            <v:group style="position:absolute;left:12176;top:1878;width:1180;height:2" coordorigin="12176,1878" coordsize="1180,2">
              <v:shape style="position:absolute;left:12176;top:1878;width:1180;height:2" coordorigin="12176,1878" coordsize="1180,0" path="m12176,1878l13356,1878e" filled="false" stroked="true" strokeweight=".96001pt" strokecolor="#000000">
                <v:path arrowok="t"/>
              </v:shape>
            </v:group>
            <v:group style="position:absolute;left:13356;top:1878;width:2102;height:2" coordorigin="13356,1878" coordsize="2102,2">
              <v:shape style="position:absolute;left:13356;top:1878;width:2102;height:2" coordorigin="13356,1878" coordsize="2102,0" path="m13356,1878l15457,1878e" filled="false" stroked="true" strokeweight=".96001pt" strokecolor="#000000">
                <v:path arrowok="t"/>
              </v:shape>
              <v:shape style="position:absolute;left:2049;top:1888;width:13418;height:8252" type="#_x0000_t75" stroked="false">
                <v:imagedata r:id="rId37" o:title=""/>
              </v:shape>
            </v:group>
            <w10:wrap type="none"/>
          </v:group>
        </w:pict>
      </w:r>
      <w:r>
        <w:rPr/>
        <w:pict>
          <v:shape style="position:absolute;margin-left:101.750999pt;margin-top:154.851257pt;width:671.5pt;height:353.6pt;mso-position-horizontal-relative:page;mso-position-vertical-relative:page;z-index:20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09"/>
                    <w:gridCol w:w="514"/>
                    <w:gridCol w:w="620"/>
                    <w:gridCol w:w="881"/>
                    <w:gridCol w:w="905"/>
                    <w:gridCol w:w="1469"/>
                    <w:gridCol w:w="1381"/>
                    <w:gridCol w:w="1045"/>
                    <w:gridCol w:w="598"/>
                    <w:gridCol w:w="578"/>
                    <w:gridCol w:w="834"/>
                    <w:gridCol w:w="3095"/>
                  </w:tblGrid>
                  <w:tr>
                    <w:trPr>
                      <w:trHeight w:val="39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3"/>
                            <w:szCs w:val="13"/>
                          </w:rPr>
                        </w:pPr>
                        <w:r>
                          <w:rPr>
                            <w:rFonts w:ascii="宋体" w:hAnsi="宋体" w:cs="宋体" w:eastAsia="宋体" w:hint="default"/>
                            <w:spacing w:val="-3"/>
                            <w:sz w:val="13"/>
                            <w:szCs w:val="13"/>
                          </w:rPr>
                          <w:t>东软集团（广州）有限</w:t>
                        </w:r>
                      </w:p>
                    </w:tc>
                    <w:tc>
                      <w:tcPr>
                        <w:tcW w:w="51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35"/>
                          <w:jc w:val="center"/>
                          <w:rPr>
                            <w:rFonts w:ascii="宋体" w:hAnsi="宋体" w:cs="宋体" w:eastAsia="宋体" w:hint="default"/>
                            <w:sz w:val="13"/>
                            <w:szCs w:val="13"/>
                          </w:rPr>
                        </w:pPr>
                        <w:r>
                          <w:rPr>
                            <w:rFonts w:ascii="宋体" w:hAnsi="宋体" w:cs="宋体" w:eastAsia="宋体" w:hint="default"/>
                            <w:sz w:val="13"/>
                            <w:szCs w:val="13"/>
                          </w:rPr>
                          <w:t>全资</w:t>
                        </w:r>
                      </w:p>
                    </w:tc>
                    <w:tc>
                      <w:tcPr>
                        <w:tcW w:w="62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67"/>
                          <w:jc w:val="center"/>
                          <w:rPr>
                            <w:rFonts w:ascii="宋体" w:hAnsi="宋体" w:cs="宋体" w:eastAsia="宋体" w:hint="default"/>
                            <w:sz w:val="13"/>
                            <w:szCs w:val="13"/>
                          </w:rPr>
                        </w:pPr>
                        <w:r>
                          <w:rPr>
                            <w:rFonts w:ascii="宋体" w:hAnsi="宋体" w:cs="宋体" w:eastAsia="宋体" w:hint="default"/>
                            <w:sz w:val="13"/>
                            <w:szCs w:val="13"/>
                          </w:rPr>
                          <w:t>广州</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6"/>
                          <w:ind w:right="106"/>
                          <w:jc w:val="right"/>
                          <w:rPr>
                            <w:rFonts w:ascii="Times New Roman" w:hAnsi="Times New Roman" w:cs="Times New Roman" w:eastAsia="Times New Roman" w:hint="default"/>
                            <w:sz w:val="13"/>
                            <w:szCs w:val="13"/>
                          </w:rPr>
                        </w:pPr>
                        <w:r>
                          <w:rPr>
                            <w:rFonts w:ascii="Times New Roman"/>
                            <w:w w:val="95"/>
                            <w:sz w:val="13"/>
                          </w:rPr>
                          <w:t>100,000,000</w:t>
                        </w:r>
                        <w:r>
                          <w:rPr>
                            <w:rFonts w:ascii="Times New Roman"/>
                            <w:sz w:val="13"/>
                          </w:rPr>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6"/>
                          <w:ind w:right="653"/>
                          <w:jc w:val="right"/>
                          <w:rPr>
                            <w:rFonts w:ascii="Times New Roman" w:hAnsi="Times New Roman" w:cs="Times New Roman" w:eastAsia="Times New Roman" w:hint="default"/>
                            <w:sz w:val="13"/>
                            <w:szCs w:val="13"/>
                          </w:rPr>
                        </w:pPr>
                        <w:r>
                          <w:rPr>
                            <w:rFonts w:ascii="Times New Roman"/>
                            <w:w w:val="95"/>
                            <w:sz w:val="13"/>
                          </w:rPr>
                          <w:t>100,000,000</w:t>
                        </w:r>
                        <w:r>
                          <w:rPr>
                            <w:rFonts w:ascii="Times New Roman"/>
                            <w:sz w:val="13"/>
                          </w:rPr>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6"/>
                          <w:ind w:right="194"/>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5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6"/>
                          <w:ind w:right="8"/>
                          <w:jc w:val="center"/>
                          <w:rPr>
                            <w:rFonts w:ascii="Times New Roman" w:hAnsi="Times New Roman" w:cs="Times New Roman" w:eastAsia="Times New Roman" w:hint="default"/>
                            <w:sz w:val="13"/>
                            <w:szCs w:val="13"/>
                          </w:rPr>
                        </w:pPr>
                        <w:r>
                          <w:rPr>
                            <w:rFonts w:ascii="Times New Roman"/>
                            <w:sz w:val="13"/>
                          </w:rPr>
                          <w:t>100</w:t>
                        </w:r>
                      </w:p>
                    </w:tc>
                    <w:tc>
                      <w:tcPr>
                        <w:tcW w:w="57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32"/>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834" w:type="dxa"/>
                        <w:tcBorders>
                          <w:top w:val="nil" w:sz="6" w:space="0" w:color="auto"/>
                          <w:left w:val="nil" w:sz="6" w:space="0" w:color="auto"/>
                          <w:bottom w:val="nil" w:sz="6" w:space="0" w:color="auto"/>
                          <w:right w:val="nil" w:sz="6" w:space="0" w:color="auto"/>
                        </w:tcBorders>
                      </w:tcPr>
                      <w:p>
                        <w:pPr/>
                      </w:p>
                    </w:tc>
                    <w:tc>
                      <w:tcPr>
                        <w:tcW w:w="3095" w:type="dxa"/>
                        <w:vMerge w:val="restart"/>
                        <w:tcBorders>
                          <w:top w:val="nil" w:sz="6" w:space="0" w:color="auto"/>
                          <w:left w:val="nil" w:sz="6" w:space="0" w:color="auto"/>
                          <w:right w:val="nil" w:sz="6" w:space="0" w:color="auto"/>
                        </w:tcBorders>
                      </w:tcPr>
                      <w:p>
                        <w:pPr/>
                      </w:p>
                    </w:tc>
                  </w:tr>
                  <w:tr>
                    <w:trPr>
                      <w:trHeight w:val="214"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129" w:lineRule="exact"/>
                          <w:ind w:left="122"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51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Style w:val="TableParagraph"/>
                          <w:spacing w:line="129" w:lineRule="exact"/>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905"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129" w:lineRule="exact"/>
                          <w:ind w:left="108" w:right="0"/>
                          <w:jc w:val="left"/>
                          <w:rPr>
                            <w:rFonts w:ascii="宋体" w:hAnsi="宋体" w:cs="宋体" w:eastAsia="宋体" w:hint="default"/>
                            <w:sz w:val="13"/>
                            <w:szCs w:val="13"/>
                          </w:rPr>
                        </w:pPr>
                        <w:r>
                          <w:rPr>
                            <w:rFonts w:ascii="宋体" w:hAnsi="宋体" w:cs="宋体" w:eastAsia="宋体" w:hint="default"/>
                            <w:sz w:val="13"/>
                            <w:szCs w:val="13"/>
                          </w:rPr>
                          <w:t>技术咨询、服务</w:t>
                        </w:r>
                      </w:p>
                    </w:tc>
                    <w:tc>
                      <w:tcPr>
                        <w:tcW w:w="1381" w:type="dxa"/>
                        <w:tcBorders>
                          <w:top w:val="nil" w:sz="6" w:space="0" w:color="auto"/>
                          <w:left w:val="nil" w:sz="6" w:space="0" w:color="auto"/>
                          <w:bottom w:val="nil" w:sz="6" w:space="0" w:color="auto"/>
                          <w:right w:val="nil" w:sz="6" w:space="0" w:color="auto"/>
                        </w:tcBorders>
                      </w:tcPr>
                      <w:p>
                        <w:pP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223"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3"/>
                            <w:szCs w:val="13"/>
                          </w:rPr>
                        </w:pPr>
                        <w:r>
                          <w:rPr>
                            <w:rFonts w:ascii="宋体" w:hAnsi="宋体" w:cs="宋体" w:eastAsia="宋体" w:hint="default"/>
                            <w:spacing w:val="-3"/>
                            <w:sz w:val="13"/>
                            <w:szCs w:val="13"/>
                          </w:rPr>
                          <w:t>东软集团（上海）有限</w:t>
                        </w:r>
                      </w:p>
                    </w:tc>
                    <w:tc>
                      <w:tcPr>
                        <w:tcW w:w="51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905"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381" w:type="dxa"/>
                        <w:tcBorders>
                          <w:top w:val="nil" w:sz="6" w:space="0" w:color="auto"/>
                          <w:left w:val="nil" w:sz="6" w:space="0" w:color="auto"/>
                          <w:bottom w:val="nil" w:sz="6" w:space="0" w:color="auto"/>
                          <w:right w:val="nil" w:sz="6" w:space="0" w:color="auto"/>
                        </w:tcBorders>
                      </w:tcPr>
                      <w:p>
                        <w:pP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368"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514" w:type="dxa"/>
                        <w:tcBorders>
                          <w:top w:val="nil" w:sz="6" w:space="0" w:color="auto"/>
                          <w:left w:val="nil" w:sz="6" w:space="0" w:color="auto"/>
                          <w:bottom w:val="nil" w:sz="6" w:space="0" w:color="auto"/>
                          <w:right w:val="nil" w:sz="6" w:space="0" w:color="auto"/>
                        </w:tcBorders>
                      </w:tcPr>
                      <w:p>
                        <w:pPr>
                          <w:pStyle w:val="TableParagraph"/>
                          <w:spacing w:line="137" w:lineRule="exact"/>
                          <w:ind w:right="35"/>
                          <w:jc w:val="center"/>
                          <w:rPr>
                            <w:rFonts w:ascii="宋体" w:hAnsi="宋体" w:cs="宋体" w:eastAsia="宋体" w:hint="default"/>
                            <w:sz w:val="13"/>
                            <w:szCs w:val="13"/>
                          </w:rPr>
                        </w:pPr>
                        <w:r>
                          <w:rPr>
                            <w:rFonts w:ascii="宋体" w:hAnsi="宋体" w:cs="宋体" w:eastAsia="宋体" w:hint="default"/>
                            <w:sz w:val="13"/>
                            <w:szCs w:val="13"/>
                          </w:rPr>
                          <w:t>全资</w:t>
                        </w:r>
                      </w:p>
                    </w:tc>
                    <w:tc>
                      <w:tcPr>
                        <w:tcW w:w="620" w:type="dxa"/>
                        <w:tcBorders>
                          <w:top w:val="nil" w:sz="6" w:space="0" w:color="auto"/>
                          <w:left w:val="nil" w:sz="6" w:space="0" w:color="auto"/>
                          <w:bottom w:val="nil" w:sz="6" w:space="0" w:color="auto"/>
                          <w:right w:val="nil" w:sz="6" w:space="0" w:color="auto"/>
                        </w:tcBorders>
                      </w:tcPr>
                      <w:p>
                        <w:pPr>
                          <w:pStyle w:val="TableParagraph"/>
                          <w:spacing w:line="137" w:lineRule="exact"/>
                          <w:ind w:right="67"/>
                          <w:jc w:val="center"/>
                          <w:rPr>
                            <w:rFonts w:ascii="宋体" w:hAnsi="宋体" w:cs="宋体" w:eastAsia="宋体" w:hint="default"/>
                            <w:sz w:val="13"/>
                            <w:szCs w:val="13"/>
                          </w:rPr>
                        </w:pPr>
                        <w:r>
                          <w:rPr>
                            <w:rFonts w:ascii="宋体" w:hAnsi="宋体" w:cs="宋体" w:eastAsia="宋体" w:hint="default"/>
                            <w:sz w:val="13"/>
                            <w:szCs w:val="13"/>
                          </w:rPr>
                          <w:t>上海</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Times New Roman" w:hAnsi="Times New Roman" w:cs="Times New Roman" w:eastAsia="Times New Roman" w:hint="default"/>
                            <w:sz w:val="13"/>
                            <w:szCs w:val="13"/>
                          </w:rPr>
                        </w:pPr>
                        <w:r>
                          <w:rPr>
                            <w:rFonts w:ascii="Times New Roman"/>
                            <w:w w:val="95"/>
                            <w:sz w:val="13"/>
                          </w:rPr>
                          <w:t>100,000,000</w:t>
                        </w:r>
                        <w:r>
                          <w:rPr>
                            <w:rFonts w:ascii="Times New Roman"/>
                            <w:sz w:val="13"/>
                          </w:rPr>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108" w:right="0"/>
                          <w:jc w:val="left"/>
                          <w:rPr>
                            <w:rFonts w:ascii="宋体" w:hAnsi="宋体" w:cs="宋体" w:eastAsia="宋体" w:hint="default"/>
                            <w:sz w:val="13"/>
                            <w:szCs w:val="13"/>
                          </w:rPr>
                        </w:pPr>
                        <w:r>
                          <w:rPr>
                            <w:rFonts w:ascii="宋体" w:hAnsi="宋体" w:cs="宋体" w:eastAsia="宋体" w:hint="default"/>
                            <w:sz w:val="13"/>
                            <w:szCs w:val="13"/>
                          </w:rPr>
                          <w:t>技术咨询、服务</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53"/>
                          <w:jc w:val="right"/>
                          <w:rPr>
                            <w:rFonts w:ascii="Times New Roman" w:hAnsi="Times New Roman" w:cs="Times New Roman" w:eastAsia="Times New Roman" w:hint="default"/>
                            <w:sz w:val="13"/>
                            <w:szCs w:val="13"/>
                          </w:rPr>
                        </w:pPr>
                        <w:r>
                          <w:rPr>
                            <w:rFonts w:ascii="Times New Roman"/>
                            <w:w w:val="95"/>
                            <w:sz w:val="13"/>
                          </w:rPr>
                          <w:t>100,000,000</w:t>
                        </w:r>
                        <w:r>
                          <w:rPr>
                            <w:rFonts w:ascii="Times New Roman"/>
                            <w:sz w:val="13"/>
                          </w:rPr>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94"/>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59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
                          <w:jc w:val="center"/>
                          <w:rPr>
                            <w:rFonts w:ascii="Times New Roman" w:hAnsi="Times New Roman" w:cs="Times New Roman" w:eastAsia="Times New Roman" w:hint="default"/>
                            <w:sz w:val="13"/>
                            <w:szCs w:val="13"/>
                          </w:rPr>
                        </w:pPr>
                        <w:r>
                          <w:rPr>
                            <w:rFonts w:ascii="Times New Roman"/>
                            <w:sz w:val="13"/>
                          </w:rPr>
                          <w:t>100</w:t>
                        </w:r>
                      </w:p>
                    </w:tc>
                    <w:tc>
                      <w:tcPr>
                        <w:tcW w:w="578" w:type="dxa"/>
                        <w:tcBorders>
                          <w:top w:val="nil" w:sz="6" w:space="0" w:color="auto"/>
                          <w:left w:val="nil" w:sz="6" w:space="0" w:color="auto"/>
                          <w:bottom w:val="nil" w:sz="6" w:space="0" w:color="auto"/>
                          <w:right w:val="nil" w:sz="6" w:space="0" w:color="auto"/>
                        </w:tcBorders>
                      </w:tcPr>
                      <w:p>
                        <w:pPr>
                          <w:pStyle w:val="TableParagraph"/>
                          <w:spacing w:line="137" w:lineRule="exact"/>
                          <w:ind w:right="32"/>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223"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3"/>
                            <w:szCs w:val="13"/>
                          </w:rPr>
                        </w:pPr>
                        <w:r>
                          <w:rPr>
                            <w:rFonts w:ascii="宋体" w:hAnsi="宋体" w:cs="宋体" w:eastAsia="宋体" w:hint="default"/>
                            <w:sz w:val="13"/>
                            <w:szCs w:val="13"/>
                          </w:rPr>
                          <w:t>杭州东软软件有限公</w:t>
                        </w:r>
                      </w:p>
                    </w:tc>
                    <w:tc>
                      <w:tcPr>
                        <w:tcW w:w="51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905"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381" w:type="dxa"/>
                        <w:tcBorders>
                          <w:top w:val="nil" w:sz="6" w:space="0" w:color="auto"/>
                          <w:left w:val="nil" w:sz="6" w:space="0" w:color="auto"/>
                          <w:bottom w:val="nil" w:sz="6" w:space="0" w:color="auto"/>
                          <w:right w:val="nil" w:sz="6" w:space="0" w:color="auto"/>
                        </w:tcBorders>
                      </w:tcPr>
                      <w:p>
                        <w:pP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368"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w w:val="99"/>
                            <w:sz w:val="13"/>
                            <w:szCs w:val="13"/>
                          </w:rPr>
                          <w:t>司</w:t>
                        </w:r>
                        <w:r>
                          <w:rPr>
                            <w:rFonts w:ascii="宋体" w:hAnsi="宋体" w:cs="宋体" w:eastAsia="宋体" w:hint="default"/>
                            <w:sz w:val="13"/>
                            <w:szCs w:val="13"/>
                          </w:rPr>
                        </w:r>
                      </w:p>
                    </w:tc>
                    <w:tc>
                      <w:tcPr>
                        <w:tcW w:w="514" w:type="dxa"/>
                        <w:tcBorders>
                          <w:top w:val="nil" w:sz="6" w:space="0" w:color="auto"/>
                          <w:left w:val="nil" w:sz="6" w:space="0" w:color="auto"/>
                          <w:bottom w:val="nil" w:sz="6" w:space="0" w:color="auto"/>
                          <w:right w:val="nil" w:sz="6" w:space="0" w:color="auto"/>
                        </w:tcBorders>
                      </w:tcPr>
                      <w:p>
                        <w:pPr>
                          <w:pStyle w:val="TableParagraph"/>
                          <w:spacing w:line="137" w:lineRule="exact"/>
                          <w:ind w:right="35"/>
                          <w:jc w:val="center"/>
                          <w:rPr>
                            <w:rFonts w:ascii="宋体" w:hAnsi="宋体" w:cs="宋体" w:eastAsia="宋体" w:hint="default"/>
                            <w:sz w:val="13"/>
                            <w:szCs w:val="13"/>
                          </w:rPr>
                        </w:pPr>
                        <w:r>
                          <w:rPr>
                            <w:rFonts w:ascii="宋体" w:hAnsi="宋体" w:cs="宋体" w:eastAsia="宋体" w:hint="default"/>
                            <w:sz w:val="13"/>
                            <w:szCs w:val="13"/>
                          </w:rPr>
                          <w:t>全资</w:t>
                        </w:r>
                      </w:p>
                    </w:tc>
                    <w:tc>
                      <w:tcPr>
                        <w:tcW w:w="620" w:type="dxa"/>
                        <w:tcBorders>
                          <w:top w:val="nil" w:sz="6" w:space="0" w:color="auto"/>
                          <w:left w:val="nil" w:sz="6" w:space="0" w:color="auto"/>
                          <w:bottom w:val="nil" w:sz="6" w:space="0" w:color="auto"/>
                          <w:right w:val="nil" w:sz="6" w:space="0" w:color="auto"/>
                        </w:tcBorders>
                      </w:tcPr>
                      <w:p>
                        <w:pPr>
                          <w:pStyle w:val="TableParagraph"/>
                          <w:spacing w:line="137" w:lineRule="exact"/>
                          <w:ind w:right="67"/>
                          <w:jc w:val="center"/>
                          <w:rPr>
                            <w:rFonts w:ascii="宋体" w:hAnsi="宋体" w:cs="宋体" w:eastAsia="宋体" w:hint="default"/>
                            <w:sz w:val="13"/>
                            <w:szCs w:val="13"/>
                          </w:rPr>
                        </w:pPr>
                        <w:r>
                          <w:rPr>
                            <w:rFonts w:ascii="宋体" w:hAnsi="宋体" w:cs="宋体" w:eastAsia="宋体" w:hint="default"/>
                            <w:sz w:val="13"/>
                            <w:szCs w:val="13"/>
                          </w:rPr>
                          <w:t>杭州</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Times New Roman" w:hAnsi="Times New Roman" w:cs="Times New Roman" w:eastAsia="Times New Roman" w:hint="default"/>
                            <w:sz w:val="13"/>
                            <w:szCs w:val="13"/>
                          </w:rPr>
                        </w:pPr>
                        <w:r>
                          <w:rPr>
                            <w:rFonts w:ascii="Times New Roman"/>
                            <w:w w:val="95"/>
                            <w:sz w:val="13"/>
                          </w:rPr>
                          <w:t>500,000</w:t>
                        </w:r>
                        <w:r>
                          <w:rPr>
                            <w:rFonts w:ascii="Times New Roman"/>
                            <w:sz w:val="13"/>
                          </w:rPr>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108" w:right="0"/>
                          <w:jc w:val="left"/>
                          <w:rPr>
                            <w:rFonts w:ascii="宋体" w:hAnsi="宋体" w:cs="宋体" w:eastAsia="宋体" w:hint="default"/>
                            <w:sz w:val="13"/>
                            <w:szCs w:val="13"/>
                          </w:rPr>
                        </w:pPr>
                        <w:r>
                          <w:rPr>
                            <w:rFonts w:ascii="宋体" w:hAnsi="宋体" w:cs="宋体" w:eastAsia="宋体" w:hint="default"/>
                            <w:sz w:val="13"/>
                            <w:szCs w:val="13"/>
                          </w:rPr>
                          <w:t>技术咨询、服务</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52"/>
                          <w:jc w:val="right"/>
                          <w:rPr>
                            <w:rFonts w:ascii="Times New Roman" w:hAnsi="Times New Roman" w:cs="Times New Roman" w:eastAsia="Times New Roman" w:hint="default"/>
                            <w:sz w:val="13"/>
                            <w:szCs w:val="13"/>
                          </w:rPr>
                        </w:pPr>
                        <w:r>
                          <w:rPr>
                            <w:rFonts w:ascii="Times New Roman"/>
                            <w:w w:val="95"/>
                            <w:sz w:val="13"/>
                          </w:rPr>
                          <w:t>500,000</w:t>
                        </w:r>
                        <w:r>
                          <w:rPr>
                            <w:rFonts w:ascii="Times New Roman"/>
                            <w:sz w:val="13"/>
                          </w:rPr>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94"/>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59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
                          <w:jc w:val="center"/>
                          <w:rPr>
                            <w:rFonts w:ascii="Times New Roman" w:hAnsi="Times New Roman" w:cs="Times New Roman" w:eastAsia="Times New Roman" w:hint="default"/>
                            <w:sz w:val="13"/>
                            <w:szCs w:val="13"/>
                          </w:rPr>
                        </w:pPr>
                        <w:r>
                          <w:rPr>
                            <w:rFonts w:ascii="Times New Roman"/>
                            <w:sz w:val="13"/>
                          </w:rPr>
                          <w:t>100</w:t>
                        </w:r>
                      </w:p>
                    </w:tc>
                    <w:tc>
                      <w:tcPr>
                        <w:tcW w:w="578" w:type="dxa"/>
                        <w:tcBorders>
                          <w:top w:val="nil" w:sz="6" w:space="0" w:color="auto"/>
                          <w:left w:val="nil" w:sz="6" w:space="0" w:color="auto"/>
                          <w:bottom w:val="nil" w:sz="6" w:space="0" w:color="auto"/>
                          <w:right w:val="nil" w:sz="6" w:space="0" w:color="auto"/>
                        </w:tcBorders>
                      </w:tcPr>
                      <w:p>
                        <w:pPr>
                          <w:pStyle w:val="TableParagraph"/>
                          <w:spacing w:line="137" w:lineRule="exact"/>
                          <w:ind w:right="32"/>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223"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3"/>
                            <w:szCs w:val="13"/>
                          </w:rPr>
                        </w:pPr>
                        <w:r>
                          <w:rPr>
                            <w:rFonts w:ascii="宋体" w:hAnsi="宋体" w:cs="宋体" w:eastAsia="宋体" w:hint="default"/>
                            <w:sz w:val="13"/>
                            <w:szCs w:val="13"/>
                          </w:rPr>
                          <w:t>天津东软信息技术服</w:t>
                        </w:r>
                      </w:p>
                    </w:tc>
                    <w:tc>
                      <w:tcPr>
                        <w:tcW w:w="51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905"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3"/>
                            <w:szCs w:val="13"/>
                          </w:rPr>
                        </w:pPr>
                        <w:r>
                          <w:rPr>
                            <w:rFonts w:ascii="宋体" w:hAnsi="宋体" w:cs="宋体" w:eastAsia="宋体" w:hint="default"/>
                            <w:sz w:val="13"/>
                            <w:szCs w:val="13"/>
                          </w:rPr>
                          <w:t>计算机软硬件，技术</w:t>
                        </w:r>
                      </w:p>
                    </w:tc>
                    <w:tc>
                      <w:tcPr>
                        <w:tcW w:w="1381" w:type="dxa"/>
                        <w:tcBorders>
                          <w:top w:val="nil" w:sz="6" w:space="0" w:color="auto"/>
                          <w:left w:val="nil" w:sz="6" w:space="0" w:color="auto"/>
                          <w:bottom w:val="nil" w:sz="6" w:space="0" w:color="auto"/>
                          <w:right w:val="nil" w:sz="6" w:space="0" w:color="auto"/>
                        </w:tcBorders>
                      </w:tcPr>
                      <w:p>
                        <w:pP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152" w:hRule="exact"/>
                    </w:trPr>
                    <w:tc>
                      <w:tcPr>
                        <w:tcW w:w="1509" w:type="dxa"/>
                        <w:tcBorders>
                          <w:top w:val="nil" w:sz="6" w:space="0" w:color="auto"/>
                          <w:left w:val="nil" w:sz="6" w:space="0" w:color="auto"/>
                          <w:bottom w:val="nil" w:sz="6" w:space="0" w:color="auto"/>
                          <w:right w:val="nil" w:sz="6" w:space="0" w:color="auto"/>
                        </w:tcBorders>
                      </w:tcPr>
                      <w:p>
                        <w:pPr/>
                      </w:p>
                    </w:tc>
                    <w:tc>
                      <w:tcPr>
                        <w:tcW w:w="514" w:type="dxa"/>
                        <w:tcBorders>
                          <w:top w:val="nil" w:sz="6" w:space="0" w:color="auto"/>
                          <w:left w:val="nil" w:sz="6" w:space="0" w:color="auto"/>
                          <w:bottom w:val="nil" w:sz="6" w:space="0" w:color="auto"/>
                          <w:right w:val="nil" w:sz="6" w:space="0" w:color="auto"/>
                        </w:tcBorders>
                      </w:tcPr>
                      <w:p>
                        <w:pPr>
                          <w:pStyle w:val="TableParagraph"/>
                          <w:spacing w:line="137" w:lineRule="exact"/>
                          <w:ind w:right="35"/>
                          <w:jc w:val="center"/>
                          <w:rPr>
                            <w:rFonts w:ascii="宋体" w:hAnsi="宋体" w:cs="宋体" w:eastAsia="宋体" w:hint="default"/>
                            <w:sz w:val="13"/>
                            <w:szCs w:val="13"/>
                          </w:rPr>
                        </w:pPr>
                        <w:r>
                          <w:rPr>
                            <w:rFonts w:ascii="宋体" w:hAnsi="宋体" w:cs="宋体" w:eastAsia="宋体" w:hint="default"/>
                            <w:sz w:val="13"/>
                            <w:szCs w:val="13"/>
                          </w:rPr>
                          <w:t>全资</w:t>
                        </w:r>
                      </w:p>
                    </w:tc>
                    <w:tc>
                      <w:tcPr>
                        <w:tcW w:w="620" w:type="dxa"/>
                        <w:tcBorders>
                          <w:top w:val="nil" w:sz="6" w:space="0" w:color="auto"/>
                          <w:left w:val="nil" w:sz="6" w:space="0" w:color="auto"/>
                          <w:bottom w:val="nil" w:sz="6" w:space="0" w:color="auto"/>
                          <w:right w:val="nil" w:sz="6" w:space="0" w:color="auto"/>
                        </w:tcBorders>
                      </w:tcPr>
                      <w:p>
                        <w:pPr>
                          <w:pStyle w:val="TableParagraph"/>
                          <w:spacing w:line="137" w:lineRule="exact"/>
                          <w:ind w:right="67"/>
                          <w:jc w:val="center"/>
                          <w:rPr>
                            <w:rFonts w:ascii="宋体" w:hAnsi="宋体" w:cs="宋体" w:eastAsia="宋体" w:hint="default"/>
                            <w:sz w:val="13"/>
                            <w:szCs w:val="13"/>
                          </w:rPr>
                        </w:pPr>
                        <w:r>
                          <w:rPr>
                            <w:rFonts w:ascii="宋体" w:hAnsi="宋体" w:cs="宋体" w:eastAsia="宋体" w:hint="default"/>
                            <w:sz w:val="13"/>
                            <w:szCs w:val="13"/>
                          </w:rPr>
                          <w:t>天津</w:t>
                        </w:r>
                      </w:p>
                    </w:tc>
                    <w:tc>
                      <w:tcPr>
                        <w:tcW w:w="881" w:type="dxa"/>
                        <w:tcBorders>
                          <w:top w:val="nil" w:sz="6" w:space="0" w:color="auto"/>
                          <w:left w:val="nil" w:sz="6" w:space="0" w:color="auto"/>
                          <w:bottom w:val="nil" w:sz="6" w:space="0" w:color="auto"/>
                          <w:right w:val="nil" w:sz="6" w:space="0" w:color="auto"/>
                        </w:tcBorders>
                      </w:tcPr>
                      <w:p>
                        <w:pP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1469" w:type="dxa"/>
                        <w:tcBorders>
                          <w:top w:val="nil" w:sz="6" w:space="0" w:color="auto"/>
                          <w:left w:val="nil" w:sz="6" w:space="0" w:color="auto"/>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53"/>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94"/>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59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
                          <w:jc w:val="center"/>
                          <w:rPr>
                            <w:rFonts w:ascii="Times New Roman" w:hAnsi="Times New Roman" w:cs="Times New Roman" w:eastAsia="Times New Roman" w:hint="default"/>
                            <w:sz w:val="13"/>
                            <w:szCs w:val="13"/>
                          </w:rPr>
                        </w:pPr>
                        <w:r>
                          <w:rPr>
                            <w:rFonts w:ascii="Times New Roman"/>
                            <w:sz w:val="13"/>
                          </w:rPr>
                          <w:t>100</w:t>
                        </w:r>
                      </w:p>
                    </w:tc>
                    <w:tc>
                      <w:tcPr>
                        <w:tcW w:w="578" w:type="dxa"/>
                        <w:tcBorders>
                          <w:top w:val="nil" w:sz="6" w:space="0" w:color="auto"/>
                          <w:left w:val="nil" w:sz="6" w:space="0" w:color="auto"/>
                          <w:bottom w:val="nil" w:sz="6" w:space="0" w:color="auto"/>
                          <w:right w:val="nil" w:sz="6" w:space="0" w:color="auto"/>
                        </w:tcBorders>
                      </w:tcPr>
                      <w:p>
                        <w:pPr>
                          <w:pStyle w:val="TableParagraph"/>
                          <w:spacing w:line="137" w:lineRule="exact"/>
                          <w:ind w:right="32"/>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214"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129" w:lineRule="exact"/>
                          <w:ind w:left="122" w:right="0"/>
                          <w:jc w:val="left"/>
                          <w:rPr>
                            <w:rFonts w:ascii="宋体" w:hAnsi="宋体" w:cs="宋体" w:eastAsia="宋体" w:hint="default"/>
                            <w:sz w:val="13"/>
                            <w:szCs w:val="13"/>
                          </w:rPr>
                        </w:pPr>
                        <w:r>
                          <w:rPr>
                            <w:rFonts w:ascii="宋体" w:hAnsi="宋体" w:cs="宋体" w:eastAsia="宋体" w:hint="default"/>
                            <w:sz w:val="13"/>
                            <w:szCs w:val="13"/>
                          </w:rPr>
                          <w:t>务有限公司</w:t>
                        </w:r>
                      </w:p>
                    </w:tc>
                    <w:tc>
                      <w:tcPr>
                        <w:tcW w:w="51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Style w:val="TableParagraph"/>
                          <w:spacing w:line="129" w:lineRule="exact"/>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905"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129" w:lineRule="exact"/>
                          <w:ind w:left="108" w:right="0"/>
                          <w:jc w:val="left"/>
                          <w:rPr>
                            <w:rFonts w:ascii="宋体" w:hAnsi="宋体" w:cs="宋体" w:eastAsia="宋体" w:hint="default"/>
                            <w:sz w:val="13"/>
                            <w:szCs w:val="13"/>
                          </w:rPr>
                        </w:pPr>
                        <w:r>
                          <w:rPr>
                            <w:rFonts w:ascii="宋体" w:hAnsi="宋体" w:cs="宋体" w:eastAsia="宋体" w:hint="default"/>
                            <w:sz w:val="13"/>
                            <w:szCs w:val="13"/>
                          </w:rPr>
                          <w:t>咨询</w:t>
                        </w:r>
                      </w:p>
                    </w:tc>
                    <w:tc>
                      <w:tcPr>
                        <w:tcW w:w="1381" w:type="dxa"/>
                        <w:tcBorders>
                          <w:top w:val="nil" w:sz="6" w:space="0" w:color="auto"/>
                          <w:left w:val="nil" w:sz="6" w:space="0" w:color="auto"/>
                          <w:bottom w:val="nil" w:sz="6" w:space="0" w:color="auto"/>
                          <w:right w:val="nil" w:sz="6" w:space="0" w:color="auto"/>
                        </w:tcBorders>
                      </w:tcPr>
                      <w:p>
                        <w:pP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223" w:hRule="exact"/>
                    </w:trPr>
                    <w:tc>
                      <w:tcPr>
                        <w:tcW w:w="1509" w:type="dxa"/>
                        <w:tcBorders>
                          <w:top w:val="nil" w:sz="6" w:space="0" w:color="auto"/>
                          <w:left w:val="nil" w:sz="6" w:space="0" w:color="auto"/>
                          <w:bottom w:val="nil" w:sz="6" w:space="0" w:color="auto"/>
                          <w:right w:val="nil" w:sz="6" w:space="0" w:color="auto"/>
                        </w:tcBorders>
                      </w:tcPr>
                      <w:p>
                        <w:pPr/>
                      </w:p>
                    </w:tc>
                    <w:tc>
                      <w:tcPr>
                        <w:tcW w:w="51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5" w:right="0"/>
                          <w:jc w:val="left"/>
                          <w:rPr>
                            <w:rFonts w:ascii="宋体" w:hAnsi="宋体" w:cs="宋体" w:eastAsia="宋体" w:hint="default"/>
                            <w:sz w:val="13"/>
                            <w:szCs w:val="13"/>
                          </w:rPr>
                        </w:pPr>
                        <w:r>
                          <w:rPr>
                            <w:rFonts w:ascii="宋体" w:hAnsi="宋体" w:cs="宋体" w:eastAsia="宋体" w:hint="default"/>
                            <w:sz w:val="13"/>
                            <w:szCs w:val="13"/>
                          </w:rPr>
                          <w:t>股份有限</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7"/>
                          <w:jc w:val="right"/>
                          <w:rPr>
                            <w:rFonts w:ascii="宋体" w:hAnsi="宋体" w:cs="宋体" w:eastAsia="宋体" w:hint="default"/>
                            <w:sz w:val="13"/>
                            <w:szCs w:val="13"/>
                          </w:rPr>
                        </w:pPr>
                        <w:r>
                          <w:rPr>
                            <w:rFonts w:ascii="宋体" w:hAnsi="宋体" w:cs="宋体" w:eastAsia="宋体" w:hint="default"/>
                            <w:w w:val="95"/>
                            <w:sz w:val="13"/>
                            <w:szCs w:val="13"/>
                          </w:rPr>
                          <w:t>瑞士法郎</w:t>
                        </w:r>
                        <w:r>
                          <w:rPr>
                            <w:rFonts w:ascii="宋体" w:hAnsi="宋体" w:cs="宋体" w:eastAsia="宋体" w:hint="default"/>
                            <w:sz w:val="13"/>
                            <w:szCs w:val="13"/>
                          </w:rPr>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3"/>
                            <w:szCs w:val="13"/>
                          </w:rPr>
                        </w:pPr>
                        <w:r>
                          <w:rPr>
                            <w:rFonts w:ascii="宋体" w:hAnsi="宋体" w:cs="宋体" w:eastAsia="宋体" w:hint="default"/>
                            <w:sz w:val="13"/>
                            <w:szCs w:val="13"/>
                          </w:rPr>
                          <w:t>计算机软硬件，技术</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685"/>
                          <w:jc w:val="right"/>
                          <w:rPr>
                            <w:rFonts w:ascii="宋体" w:hAnsi="宋体" w:cs="宋体" w:eastAsia="宋体" w:hint="default"/>
                            <w:sz w:val="13"/>
                            <w:szCs w:val="13"/>
                          </w:rPr>
                        </w:pPr>
                        <w:r>
                          <w:rPr>
                            <w:rFonts w:ascii="宋体" w:hAnsi="宋体" w:cs="宋体" w:eastAsia="宋体" w:hint="default"/>
                            <w:w w:val="95"/>
                            <w:sz w:val="13"/>
                            <w:szCs w:val="13"/>
                          </w:rPr>
                          <w:t>欧元</w:t>
                        </w:r>
                        <w:r>
                          <w:rPr>
                            <w:rFonts w:ascii="宋体" w:hAnsi="宋体" w:cs="宋体" w:eastAsia="宋体" w:hint="default"/>
                            <w:sz w:val="13"/>
                            <w:szCs w:val="13"/>
                          </w:rPr>
                        </w: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376"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137" w:lineRule="exact"/>
                          <w:ind w:left="122" w:right="0"/>
                          <w:jc w:val="left"/>
                          <w:rPr>
                            <w:rFonts w:ascii="宋体" w:hAnsi="宋体" w:cs="宋体" w:eastAsia="宋体" w:hint="default"/>
                            <w:sz w:val="13"/>
                            <w:szCs w:val="13"/>
                          </w:rPr>
                        </w:pPr>
                        <w:r>
                          <w:rPr>
                            <w:rFonts w:ascii="宋体" w:hAnsi="宋体" w:cs="宋体" w:eastAsia="宋体" w:hint="default"/>
                            <w:spacing w:val="-3"/>
                            <w:sz w:val="13"/>
                            <w:szCs w:val="13"/>
                          </w:rPr>
                          <w:t>东软（欧洲）有限公司</w:t>
                        </w:r>
                      </w:p>
                    </w:tc>
                    <w:tc>
                      <w:tcPr>
                        <w:tcW w:w="514" w:type="dxa"/>
                        <w:tcBorders>
                          <w:top w:val="nil" w:sz="6" w:space="0" w:color="auto"/>
                          <w:left w:val="nil" w:sz="6" w:space="0" w:color="auto"/>
                          <w:bottom w:val="nil" w:sz="6" w:space="0" w:color="auto"/>
                          <w:right w:val="nil" w:sz="6" w:space="0" w:color="auto"/>
                        </w:tcBorders>
                      </w:tcPr>
                      <w:p>
                        <w:pPr>
                          <w:pStyle w:val="TableParagraph"/>
                          <w:spacing w:line="137" w:lineRule="exact"/>
                          <w:ind w:right="35"/>
                          <w:jc w:val="center"/>
                          <w:rPr>
                            <w:rFonts w:ascii="宋体" w:hAnsi="宋体" w:cs="宋体" w:eastAsia="宋体" w:hint="default"/>
                            <w:sz w:val="13"/>
                            <w:szCs w:val="13"/>
                          </w:rPr>
                        </w:pPr>
                        <w:r>
                          <w:rPr>
                            <w:rFonts w:ascii="宋体" w:hAnsi="宋体" w:cs="宋体" w:eastAsia="宋体" w:hint="default"/>
                            <w:sz w:val="13"/>
                            <w:szCs w:val="13"/>
                          </w:rPr>
                          <w:t>全资</w:t>
                        </w:r>
                      </w:p>
                    </w:tc>
                    <w:tc>
                      <w:tcPr>
                        <w:tcW w:w="620" w:type="dxa"/>
                        <w:tcBorders>
                          <w:top w:val="nil" w:sz="6" w:space="0" w:color="auto"/>
                          <w:left w:val="nil" w:sz="6" w:space="0" w:color="auto"/>
                          <w:bottom w:val="nil" w:sz="6" w:space="0" w:color="auto"/>
                          <w:right w:val="nil" w:sz="6" w:space="0" w:color="auto"/>
                        </w:tcBorders>
                      </w:tcPr>
                      <w:p>
                        <w:pPr>
                          <w:pStyle w:val="TableParagraph"/>
                          <w:spacing w:line="137" w:lineRule="exact"/>
                          <w:ind w:right="67"/>
                          <w:jc w:val="center"/>
                          <w:rPr>
                            <w:rFonts w:ascii="宋体" w:hAnsi="宋体" w:cs="宋体" w:eastAsia="宋体" w:hint="default"/>
                            <w:sz w:val="13"/>
                            <w:szCs w:val="13"/>
                          </w:rPr>
                        </w:pPr>
                        <w:r>
                          <w:rPr>
                            <w:rFonts w:ascii="宋体" w:hAnsi="宋体" w:cs="宋体" w:eastAsia="宋体" w:hint="default"/>
                            <w:sz w:val="13"/>
                            <w:szCs w:val="13"/>
                          </w:rPr>
                          <w:t>瑞士</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215" w:right="0"/>
                          <w:jc w:val="left"/>
                          <w:rPr>
                            <w:rFonts w:ascii="宋体" w:hAnsi="宋体" w:cs="宋体" w:eastAsia="宋体" w:hint="default"/>
                            <w:sz w:val="13"/>
                            <w:szCs w:val="13"/>
                          </w:rPr>
                        </w:pPr>
                        <w:r>
                          <w:rPr>
                            <w:rFonts w:ascii="宋体" w:hAnsi="宋体" w:cs="宋体" w:eastAsia="宋体" w:hint="default"/>
                            <w:sz w:val="13"/>
                            <w:szCs w:val="13"/>
                          </w:rPr>
                          <w:t>责任公司</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5"/>
                            <w:sz w:val="13"/>
                          </w:rPr>
                          <w:t>20,400,000</w:t>
                        </w:r>
                        <w:r>
                          <w:rPr>
                            <w:rFonts w:ascii="Times New Roman"/>
                            <w:sz w:val="13"/>
                          </w:rPr>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108" w:right="0"/>
                          <w:jc w:val="left"/>
                          <w:rPr>
                            <w:rFonts w:ascii="宋体" w:hAnsi="宋体" w:cs="宋体" w:eastAsia="宋体" w:hint="default"/>
                            <w:sz w:val="13"/>
                            <w:szCs w:val="13"/>
                          </w:rPr>
                        </w:pPr>
                        <w:r>
                          <w:rPr>
                            <w:rFonts w:ascii="宋体" w:hAnsi="宋体" w:cs="宋体" w:eastAsia="宋体" w:hint="default"/>
                            <w:sz w:val="13"/>
                            <w:szCs w:val="13"/>
                          </w:rPr>
                          <w:t>咨询、服务等</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right="653"/>
                          <w:jc w:val="right"/>
                          <w:rPr>
                            <w:rFonts w:ascii="Times New Roman" w:hAnsi="Times New Roman" w:cs="Times New Roman" w:eastAsia="Times New Roman" w:hint="default"/>
                            <w:sz w:val="13"/>
                            <w:szCs w:val="13"/>
                          </w:rPr>
                        </w:pPr>
                        <w:r>
                          <w:rPr>
                            <w:rFonts w:ascii="Times New Roman"/>
                            <w:w w:val="95"/>
                            <w:sz w:val="13"/>
                          </w:rPr>
                          <w:t>13,790,000</w:t>
                        </w:r>
                        <w:r>
                          <w:rPr>
                            <w:rFonts w:ascii="Times New Roman"/>
                            <w:sz w:val="13"/>
                          </w:rPr>
                        </w:r>
                      </w:p>
                    </w:tc>
                    <w:tc>
                      <w:tcPr>
                        <w:tcW w:w="104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94"/>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59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
                          <w:jc w:val="center"/>
                          <w:rPr>
                            <w:rFonts w:ascii="Times New Roman" w:hAnsi="Times New Roman" w:cs="Times New Roman" w:eastAsia="Times New Roman" w:hint="default"/>
                            <w:sz w:val="13"/>
                            <w:szCs w:val="13"/>
                          </w:rPr>
                        </w:pPr>
                        <w:r>
                          <w:rPr>
                            <w:rFonts w:ascii="Times New Roman"/>
                            <w:sz w:val="13"/>
                          </w:rPr>
                          <w:t>100</w:t>
                        </w:r>
                      </w:p>
                    </w:tc>
                    <w:tc>
                      <w:tcPr>
                        <w:tcW w:w="578" w:type="dxa"/>
                        <w:tcBorders>
                          <w:top w:val="nil" w:sz="6" w:space="0" w:color="auto"/>
                          <w:left w:val="nil" w:sz="6" w:space="0" w:color="auto"/>
                          <w:bottom w:val="nil" w:sz="6" w:space="0" w:color="auto"/>
                          <w:right w:val="nil" w:sz="6" w:space="0" w:color="auto"/>
                        </w:tcBorders>
                      </w:tcPr>
                      <w:p>
                        <w:pPr>
                          <w:pStyle w:val="TableParagraph"/>
                          <w:spacing w:line="137" w:lineRule="exact"/>
                          <w:ind w:right="32"/>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215"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left"/>
                          <w:rPr>
                            <w:rFonts w:ascii="宋体" w:hAnsi="宋体" w:cs="宋体" w:eastAsia="宋体" w:hint="default"/>
                            <w:sz w:val="13"/>
                            <w:szCs w:val="13"/>
                          </w:rPr>
                        </w:pPr>
                        <w:r>
                          <w:rPr>
                            <w:rFonts w:ascii="宋体" w:hAnsi="宋体" w:cs="宋体" w:eastAsia="宋体" w:hint="default"/>
                            <w:sz w:val="13"/>
                            <w:szCs w:val="13"/>
                          </w:rPr>
                          <w:t>天津东软软件技术有</w:t>
                        </w:r>
                      </w:p>
                    </w:tc>
                    <w:tc>
                      <w:tcPr>
                        <w:tcW w:w="51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37"/>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905"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8" w:right="0"/>
                          <w:jc w:val="left"/>
                          <w:rPr>
                            <w:rFonts w:ascii="宋体" w:hAnsi="宋体" w:cs="宋体" w:eastAsia="宋体" w:hint="default"/>
                            <w:sz w:val="13"/>
                            <w:szCs w:val="13"/>
                          </w:rPr>
                        </w:pPr>
                        <w:r>
                          <w:rPr>
                            <w:rFonts w:ascii="宋体" w:hAnsi="宋体" w:cs="宋体" w:eastAsia="宋体" w:hint="default"/>
                            <w:sz w:val="13"/>
                            <w:szCs w:val="13"/>
                          </w:rPr>
                          <w:t>计算机软硬件、系统</w:t>
                        </w:r>
                      </w:p>
                    </w:tc>
                    <w:tc>
                      <w:tcPr>
                        <w:tcW w:w="1381" w:type="dxa"/>
                        <w:tcBorders>
                          <w:top w:val="nil" w:sz="6" w:space="0" w:color="auto"/>
                          <w:left w:val="nil" w:sz="6" w:space="0" w:color="auto"/>
                          <w:bottom w:val="nil" w:sz="6" w:space="0" w:color="auto"/>
                          <w:right w:val="nil" w:sz="6" w:space="0" w:color="auto"/>
                        </w:tcBorders>
                      </w:tcPr>
                      <w:p>
                        <w:pP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371"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122" w:right="0"/>
                          <w:jc w:val="left"/>
                          <w:rPr>
                            <w:rFonts w:ascii="宋体" w:hAnsi="宋体" w:cs="宋体" w:eastAsia="宋体" w:hint="default"/>
                            <w:sz w:val="13"/>
                            <w:szCs w:val="13"/>
                          </w:rPr>
                        </w:pPr>
                        <w:r>
                          <w:rPr>
                            <w:rFonts w:ascii="宋体" w:hAnsi="宋体" w:cs="宋体" w:eastAsia="宋体" w:hint="default"/>
                            <w:sz w:val="13"/>
                            <w:szCs w:val="13"/>
                          </w:rPr>
                          <w:t>限公司（注</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1</w:t>
                        </w:r>
                        <w:r>
                          <w:rPr>
                            <w:rFonts w:ascii="宋体" w:hAnsi="宋体" w:cs="宋体" w:eastAsia="宋体" w:hint="default"/>
                            <w:sz w:val="13"/>
                            <w:szCs w:val="13"/>
                          </w:rPr>
                          <w:t>）</w:t>
                        </w:r>
                      </w:p>
                    </w:tc>
                    <w:tc>
                      <w:tcPr>
                        <w:tcW w:w="514" w:type="dxa"/>
                        <w:tcBorders>
                          <w:top w:val="nil" w:sz="6" w:space="0" w:color="auto"/>
                          <w:left w:val="nil" w:sz="6" w:space="0" w:color="auto"/>
                          <w:bottom w:val="nil" w:sz="6" w:space="0" w:color="auto"/>
                          <w:right w:val="nil" w:sz="6" w:space="0" w:color="auto"/>
                        </w:tcBorders>
                      </w:tcPr>
                      <w:p>
                        <w:pPr>
                          <w:pStyle w:val="TableParagraph"/>
                          <w:spacing w:line="137" w:lineRule="exact"/>
                          <w:ind w:right="35"/>
                          <w:jc w:val="center"/>
                          <w:rPr>
                            <w:rFonts w:ascii="宋体" w:hAnsi="宋体" w:cs="宋体" w:eastAsia="宋体" w:hint="default"/>
                            <w:sz w:val="13"/>
                            <w:szCs w:val="13"/>
                          </w:rPr>
                        </w:pPr>
                        <w:r>
                          <w:rPr>
                            <w:rFonts w:ascii="宋体" w:hAnsi="宋体" w:cs="宋体" w:eastAsia="宋体" w:hint="default"/>
                            <w:sz w:val="13"/>
                            <w:szCs w:val="13"/>
                          </w:rPr>
                          <w:t>全资</w:t>
                        </w:r>
                      </w:p>
                    </w:tc>
                    <w:tc>
                      <w:tcPr>
                        <w:tcW w:w="620" w:type="dxa"/>
                        <w:tcBorders>
                          <w:top w:val="nil" w:sz="6" w:space="0" w:color="auto"/>
                          <w:left w:val="nil" w:sz="6" w:space="0" w:color="auto"/>
                          <w:bottom w:val="nil" w:sz="6" w:space="0" w:color="auto"/>
                          <w:right w:val="nil" w:sz="6" w:space="0" w:color="auto"/>
                        </w:tcBorders>
                      </w:tcPr>
                      <w:p>
                        <w:pPr>
                          <w:pStyle w:val="TableParagraph"/>
                          <w:spacing w:line="137" w:lineRule="exact"/>
                          <w:ind w:right="67"/>
                          <w:jc w:val="center"/>
                          <w:rPr>
                            <w:rFonts w:ascii="宋体" w:hAnsi="宋体" w:cs="宋体" w:eastAsia="宋体" w:hint="default"/>
                            <w:sz w:val="13"/>
                            <w:szCs w:val="13"/>
                          </w:rPr>
                        </w:pPr>
                        <w:r>
                          <w:rPr>
                            <w:rFonts w:ascii="宋体" w:hAnsi="宋体" w:cs="宋体" w:eastAsia="宋体" w:hint="default"/>
                            <w:sz w:val="13"/>
                            <w:szCs w:val="13"/>
                          </w:rPr>
                          <w:t>天津</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Times New Roman" w:hAnsi="Times New Roman" w:cs="Times New Roman" w:eastAsia="Times New Roman" w:hint="default"/>
                            <w:sz w:val="13"/>
                            <w:szCs w:val="13"/>
                          </w:rPr>
                        </w:pPr>
                        <w:r>
                          <w:rPr>
                            <w:rFonts w:ascii="Times New Roman"/>
                            <w:w w:val="95"/>
                            <w:sz w:val="13"/>
                          </w:rPr>
                          <w:t>5,000,000</w:t>
                        </w:r>
                        <w:r>
                          <w:rPr>
                            <w:rFonts w:ascii="Times New Roman"/>
                            <w:sz w:val="13"/>
                          </w:rPr>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108" w:right="0"/>
                          <w:jc w:val="left"/>
                          <w:rPr>
                            <w:rFonts w:ascii="宋体" w:hAnsi="宋体" w:cs="宋体" w:eastAsia="宋体" w:hint="default"/>
                            <w:sz w:val="13"/>
                            <w:szCs w:val="13"/>
                          </w:rPr>
                        </w:pPr>
                        <w:r>
                          <w:rPr>
                            <w:rFonts w:ascii="宋体" w:hAnsi="宋体" w:cs="宋体" w:eastAsia="宋体" w:hint="default"/>
                            <w:sz w:val="13"/>
                            <w:szCs w:val="13"/>
                          </w:rPr>
                          <w:t>集成、技术咨询服务</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53"/>
                          <w:jc w:val="right"/>
                          <w:rPr>
                            <w:rFonts w:ascii="Times New Roman" w:hAnsi="Times New Roman" w:cs="Times New Roman" w:eastAsia="Times New Roman" w:hint="default"/>
                            <w:sz w:val="13"/>
                            <w:szCs w:val="13"/>
                          </w:rPr>
                        </w:pPr>
                        <w:r>
                          <w:rPr>
                            <w:rFonts w:ascii="Times New Roman"/>
                            <w:w w:val="95"/>
                            <w:sz w:val="13"/>
                          </w:rPr>
                          <w:t>5,000,000</w:t>
                        </w:r>
                        <w:r>
                          <w:rPr>
                            <w:rFonts w:ascii="Times New Roman"/>
                            <w:sz w:val="13"/>
                          </w:rPr>
                        </w: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
                          <w:jc w:val="center"/>
                          <w:rPr>
                            <w:rFonts w:ascii="Times New Roman" w:hAnsi="Times New Roman" w:cs="Times New Roman" w:eastAsia="Times New Roman" w:hint="default"/>
                            <w:sz w:val="13"/>
                            <w:szCs w:val="13"/>
                          </w:rPr>
                        </w:pPr>
                        <w:r>
                          <w:rPr>
                            <w:rFonts w:ascii="Times New Roman"/>
                            <w:sz w:val="13"/>
                          </w:rPr>
                          <w:t>100</w:t>
                        </w:r>
                      </w:p>
                    </w:tc>
                    <w:tc>
                      <w:tcPr>
                        <w:tcW w:w="578" w:type="dxa"/>
                        <w:tcBorders>
                          <w:top w:val="nil" w:sz="6" w:space="0" w:color="auto"/>
                          <w:left w:val="nil" w:sz="6" w:space="0" w:color="auto"/>
                          <w:bottom w:val="nil" w:sz="6" w:space="0" w:color="auto"/>
                          <w:right w:val="nil" w:sz="6" w:space="0" w:color="auto"/>
                        </w:tcBorders>
                      </w:tcPr>
                      <w:p>
                        <w:pPr>
                          <w:pStyle w:val="TableParagraph"/>
                          <w:spacing w:line="137" w:lineRule="exact"/>
                          <w:ind w:right="32"/>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219"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22" w:right="0"/>
                          <w:jc w:val="left"/>
                          <w:rPr>
                            <w:rFonts w:ascii="宋体" w:hAnsi="宋体" w:cs="宋体" w:eastAsia="宋体" w:hint="default"/>
                            <w:sz w:val="13"/>
                            <w:szCs w:val="13"/>
                          </w:rPr>
                        </w:pPr>
                        <w:r>
                          <w:rPr>
                            <w:rFonts w:ascii="宋体" w:hAnsi="宋体" w:cs="宋体" w:eastAsia="宋体" w:hint="default"/>
                            <w:sz w:val="13"/>
                            <w:szCs w:val="13"/>
                          </w:rPr>
                          <w:t>沈阳东软医疗系统进</w:t>
                        </w:r>
                      </w:p>
                    </w:tc>
                    <w:tc>
                      <w:tcPr>
                        <w:tcW w:w="51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905"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nil" w:sz="6" w:space="0" w:color="auto"/>
                        </w:tcBorders>
                      </w:tcPr>
                      <w:p>
                        <w:pP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152" w:hRule="exact"/>
                    </w:trPr>
                    <w:tc>
                      <w:tcPr>
                        <w:tcW w:w="1509" w:type="dxa"/>
                        <w:tcBorders>
                          <w:top w:val="nil" w:sz="6" w:space="0" w:color="auto"/>
                          <w:left w:val="nil" w:sz="6" w:space="0" w:color="auto"/>
                          <w:bottom w:val="nil" w:sz="6" w:space="0" w:color="auto"/>
                          <w:right w:val="nil" w:sz="6" w:space="0" w:color="auto"/>
                        </w:tcBorders>
                      </w:tcPr>
                      <w:p>
                        <w:pPr/>
                      </w:p>
                    </w:tc>
                    <w:tc>
                      <w:tcPr>
                        <w:tcW w:w="514" w:type="dxa"/>
                        <w:tcBorders>
                          <w:top w:val="nil" w:sz="6" w:space="0" w:color="auto"/>
                          <w:left w:val="nil" w:sz="6" w:space="0" w:color="auto"/>
                          <w:bottom w:val="nil" w:sz="6" w:space="0" w:color="auto"/>
                          <w:right w:val="nil" w:sz="6" w:space="0" w:color="auto"/>
                        </w:tcBorders>
                      </w:tcPr>
                      <w:p>
                        <w:pPr>
                          <w:pStyle w:val="TableParagraph"/>
                          <w:spacing w:line="137" w:lineRule="exact"/>
                          <w:ind w:right="35"/>
                          <w:jc w:val="center"/>
                          <w:rPr>
                            <w:rFonts w:ascii="宋体" w:hAnsi="宋体" w:cs="宋体" w:eastAsia="宋体" w:hint="default"/>
                            <w:sz w:val="13"/>
                            <w:szCs w:val="13"/>
                          </w:rPr>
                        </w:pPr>
                        <w:r>
                          <w:rPr>
                            <w:rFonts w:ascii="宋体" w:hAnsi="宋体" w:cs="宋体" w:eastAsia="宋体" w:hint="default"/>
                            <w:sz w:val="13"/>
                            <w:szCs w:val="13"/>
                          </w:rPr>
                          <w:t>全资</w:t>
                        </w:r>
                      </w:p>
                    </w:tc>
                    <w:tc>
                      <w:tcPr>
                        <w:tcW w:w="620" w:type="dxa"/>
                        <w:tcBorders>
                          <w:top w:val="nil" w:sz="6" w:space="0" w:color="auto"/>
                          <w:left w:val="nil" w:sz="6" w:space="0" w:color="auto"/>
                          <w:bottom w:val="nil" w:sz="6" w:space="0" w:color="auto"/>
                          <w:right w:val="nil" w:sz="6" w:space="0" w:color="auto"/>
                        </w:tcBorders>
                      </w:tcPr>
                      <w:p>
                        <w:pPr>
                          <w:pStyle w:val="TableParagraph"/>
                          <w:spacing w:line="137" w:lineRule="exact"/>
                          <w:ind w:right="67"/>
                          <w:jc w:val="center"/>
                          <w:rPr>
                            <w:rFonts w:ascii="宋体" w:hAnsi="宋体" w:cs="宋体" w:eastAsia="宋体" w:hint="default"/>
                            <w:sz w:val="13"/>
                            <w:szCs w:val="13"/>
                          </w:rPr>
                        </w:pPr>
                        <w:r>
                          <w:rPr>
                            <w:rFonts w:ascii="宋体" w:hAnsi="宋体" w:cs="宋体" w:eastAsia="宋体" w:hint="default"/>
                            <w:sz w:val="13"/>
                            <w:szCs w:val="13"/>
                          </w:rPr>
                          <w:t>沈阳</w:t>
                        </w:r>
                      </w:p>
                    </w:tc>
                    <w:tc>
                      <w:tcPr>
                        <w:tcW w:w="881" w:type="dxa"/>
                        <w:tcBorders>
                          <w:top w:val="nil" w:sz="6" w:space="0" w:color="auto"/>
                          <w:left w:val="nil" w:sz="6" w:space="0" w:color="auto"/>
                          <w:bottom w:val="nil" w:sz="6" w:space="0" w:color="auto"/>
                          <w:right w:val="nil" w:sz="6" w:space="0" w:color="auto"/>
                        </w:tcBorders>
                      </w:tcPr>
                      <w:p>
                        <w:pP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Times New Roman" w:hAnsi="Times New Roman" w:cs="Times New Roman" w:eastAsia="Times New Roman" w:hint="default"/>
                            <w:sz w:val="13"/>
                            <w:szCs w:val="13"/>
                          </w:rPr>
                        </w:pPr>
                        <w:r>
                          <w:rPr>
                            <w:rFonts w:ascii="Times New Roman"/>
                            <w:w w:val="95"/>
                            <w:sz w:val="13"/>
                          </w:rPr>
                          <w:t>5,000,000</w:t>
                        </w:r>
                        <w:r>
                          <w:rPr>
                            <w:rFonts w:ascii="Times New Roman"/>
                            <w:sz w:val="13"/>
                          </w:rPr>
                        </w:r>
                      </w:p>
                    </w:tc>
                    <w:tc>
                      <w:tcPr>
                        <w:tcW w:w="1469" w:type="dxa"/>
                        <w:tcBorders>
                          <w:top w:val="nil" w:sz="6" w:space="0" w:color="auto"/>
                          <w:left w:val="nil" w:sz="6" w:space="0" w:color="auto"/>
                          <w:bottom w:val="nil" w:sz="6" w:space="0" w:color="auto"/>
                          <w:right w:val="nil" w:sz="6" w:space="0" w:color="auto"/>
                        </w:tcBorders>
                      </w:tcPr>
                      <w:p>
                        <w:pPr>
                          <w:pStyle w:val="TableParagraph"/>
                          <w:spacing w:line="137" w:lineRule="exact"/>
                          <w:ind w:left="108" w:right="0"/>
                          <w:jc w:val="left"/>
                          <w:rPr>
                            <w:rFonts w:ascii="宋体" w:hAnsi="宋体" w:cs="宋体" w:eastAsia="宋体" w:hint="default"/>
                            <w:sz w:val="13"/>
                            <w:szCs w:val="13"/>
                          </w:rPr>
                        </w:pPr>
                        <w:r>
                          <w:rPr>
                            <w:rFonts w:ascii="宋体" w:hAnsi="宋体" w:cs="宋体" w:eastAsia="宋体" w:hint="default"/>
                            <w:sz w:val="13"/>
                            <w:szCs w:val="13"/>
                          </w:rPr>
                          <w:t>商品、技术进出口</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52"/>
                          <w:jc w:val="right"/>
                          <w:rPr>
                            <w:rFonts w:ascii="Times New Roman" w:hAnsi="Times New Roman" w:cs="Times New Roman" w:eastAsia="Times New Roman" w:hint="default"/>
                            <w:sz w:val="13"/>
                            <w:szCs w:val="13"/>
                          </w:rPr>
                        </w:pPr>
                        <w:r>
                          <w:rPr>
                            <w:rFonts w:ascii="Times New Roman"/>
                            <w:w w:val="95"/>
                            <w:sz w:val="13"/>
                          </w:rPr>
                          <w:t>5,000,000</w:t>
                        </w:r>
                        <w:r>
                          <w:rPr>
                            <w:rFonts w:ascii="Times New Roman"/>
                            <w:sz w:val="13"/>
                          </w:rPr>
                        </w: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
                          <w:jc w:val="center"/>
                          <w:rPr>
                            <w:rFonts w:ascii="Times New Roman" w:hAnsi="Times New Roman" w:cs="Times New Roman" w:eastAsia="Times New Roman" w:hint="default"/>
                            <w:sz w:val="13"/>
                            <w:szCs w:val="13"/>
                          </w:rPr>
                        </w:pPr>
                        <w:r>
                          <w:rPr>
                            <w:rFonts w:ascii="Times New Roman"/>
                            <w:sz w:val="13"/>
                          </w:rPr>
                          <w:t>100</w:t>
                        </w:r>
                      </w:p>
                    </w:tc>
                    <w:tc>
                      <w:tcPr>
                        <w:tcW w:w="578" w:type="dxa"/>
                        <w:tcBorders>
                          <w:top w:val="nil" w:sz="6" w:space="0" w:color="auto"/>
                          <w:left w:val="nil" w:sz="6" w:space="0" w:color="auto"/>
                          <w:bottom w:val="nil" w:sz="6" w:space="0" w:color="auto"/>
                          <w:right w:val="nil" w:sz="6" w:space="0" w:color="auto"/>
                        </w:tcBorders>
                      </w:tcPr>
                      <w:p>
                        <w:pPr>
                          <w:pStyle w:val="TableParagraph"/>
                          <w:spacing w:line="137" w:lineRule="exact"/>
                          <w:ind w:right="32"/>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218"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139" w:lineRule="exact"/>
                          <w:ind w:left="122" w:right="0"/>
                          <w:jc w:val="left"/>
                          <w:rPr>
                            <w:rFonts w:ascii="宋体" w:hAnsi="宋体" w:cs="宋体" w:eastAsia="宋体" w:hint="default"/>
                            <w:sz w:val="13"/>
                            <w:szCs w:val="13"/>
                          </w:rPr>
                        </w:pPr>
                        <w:r>
                          <w:rPr>
                            <w:rFonts w:ascii="宋体" w:hAnsi="宋体" w:cs="宋体" w:eastAsia="宋体" w:hint="default"/>
                            <w:sz w:val="13"/>
                            <w:szCs w:val="13"/>
                          </w:rPr>
                          <w:t>出口有限公司（注</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2</w:t>
                        </w:r>
                        <w:r>
                          <w:rPr>
                            <w:rFonts w:ascii="宋体" w:hAnsi="宋体" w:cs="宋体" w:eastAsia="宋体" w:hint="default"/>
                            <w:sz w:val="13"/>
                            <w:szCs w:val="13"/>
                          </w:rPr>
                          <w:t>）</w:t>
                        </w:r>
                      </w:p>
                    </w:tc>
                    <w:tc>
                      <w:tcPr>
                        <w:tcW w:w="51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Style w:val="TableParagraph"/>
                          <w:spacing w:line="129" w:lineRule="exact"/>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905"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nil" w:sz="6" w:space="0" w:color="auto"/>
                        </w:tcBorders>
                      </w:tcPr>
                      <w:p>
                        <w:pP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219"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22" w:right="0"/>
                          <w:jc w:val="left"/>
                          <w:rPr>
                            <w:rFonts w:ascii="宋体" w:hAnsi="宋体" w:cs="宋体" w:eastAsia="宋体" w:hint="default"/>
                            <w:sz w:val="13"/>
                            <w:szCs w:val="13"/>
                          </w:rPr>
                        </w:pPr>
                        <w:r>
                          <w:rPr>
                            <w:rFonts w:ascii="宋体" w:hAnsi="宋体" w:cs="宋体" w:eastAsia="宋体" w:hint="default"/>
                            <w:spacing w:val="-3"/>
                            <w:sz w:val="13"/>
                            <w:szCs w:val="13"/>
                          </w:rPr>
                          <w:t>东软医疗（美国）有限</w:t>
                        </w:r>
                      </w:p>
                    </w:tc>
                    <w:tc>
                      <w:tcPr>
                        <w:tcW w:w="51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6"/>
                          <w:jc w:val="right"/>
                          <w:rPr>
                            <w:rFonts w:ascii="宋体" w:hAnsi="宋体" w:cs="宋体" w:eastAsia="宋体" w:hint="default"/>
                            <w:sz w:val="13"/>
                            <w:szCs w:val="13"/>
                          </w:rPr>
                        </w:pPr>
                        <w:r>
                          <w:rPr>
                            <w:rFonts w:ascii="宋体" w:hAnsi="宋体" w:cs="宋体" w:eastAsia="宋体" w:hint="default"/>
                            <w:w w:val="95"/>
                            <w:sz w:val="13"/>
                            <w:szCs w:val="13"/>
                          </w:rPr>
                          <w:t>美元</w:t>
                        </w:r>
                        <w:r>
                          <w:rPr>
                            <w:rFonts w:ascii="宋体" w:hAnsi="宋体" w:cs="宋体" w:eastAsia="宋体" w:hint="default"/>
                            <w:sz w:val="13"/>
                            <w:szCs w:val="13"/>
                          </w:rPr>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3"/>
                            <w:szCs w:val="13"/>
                          </w:rPr>
                        </w:pPr>
                        <w:r>
                          <w:rPr>
                            <w:rFonts w:ascii="宋体" w:hAnsi="宋体" w:cs="宋体" w:eastAsia="宋体" w:hint="default"/>
                            <w:sz w:val="13"/>
                            <w:szCs w:val="13"/>
                          </w:rPr>
                          <w:t>产品的研发、制造、</w:t>
                        </w:r>
                      </w:p>
                    </w:tc>
                    <w:tc>
                      <w:tcPr>
                        <w:tcW w:w="1381" w:type="dxa"/>
                        <w:tcBorders>
                          <w:top w:val="nil" w:sz="6" w:space="0" w:color="auto"/>
                          <w:left w:val="nil" w:sz="6" w:space="0" w:color="auto"/>
                          <w:bottom w:val="nil" w:sz="6" w:space="0" w:color="auto"/>
                          <w:right w:val="nil" w:sz="6" w:space="0" w:color="auto"/>
                        </w:tcBorders>
                      </w:tcPr>
                      <w:p>
                        <w:pP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376"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122" w:right="0"/>
                          <w:jc w:val="left"/>
                          <w:rPr>
                            <w:rFonts w:ascii="宋体" w:hAnsi="宋体" w:cs="宋体" w:eastAsia="宋体" w:hint="default"/>
                            <w:sz w:val="13"/>
                            <w:szCs w:val="13"/>
                          </w:rPr>
                        </w:pPr>
                        <w:r>
                          <w:rPr>
                            <w:rFonts w:ascii="宋体" w:hAnsi="宋体" w:cs="宋体" w:eastAsia="宋体" w:hint="default"/>
                            <w:sz w:val="13"/>
                            <w:szCs w:val="13"/>
                          </w:rPr>
                          <w:t>公司（注</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3</w:t>
                        </w:r>
                        <w:r>
                          <w:rPr>
                            <w:rFonts w:ascii="宋体" w:hAnsi="宋体" w:cs="宋体" w:eastAsia="宋体" w:hint="default"/>
                            <w:sz w:val="13"/>
                            <w:szCs w:val="13"/>
                          </w:rPr>
                          <w:t>）</w:t>
                        </w:r>
                      </w:p>
                    </w:tc>
                    <w:tc>
                      <w:tcPr>
                        <w:tcW w:w="514" w:type="dxa"/>
                        <w:tcBorders>
                          <w:top w:val="nil" w:sz="6" w:space="0" w:color="auto"/>
                          <w:left w:val="nil" w:sz="6" w:space="0" w:color="auto"/>
                          <w:bottom w:val="nil" w:sz="6" w:space="0" w:color="auto"/>
                          <w:right w:val="nil" w:sz="6" w:space="0" w:color="auto"/>
                        </w:tcBorders>
                      </w:tcPr>
                      <w:p>
                        <w:pPr>
                          <w:pStyle w:val="TableParagraph"/>
                          <w:spacing w:line="137" w:lineRule="exact"/>
                          <w:ind w:right="35"/>
                          <w:jc w:val="center"/>
                          <w:rPr>
                            <w:rFonts w:ascii="宋体" w:hAnsi="宋体" w:cs="宋体" w:eastAsia="宋体" w:hint="default"/>
                            <w:sz w:val="13"/>
                            <w:szCs w:val="13"/>
                          </w:rPr>
                        </w:pPr>
                        <w:r>
                          <w:rPr>
                            <w:rFonts w:ascii="宋体" w:hAnsi="宋体" w:cs="宋体" w:eastAsia="宋体" w:hint="default"/>
                            <w:sz w:val="13"/>
                            <w:szCs w:val="13"/>
                          </w:rPr>
                          <w:t>全资</w:t>
                        </w:r>
                      </w:p>
                    </w:tc>
                    <w:tc>
                      <w:tcPr>
                        <w:tcW w:w="620" w:type="dxa"/>
                        <w:tcBorders>
                          <w:top w:val="nil" w:sz="6" w:space="0" w:color="auto"/>
                          <w:left w:val="nil" w:sz="6" w:space="0" w:color="auto"/>
                          <w:bottom w:val="nil" w:sz="6" w:space="0" w:color="auto"/>
                          <w:right w:val="nil" w:sz="6" w:space="0" w:color="auto"/>
                        </w:tcBorders>
                      </w:tcPr>
                      <w:p>
                        <w:pPr>
                          <w:pStyle w:val="TableParagraph"/>
                          <w:spacing w:line="137" w:lineRule="exact"/>
                          <w:ind w:right="67"/>
                          <w:jc w:val="center"/>
                          <w:rPr>
                            <w:rFonts w:ascii="宋体" w:hAnsi="宋体" w:cs="宋体" w:eastAsia="宋体" w:hint="default"/>
                            <w:sz w:val="13"/>
                            <w:szCs w:val="13"/>
                          </w:rPr>
                        </w:pPr>
                        <w:r>
                          <w:rPr>
                            <w:rFonts w:ascii="宋体" w:hAnsi="宋体" w:cs="宋体" w:eastAsia="宋体" w:hint="default"/>
                            <w:sz w:val="13"/>
                            <w:szCs w:val="13"/>
                          </w:rPr>
                          <w:t>美国</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108" w:right="0"/>
                          <w:jc w:val="left"/>
                          <w:rPr>
                            <w:rFonts w:ascii="宋体" w:hAnsi="宋体" w:cs="宋体" w:eastAsia="宋体" w:hint="default"/>
                            <w:sz w:val="13"/>
                            <w:szCs w:val="13"/>
                          </w:rPr>
                        </w:pPr>
                        <w:r>
                          <w:rPr>
                            <w:rFonts w:ascii="宋体" w:hAnsi="宋体" w:cs="宋体" w:eastAsia="宋体" w:hint="default"/>
                            <w:sz w:val="13"/>
                            <w:szCs w:val="13"/>
                          </w:rPr>
                          <w:t>技术咨询和服务等</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52"/>
                          <w:jc w:val="right"/>
                          <w:rPr>
                            <w:rFonts w:ascii="Times New Roman" w:hAnsi="Times New Roman" w:cs="Times New Roman" w:eastAsia="Times New Roman" w:hint="default"/>
                            <w:sz w:val="13"/>
                            <w:szCs w:val="13"/>
                          </w:rPr>
                        </w:pPr>
                        <w:r>
                          <w:rPr>
                            <w:rFonts w:ascii="Times New Roman"/>
                            <w:w w:val="95"/>
                            <w:sz w:val="13"/>
                          </w:rPr>
                          <w:t>1,319,133</w:t>
                        </w:r>
                        <w:r>
                          <w:rPr>
                            <w:rFonts w:ascii="Times New Roman"/>
                            <w:sz w:val="13"/>
                          </w:rPr>
                        </w: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
                          <w:jc w:val="center"/>
                          <w:rPr>
                            <w:rFonts w:ascii="Times New Roman" w:hAnsi="Times New Roman" w:cs="Times New Roman" w:eastAsia="Times New Roman" w:hint="default"/>
                            <w:sz w:val="13"/>
                            <w:szCs w:val="13"/>
                          </w:rPr>
                        </w:pPr>
                        <w:r>
                          <w:rPr>
                            <w:rFonts w:ascii="Times New Roman"/>
                            <w:sz w:val="13"/>
                          </w:rPr>
                          <w:t>100</w:t>
                        </w:r>
                      </w:p>
                    </w:tc>
                    <w:tc>
                      <w:tcPr>
                        <w:tcW w:w="578" w:type="dxa"/>
                        <w:tcBorders>
                          <w:top w:val="nil" w:sz="6" w:space="0" w:color="auto"/>
                          <w:left w:val="nil" w:sz="6" w:space="0" w:color="auto"/>
                          <w:bottom w:val="nil" w:sz="6" w:space="0" w:color="auto"/>
                          <w:right w:val="nil" w:sz="6" w:space="0" w:color="auto"/>
                        </w:tcBorders>
                      </w:tcPr>
                      <w:p>
                        <w:pPr>
                          <w:pStyle w:val="TableParagraph"/>
                          <w:spacing w:line="137" w:lineRule="exact"/>
                          <w:ind w:right="32"/>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215" w:hRule="exact"/>
                    </w:trPr>
                    <w:tc>
                      <w:tcPr>
                        <w:tcW w:w="1509" w:type="dxa"/>
                        <w:tcBorders>
                          <w:top w:val="nil" w:sz="6" w:space="0" w:color="auto"/>
                          <w:left w:val="nil" w:sz="6" w:space="0" w:color="auto"/>
                          <w:bottom w:val="nil" w:sz="6" w:space="0" w:color="auto"/>
                          <w:right w:val="nil" w:sz="6" w:space="0" w:color="auto"/>
                        </w:tcBorders>
                      </w:tcPr>
                      <w:p>
                        <w:pPr/>
                      </w:p>
                    </w:tc>
                    <w:tc>
                      <w:tcPr>
                        <w:tcW w:w="51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
                    </w:tc>
                    <w:tc>
                      <w:tcPr>
                        <w:tcW w:w="905"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8" w:right="0"/>
                          <w:jc w:val="left"/>
                          <w:rPr>
                            <w:rFonts w:ascii="宋体" w:hAnsi="宋体" w:cs="宋体" w:eastAsia="宋体" w:hint="default"/>
                            <w:sz w:val="13"/>
                            <w:szCs w:val="13"/>
                          </w:rPr>
                        </w:pPr>
                        <w:r>
                          <w:rPr>
                            <w:rFonts w:ascii="宋体" w:hAnsi="宋体" w:cs="宋体" w:eastAsia="宋体" w:hint="default"/>
                            <w:sz w:val="13"/>
                            <w:szCs w:val="13"/>
                          </w:rPr>
                          <w:t>低场永磁产品研究制</w:t>
                        </w:r>
                      </w:p>
                    </w:tc>
                    <w:tc>
                      <w:tcPr>
                        <w:tcW w:w="1381" w:type="dxa"/>
                        <w:tcBorders>
                          <w:top w:val="nil" w:sz="6" w:space="0" w:color="auto"/>
                          <w:left w:val="nil" w:sz="6" w:space="0" w:color="auto"/>
                          <w:bottom w:val="nil" w:sz="6" w:space="0" w:color="auto"/>
                          <w:right w:val="nil" w:sz="6" w:space="0" w:color="auto"/>
                        </w:tcBorders>
                      </w:tcPr>
                      <w:p>
                        <w:pP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145"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137" w:lineRule="exact"/>
                          <w:ind w:left="122" w:right="0"/>
                          <w:jc w:val="left"/>
                          <w:rPr>
                            <w:rFonts w:ascii="宋体" w:hAnsi="宋体" w:cs="宋体" w:eastAsia="宋体" w:hint="default"/>
                            <w:sz w:val="13"/>
                            <w:szCs w:val="13"/>
                          </w:rPr>
                        </w:pPr>
                        <w:r>
                          <w:rPr>
                            <w:rFonts w:ascii="宋体" w:hAnsi="宋体" w:cs="宋体" w:eastAsia="宋体" w:hint="default"/>
                            <w:sz w:val="13"/>
                            <w:szCs w:val="13"/>
                          </w:rPr>
                          <w:t>沈阳东软波谱磁共振</w:t>
                        </w:r>
                      </w:p>
                    </w:tc>
                    <w:tc>
                      <w:tcPr>
                        <w:tcW w:w="51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Style w:val="TableParagraph"/>
                          <w:spacing w:line="137" w:lineRule="exact"/>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905"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nil" w:sz="6" w:space="0" w:color="auto"/>
                        </w:tcBorders>
                      </w:tcPr>
                      <w:p>
                        <w:pP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294"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22" w:right="0"/>
                          <w:jc w:val="left"/>
                          <w:rPr>
                            <w:rFonts w:ascii="宋体" w:hAnsi="宋体" w:cs="宋体" w:eastAsia="宋体" w:hint="default"/>
                            <w:sz w:val="13"/>
                            <w:szCs w:val="13"/>
                          </w:rPr>
                        </w:pPr>
                        <w:r>
                          <w:rPr>
                            <w:rFonts w:ascii="宋体" w:hAnsi="宋体" w:cs="宋体" w:eastAsia="宋体" w:hint="default"/>
                            <w:sz w:val="13"/>
                            <w:szCs w:val="13"/>
                          </w:rPr>
                          <w:t>技术有限公司（注</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4</w:t>
                        </w:r>
                        <w:r>
                          <w:rPr>
                            <w:rFonts w:ascii="宋体" w:hAnsi="宋体" w:cs="宋体" w:eastAsia="宋体" w:hint="default"/>
                            <w:sz w:val="13"/>
                            <w:szCs w:val="13"/>
                          </w:rPr>
                          <w:t>）</w:t>
                        </w:r>
                      </w:p>
                    </w:tc>
                    <w:tc>
                      <w:tcPr>
                        <w:tcW w:w="514" w:type="dxa"/>
                        <w:tcBorders>
                          <w:top w:val="nil" w:sz="6" w:space="0" w:color="auto"/>
                          <w:left w:val="nil" w:sz="6" w:space="0" w:color="auto"/>
                          <w:bottom w:val="nil" w:sz="6" w:space="0" w:color="auto"/>
                          <w:right w:val="nil" w:sz="6" w:space="0" w:color="auto"/>
                        </w:tcBorders>
                      </w:tcPr>
                      <w:p>
                        <w:pPr>
                          <w:pStyle w:val="TableParagraph"/>
                          <w:spacing w:line="137" w:lineRule="exact"/>
                          <w:ind w:right="35"/>
                          <w:jc w:val="center"/>
                          <w:rPr>
                            <w:rFonts w:ascii="宋体" w:hAnsi="宋体" w:cs="宋体" w:eastAsia="宋体" w:hint="default"/>
                            <w:sz w:val="13"/>
                            <w:szCs w:val="13"/>
                          </w:rPr>
                        </w:pPr>
                        <w:r>
                          <w:rPr>
                            <w:rFonts w:ascii="宋体" w:hAnsi="宋体" w:cs="宋体" w:eastAsia="宋体" w:hint="default"/>
                            <w:sz w:val="13"/>
                            <w:szCs w:val="13"/>
                          </w:rPr>
                          <w:t>控股</w:t>
                        </w:r>
                      </w:p>
                    </w:tc>
                    <w:tc>
                      <w:tcPr>
                        <w:tcW w:w="620" w:type="dxa"/>
                        <w:tcBorders>
                          <w:top w:val="nil" w:sz="6" w:space="0" w:color="auto"/>
                          <w:left w:val="nil" w:sz="6" w:space="0" w:color="auto"/>
                          <w:bottom w:val="nil" w:sz="6" w:space="0" w:color="auto"/>
                          <w:right w:val="nil" w:sz="6" w:space="0" w:color="auto"/>
                        </w:tcBorders>
                      </w:tcPr>
                      <w:p>
                        <w:pPr>
                          <w:pStyle w:val="TableParagraph"/>
                          <w:spacing w:line="137" w:lineRule="exact"/>
                          <w:ind w:right="67"/>
                          <w:jc w:val="center"/>
                          <w:rPr>
                            <w:rFonts w:ascii="宋体" w:hAnsi="宋体" w:cs="宋体" w:eastAsia="宋体" w:hint="default"/>
                            <w:sz w:val="13"/>
                            <w:szCs w:val="13"/>
                          </w:rPr>
                        </w:pPr>
                        <w:r>
                          <w:rPr>
                            <w:rFonts w:ascii="宋体" w:hAnsi="宋体" w:cs="宋体" w:eastAsia="宋体" w:hint="default"/>
                            <w:sz w:val="13"/>
                            <w:szCs w:val="13"/>
                          </w:rPr>
                          <w:t>沈阳</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Times New Roman" w:hAnsi="Times New Roman" w:cs="Times New Roman" w:eastAsia="Times New Roman" w:hint="default"/>
                            <w:sz w:val="13"/>
                            <w:szCs w:val="13"/>
                          </w:rPr>
                        </w:pPr>
                        <w:r>
                          <w:rPr>
                            <w:rFonts w:ascii="Times New Roman"/>
                            <w:w w:val="95"/>
                            <w:sz w:val="13"/>
                          </w:rPr>
                          <w:t>10,000,000</w:t>
                        </w:r>
                        <w:r>
                          <w:rPr>
                            <w:rFonts w:ascii="Times New Roman"/>
                            <w:sz w:val="13"/>
                          </w:rPr>
                        </w:r>
                      </w:p>
                    </w:tc>
                    <w:tc>
                      <w:tcPr>
                        <w:tcW w:w="1469" w:type="dxa"/>
                        <w:tcBorders>
                          <w:top w:val="nil" w:sz="6" w:space="0" w:color="auto"/>
                          <w:left w:val="nil" w:sz="6" w:space="0" w:color="auto"/>
                          <w:bottom w:val="nil" w:sz="6" w:space="0" w:color="auto"/>
                          <w:right w:val="nil" w:sz="6" w:space="0" w:color="auto"/>
                        </w:tcBorders>
                      </w:tcPr>
                      <w:p>
                        <w:pPr>
                          <w:pStyle w:val="TableParagraph"/>
                          <w:spacing w:line="138" w:lineRule="exact"/>
                          <w:ind w:left="108" w:right="0"/>
                          <w:jc w:val="left"/>
                          <w:rPr>
                            <w:rFonts w:ascii="宋体" w:hAnsi="宋体" w:cs="宋体" w:eastAsia="宋体" w:hint="default"/>
                            <w:sz w:val="13"/>
                            <w:szCs w:val="13"/>
                          </w:rPr>
                        </w:pPr>
                        <w:r>
                          <w:rPr>
                            <w:rFonts w:ascii="宋体" w:hAnsi="宋体" w:cs="宋体" w:eastAsia="宋体" w:hint="default"/>
                            <w:sz w:val="13"/>
                            <w:szCs w:val="13"/>
                          </w:rPr>
                          <w:t>造，磁共振技术开发、</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653"/>
                          <w:jc w:val="right"/>
                          <w:rPr>
                            <w:rFonts w:ascii="Times New Roman" w:hAnsi="Times New Roman" w:cs="Times New Roman" w:eastAsia="Times New Roman" w:hint="default"/>
                            <w:sz w:val="13"/>
                            <w:szCs w:val="13"/>
                          </w:rPr>
                        </w:pPr>
                        <w:r>
                          <w:rPr>
                            <w:rFonts w:ascii="Times New Roman"/>
                            <w:w w:val="95"/>
                            <w:sz w:val="13"/>
                          </w:rPr>
                          <w:t>8,000,000</w:t>
                        </w:r>
                        <w:r>
                          <w:rPr>
                            <w:rFonts w:ascii="Times New Roman"/>
                            <w:sz w:val="13"/>
                          </w:rPr>
                        </w: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
                          <w:jc w:val="center"/>
                          <w:rPr>
                            <w:rFonts w:ascii="Times New Roman" w:hAnsi="Times New Roman" w:cs="Times New Roman" w:eastAsia="Times New Roman" w:hint="default"/>
                            <w:sz w:val="13"/>
                            <w:szCs w:val="13"/>
                          </w:rPr>
                        </w:pPr>
                        <w:r>
                          <w:rPr>
                            <w:rFonts w:ascii="Times New Roman"/>
                            <w:sz w:val="13"/>
                          </w:rPr>
                          <w:t>80</w:t>
                        </w:r>
                      </w:p>
                    </w:tc>
                    <w:tc>
                      <w:tcPr>
                        <w:tcW w:w="578" w:type="dxa"/>
                        <w:tcBorders>
                          <w:top w:val="nil" w:sz="6" w:space="0" w:color="auto"/>
                          <w:left w:val="nil" w:sz="6" w:space="0" w:color="auto"/>
                          <w:bottom w:val="nil" w:sz="6" w:space="0" w:color="auto"/>
                          <w:right w:val="nil" w:sz="6" w:space="0" w:color="auto"/>
                        </w:tcBorders>
                      </w:tcPr>
                      <w:p>
                        <w:pPr>
                          <w:pStyle w:val="TableParagraph"/>
                          <w:spacing w:line="137" w:lineRule="exact"/>
                          <w:ind w:right="32"/>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5"/>
                          <w:ind w:left="241" w:right="0"/>
                          <w:jc w:val="left"/>
                          <w:rPr>
                            <w:rFonts w:ascii="Times New Roman" w:hAnsi="Times New Roman" w:cs="Times New Roman" w:eastAsia="Times New Roman" w:hint="default"/>
                            <w:sz w:val="13"/>
                            <w:szCs w:val="13"/>
                          </w:rPr>
                        </w:pPr>
                        <w:r>
                          <w:rPr>
                            <w:rFonts w:ascii="Times New Roman"/>
                            <w:sz w:val="13"/>
                          </w:rPr>
                          <w:t>20</w:t>
                        </w:r>
                      </w:p>
                    </w:tc>
                    <w:tc>
                      <w:tcPr>
                        <w:tcW w:w="3095" w:type="dxa"/>
                        <w:vMerge/>
                        <w:tcBorders>
                          <w:left w:val="nil" w:sz="6" w:space="0" w:color="auto"/>
                          <w:right w:val="nil" w:sz="6" w:space="0" w:color="auto"/>
                        </w:tcBorders>
                      </w:tcPr>
                      <w:p>
                        <w:pPr/>
                      </w:p>
                    </w:tc>
                  </w:tr>
                  <w:tr>
                    <w:trPr>
                      <w:trHeight w:val="218" w:hRule="exact"/>
                    </w:trPr>
                    <w:tc>
                      <w:tcPr>
                        <w:tcW w:w="1509" w:type="dxa"/>
                        <w:tcBorders>
                          <w:top w:val="nil" w:sz="6" w:space="0" w:color="auto"/>
                          <w:left w:val="nil" w:sz="6" w:space="0" w:color="auto"/>
                          <w:bottom w:val="nil" w:sz="6" w:space="0" w:color="auto"/>
                          <w:right w:val="nil" w:sz="6" w:space="0" w:color="auto"/>
                        </w:tcBorders>
                      </w:tcPr>
                      <w:p>
                        <w:pPr/>
                      </w:p>
                    </w:tc>
                    <w:tc>
                      <w:tcPr>
                        <w:tcW w:w="51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
                    </w:tc>
                    <w:tc>
                      <w:tcPr>
                        <w:tcW w:w="905"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133" w:lineRule="exact"/>
                          <w:ind w:left="108" w:right="0"/>
                          <w:jc w:val="left"/>
                          <w:rPr>
                            <w:rFonts w:ascii="宋体" w:hAnsi="宋体" w:cs="宋体" w:eastAsia="宋体" w:hint="default"/>
                            <w:sz w:val="13"/>
                            <w:szCs w:val="13"/>
                          </w:rPr>
                        </w:pPr>
                        <w:r>
                          <w:rPr>
                            <w:rFonts w:ascii="宋体" w:hAnsi="宋体" w:cs="宋体" w:eastAsia="宋体" w:hint="default"/>
                            <w:sz w:val="13"/>
                            <w:szCs w:val="13"/>
                          </w:rPr>
                          <w:t>咨询</w:t>
                        </w:r>
                      </w:p>
                    </w:tc>
                    <w:tc>
                      <w:tcPr>
                        <w:tcW w:w="1381" w:type="dxa"/>
                        <w:tcBorders>
                          <w:top w:val="nil" w:sz="6" w:space="0" w:color="auto"/>
                          <w:left w:val="nil" w:sz="6" w:space="0" w:color="auto"/>
                          <w:bottom w:val="nil" w:sz="6" w:space="0" w:color="auto"/>
                          <w:right w:val="nil" w:sz="6" w:space="0" w:color="auto"/>
                        </w:tcBorders>
                      </w:tcPr>
                      <w:p>
                        <w:pP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223" w:hRule="exact"/>
                    </w:trPr>
                    <w:tc>
                      <w:tcPr>
                        <w:tcW w:w="1509" w:type="dxa"/>
                        <w:tcBorders>
                          <w:top w:val="nil" w:sz="6" w:space="0" w:color="auto"/>
                          <w:left w:val="nil" w:sz="6" w:space="0" w:color="auto"/>
                          <w:bottom w:val="nil" w:sz="6" w:space="0" w:color="auto"/>
                          <w:right w:val="nil" w:sz="6" w:space="0" w:color="auto"/>
                        </w:tcBorders>
                      </w:tcPr>
                      <w:p>
                        <w:pPr/>
                      </w:p>
                    </w:tc>
                    <w:tc>
                      <w:tcPr>
                        <w:tcW w:w="51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
                    </w:tc>
                    <w:tc>
                      <w:tcPr>
                        <w:tcW w:w="905"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3"/>
                            <w:szCs w:val="13"/>
                          </w:rPr>
                        </w:pPr>
                        <w:r>
                          <w:rPr>
                            <w:rFonts w:ascii="宋体" w:hAnsi="宋体" w:cs="宋体" w:eastAsia="宋体" w:hint="default"/>
                            <w:sz w:val="13"/>
                            <w:szCs w:val="13"/>
                          </w:rPr>
                          <w:t>开发、生产正电子发</w:t>
                        </w:r>
                      </w:p>
                    </w:tc>
                    <w:tc>
                      <w:tcPr>
                        <w:tcW w:w="1381" w:type="dxa"/>
                        <w:tcBorders>
                          <w:top w:val="nil" w:sz="6" w:space="0" w:color="auto"/>
                          <w:left w:val="nil" w:sz="6" w:space="0" w:color="auto"/>
                          <w:bottom w:val="nil" w:sz="6" w:space="0" w:color="auto"/>
                          <w:right w:val="nil" w:sz="6" w:space="0" w:color="auto"/>
                        </w:tcBorders>
                      </w:tcPr>
                      <w:p>
                        <w:pP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right w:val="nil" w:sz="6" w:space="0" w:color="auto"/>
                        </w:tcBorders>
                      </w:tcPr>
                      <w:p>
                        <w:pPr/>
                      </w:p>
                    </w:tc>
                  </w:tr>
                  <w:tr>
                    <w:trPr>
                      <w:trHeight w:val="145"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137" w:lineRule="exact"/>
                          <w:ind w:left="122" w:right="0"/>
                          <w:jc w:val="left"/>
                          <w:rPr>
                            <w:rFonts w:ascii="宋体" w:hAnsi="宋体" w:cs="宋体" w:eastAsia="宋体" w:hint="default"/>
                            <w:sz w:val="13"/>
                            <w:szCs w:val="13"/>
                          </w:rPr>
                        </w:pPr>
                        <w:r>
                          <w:rPr>
                            <w:rFonts w:ascii="宋体" w:hAnsi="宋体" w:cs="宋体" w:eastAsia="宋体" w:hint="default"/>
                            <w:sz w:val="13"/>
                            <w:szCs w:val="13"/>
                          </w:rPr>
                          <w:t>沈阳东软派斯通医疗</w:t>
                        </w:r>
                      </w:p>
                    </w:tc>
                    <w:tc>
                      <w:tcPr>
                        <w:tcW w:w="51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Style w:val="TableParagraph"/>
                          <w:spacing w:line="137" w:lineRule="exact"/>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905" w:type="dxa"/>
                        <w:tcBorders>
                          <w:top w:val="nil" w:sz="6" w:space="0" w:color="auto"/>
                          <w:left w:val="nil" w:sz="6" w:space="0" w:color="auto"/>
                          <w:bottom w:val="nil" w:sz="6" w:space="0" w:color="auto"/>
                          <w:right w:val="nil" w:sz="6" w:space="0" w:color="auto"/>
                        </w:tcBorders>
                      </w:tcPr>
                      <w:p>
                        <w:pPr>
                          <w:pStyle w:val="TableParagraph"/>
                          <w:spacing w:line="137" w:lineRule="exact"/>
                          <w:ind w:right="106"/>
                          <w:jc w:val="right"/>
                          <w:rPr>
                            <w:rFonts w:ascii="宋体" w:hAnsi="宋体" w:cs="宋体" w:eastAsia="宋体" w:hint="default"/>
                            <w:sz w:val="13"/>
                            <w:szCs w:val="13"/>
                          </w:rPr>
                        </w:pPr>
                        <w:r>
                          <w:rPr>
                            <w:rFonts w:ascii="宋体" w:hAnsi="宋体" w:cs="宋体" w:eastAsia="宋体" w:hint="default"/>
                            <w:w w:val="95"/>
                            <w:sz w:val="13"/>
                            <w:szCs w:val="13"/>
                          </w:rPr>
                          <w:t>美元</w:t>
                        </w:r>
                        <w:r>
                          <w:rPr>
                            <w:rFonts w:ascii="宋体" w:hAnsi="宋体" w:cs="宋体" w:eastAsia="宋体" w:hint="default"/>
                            <w:sz w:val="13"/>
                            <w:szCs w:val="13"/>
                          </w:rPr>
                        </w:r>
                      </w:p>
                    </w:tc>
                    <w:tc>
                      <w:tcPr>
                        <w:tcW w:w="1469" w:type="dxa"/>
                        <w:tcBorders>
                          <w:top w:val="nil" w:sz="6" w:space="0" w:color="auto"/>
                          <w:left w:val="nil" w:sz="6" w:space="0" w:color="auto"/>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nil" w:sz="6" w:space="0" w:color="auto"/>
                        </w:tcBorders>
                      </w:tcPr>
                      <w:p>
                        <w:pP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3095" w:type="dxa"/>
                        <w:vMerge/>
                        <w:tcBorders>
                          <w:left w:val="nil" w:sz="6" w:space="0" w:color="auto"/>
                          <w:bottom w:val="nil" w:sz="6" w:space="0" w:color="auto"/>
                          <w:right w:val="nil" w:sz="6" w:space="0" w:color="auto"/>
                        </w:tcBorders>
                      </w:tcPr>
                      <w:p>
                        <w:pPr/>
                      </w:p>
                    </w:tc>
                  </w:tr>
                  <w:tr>
                    <w:trPr>
                      <w:trHeight w:val="519"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22" w:right="0"/>
                          <w:jc w:val="left"/>
                          <w:rPr>
                            <w:rFonts w:ascii="宋体" w:hAnsi="宋体" w:cs="宋体" w:eastAsia="宋体" w:hint="default"/>
                            <w:sz w:val="13"/>
                            <w:szCs w:val="13"/>
                          </w:rPr>
                        </w:pPr>
                        <w:r>
                          <w:rPr>
                            <w:rFonts w:ascii="宋体" w:hAnsi="宋体" w:cs="宋体" w:eastAsia="宋体" w:hint="default"/>
                            <w:sz w:val="13"/>
                            <w:szCs w:val="13"/>
                          </w:rPr>
                          <w:t>系统有限公司（注</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5</w:t>
                        </w:r>
                        <w:r>
                          <w:rPr>
                            <w:rFonts w:ascii="宋体" w:hAnsi="宋体" w:cs="宋体" w:eastAsia="宋体" w:hint="default"/>
                            <w:sz w:val="13"/>
                            <w:szCs w:val="13"/>
                          </w:rPr>
                          <w:t>）</w:t>
                        </w:r>
                      </w:p>
                    </w:tc>
                    <w:tc>
                      <w:tcPr>
                        <w:tcW w:w="514" w:type="dxa"/>
                        <w:tcBorders>
                          <w:top w:val="nil" w:sz="6" w:space="0" w:color="auto"/>
                          <w:left w:val="nil" w:sz="6" w:space="0" w:color="auto"/>
                          <w:bottom w:val="nil" w:sz="6" w:space="0" w:color="auto"/>
                          <w:right w:val="nil" w:sz="6" w:space="0" w:color="auto"/>
                        </w:tcBorders>
                      </w:tcPr>
                      <w:p>
                        <w:pPr>
                          <w:pStyle w:val="TableParagraph"/>
                          <w:spacing w:line="137" w:lineRule="exact"/>
                          <w:ind w:right="35"/>
                          <w:jc w:val="center"/>
                          <w:rPr>
                            <w:rFonts w:ascii="宋体" w:hAnsi="宋体" w:cs="宋体" w:eastAsia="宋体" w:hint="default"/>
                            <w:sz w:val="13"/>
                            <w:szCs w:val="13"/>
                          </w:rPr>
                        </w:pPr>
                        <w:r>
                          <w:rPr>
                            <w:rFonts w:ascii="宋体" w:hAnsi="宋体" w:cs="宋体" w:eastAsia="宋体" w:hint="default"/>
                            <w:sz w:val="13"/>
                            <w:szCs w:val="13"/>
                          </w:rPr>
                          <w:t>控股</w:t>
                        </w:r>
                      </w:p>
                    </w:tc>
                    <w:tc>
                      <w:tcPr>
                        <w:tcW w:w="620" w:type="dxa"/>
                        <w:tcBorders>
                          <w:top w:val="nil" w:sz="6" w:space="0" w:color="auto"/>
                          <w:left w:val="nil" w:sz="6" w:space="0" w:color="auto"/>
                          <w:bottom w:val="nil" w:sz="6" w:space="0" w:color="auto"/>
                          <w:right w:val="nil" w:sz="6" w:space="0" w:color="auto"/>
                        </w:tcBorders>
                      </w:tcPr>
                      <w:p>
                        <w:pPr>
                          <w:pStyle w:val="TableParagraph"/>
                          <w:spacing w:line="137" w:lineRule="exact"/>
                          <w:ind w:right="67"/>
                          <w:jc w:val="center"/>
                          <w:rPr>
                            <w:rFonts w:ascii="宋体" w:hAnsi="宋体" w:cs="宋体" w:eastAsia="宋体" w:hint="default"/>
                            <w:sz w:val="13"/>
                            <w:szCs w:val="13"/>
                          </w:rPr>
                        </w:pPr>
                        <w:r>
                          <w:rPr>
                            <w:rFonts w:ascii="宋体" w:hAnsi="宋体" w:cs="宋体" w:eastAsia="宋体" w:hint="default"/>
                            <w:sz w:val="13"/>
                            <w:szCs w:val="13"/>
                          </w:rPr>
                          <w:t>沈阳</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5"/>
                            <w:sz w:val="13"/>
                          </w:rPr>
                          <w:t>3,500,000</w:t>
                        </w:r>
                        <w:r>
                          <w:rPr>
                            <w:rFonts w:ascii="Times New Roman"/>
                            <w:sz w:val="13"/>
                          </w:rPr>
                        </w:r>
                      </w:p>
                    </w:tc>
                    <w:tc>
                      <w:tcPr>
                        <w:tcW w:w="1469" w:type="dxa"/>
                        <w:tcBorders>
                          <w:top w:val="nil" w:sz="6" w:space="0" w:color="auto"/>
                          <w:left w:val="nil" w:sz="6" w:space="0" w:color="auto"/>
                          <w:bottom w:val="nil" w:sz="6" w:space="0" w:color="auto"/>
                          <w:right w:val="nil" w:sz="6" w:space="0" w:color="auto"/>
                        </w:tcBorders>
                      </w:tcPr>
                      <w:p>
                        <w:pPr>
                          <w:pStyle w:val="TableParagraph"/>
                          <w:spacing w:line="138" w:lineRule="exact"/>
                          <w:ind w:left="108" w:right="0"/>
                          <w:jc w:val="left"/>
                          <w:rPr>
                            <w:rFonts w:ascii="宋体" w:hAnsi="宋体" w:cs="宋体" w:eastAsia="宋体" w:hint="default"/>
                            <w:sz w:val="13"/>
                            <w:szCs w:val="13"/>
                          </w:rPr>
                        </w:pPr>
                        <w:r>
                          <w:rPr>
                            <w:rFonts w:ascii="宋体" w:hAnsi="宋体" w:cs="宋体" w:eastAsia="宋体" w:hint="default"/>
                            <w:sz w:val="13"/>
                            <w:szCs w:val="13"/>
                          </w:rPr>
                          <w:t>射计算机断层显像系</w:t>
                        </w:r>
                      </w:p>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left="108" w:right="0"/>
                          <w:jc w:val="left"/>
                          <w:rPr>
                            <w:rFonts w:ascii="宋体" w:hAnsi="宋体" w:cs="宋体" w:eastAsia="宋体" w:hint="default"/>
                            <w:sz w:val="13"/>
                            <w:szCs w:val="13"/>
                          </w:rPr>
                        </w:pPr>
                        <w:r>
                          <w:rPr>
                            <w:rFonts w:ascii="宋体" w:hAnsi="宋体" w:cs="宋体" w:eastAsia="宋体" w:hint="default"/>
                            <w:sz w:val="13"/>
                            <w:szCs w:val="13"/>
                          </w:rPr>
                          <w:t>统，相关技术咨询等</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653"/>
                          <w:jc w:val="right"/>
                          <w:rPr>
                            <w:rFonts w:ascii="Times New Roman" w:hAnsi="Times New Roman" w:cs="Times New Roman" w:eastAsia="Times New Roman" w:hint="default"/>
                            <w:sz w:val="13"/>
                            <w:szCs w:val="13"/>
                          </w:rPr>
                        </w:pPr>
                        <w:r>
                          <w:rPr>
                            <w:rFonts w:ascii="Times New Roman"/>
                            <w:w w:val="95"/>
                            <w:sz w:val="13"/>
                          </w:rPr>
                          <w:t>21,150,450</w:t>
                        </w:r>
                        <w:r>
                          <w:rPr>
                            <w:rFonts w:ascii="Times New Roman"/>
                            <w:sz w:val="13"/>
                          </w:rPr>
                        </w: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
                          <w:jc w:val="center"/>
                          <w:rPr>
                            <w:rFonts w:ascii="Times New Roman" w:hAnsi="Times New Roman" w:cs="Times New Roman" w:eastAsia="Times New Roman" w:hint="default"/>
                            <w:sz w:val="13"/>
                            <w:szCs w:val="13"/>
                          </w:rPr>
                        </w:pPr>
                        <w:r>
                          <w:rPr>
                            <w:rFonts w:ascii="Times New Roman"/>
                            <w:sz w:val="13"/>
                          </w:rPr>
                          <w:t>99</w:t>
                        </w:r>
                      </w:p>
                    </w:tc>
                    <w:tc>
                      <w:tcPr>
                        <w:tcW w:w="578" w:type="dxa"/>
                        <w:tcBorders>
                          <w:top w:val="nil" w:sz="6" w:space="0" w:color="auto"/>
                          <w:left w:val="nil" w:sz="6" w:space="0" w:color="auto"/>
                          <w:bottom w:val="nil" w:sz="6" w:space="0" w:color="auto"/>
                          <w:right w:val="nil" w:sz="6" w:space="0" w:color="auto"/>
                        </w:tcBorders>
                      </w:tcPr>
                      <w:p>
                        <w:pPr>
                          <w:pStyle w:val="TableParagraph"/>
                          <w:spacing w:line="137" w:lineRule="exact"/>
                          <w:ind w:right="32"/>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5"/>
                          <w:ind w:left="274" w:right="0"/>
                          <w:jc w:val="left"/>
                          <w:rPr>
                            <w:rFonts w:ascii="Times New Roman" w:hAnsi="Times New Roman" w:cs="Times New Roman" w:eastAsia="Times New Roman" w:hint="default"/>
                            <w:sz w:val="13"/>
                            <w:szCs w:val="13"/>
                          </w:rPr>
                        </w:pPr>
                        <w:r>
                          <w:rPr>
                            <w:rFonts w:ascii="Times New Roman"/>
                            <w:w w:val="99"/>
                            <w:sz w:val="13"/>
                          </w:rPr>
                          <w:t>1</w:t>
                        </w:r>
                        <w:r>
                          <w:rPr>
                            <w:rFonts w:ascii="Times New Roman"/>
                            <w:sz w:val="13"/>
                          </w:rPr>
                        </w:r>
                      </w:p>
                    </w:tc>
                    <w:tc>
                      <w:tcPr>
                        <w:tcW w:w="3095" w:type="dxa"/>
                        <w:tcBorders>
                          <w:top w:val="nil" w:sz="6" w:space="0" w:color="auto"/>
                          <w:left w:val="nil" w:sz="6" w:space="0" w:color="auto"/>
                          <w:bottom w:val="nil" w:sz="6" w:space="0" w:color="auto"/>
                          <w:right w:val="nil" w:sz="6" w:space="0" w:color="auto"/>
                        </w:tcBorders>
                      </w:tcPr>
                      <w:p>
                        <w:pPr>
                          <w:pStyle w:val="TableParagraph"/>
                          <w:tabs>
                            <w:tab w:pos="2630" w:val="left" w:leader="none"/>
                          </w:tabs>
                          <w:spacing w:line="240" w:lineRule="auto" w:before="5"/>
                          <w:ind w:left="462" w:right="0"/>
                          <w:jc w:val="left"/>
                          <w:rPr>
                            <w:rFonts w:ascii="Times New Roman" w:hAnsi="Times New Roman" w:cs="Times New Roman" w:eastAsia="Times New Roman" w:hint="default"/>
                            <w:sz w:val="13"/>
                            <w:szCs w:val="13"/>
                          </w:rPr>
                        </w:pPr>
                        <w:r>
                          <w:rPr>
                            <w:rFonts w:ascii="Times New Roman"/>
                            <w:w w:val="95"/>
                            <w:sz w:val="13"/>
                          </w:rPr>
                          <w:t>250,367</w:t>
                          <w:tab/>
                        </w:r>
                        <w:r>
                          <w:rPr>
                            <w:rFonts w:ascii="Times New Roman"/>
                            <w:sz w:val="13"/>
                          </w:rPr>
                          <w:t>26,458</w:t>
                        </w:r>
                      </w:p>
                    </w:tc>
                  </w:tr>
                  <w:tr>
                    <w:trPr>
                      <w:trHeight w:val="23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3"/>
                            <w:szCs w:val="13"/>
                          </w:rPr>
                        </w:pPr>
                        <w:r>
                          <w:rPr>
                            <w:rFonts w:ascii="宋体" w:hAnsi="宋体" w:cs="宋体" w:eastAsia="宋体" w:hint="default"/>
                            <w:sz w:val="13"/>
                            <w:szCs w:val="13"/>
                          </w:rPr>
                          <w:t>深圳市东软移动终端</w:t>
                        </w:r>
                      </w:p>
                    </w:tc>
                    <w:tc>
                      <w:tcPr>
                        <w:tcW w:w="51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15"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905"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3"/>
                            <w:szCs w:val="13"/>
                          </w:rPr>
                        </w:pPr>
                        <w:r>
                          <w:rPr>
                            <w:rFonts w:ascii="宋体" w:hAnsi="宋体" w:cs="宋体" w:eastAsia="宋体" w:hint="default"/>
                            <w:sz w:val="13"/>
                            <w:szCs w:val="13"/>
                          </w:rPr>
                          <w:t>电子产品技术开发销</w:t>
                        </w:r>
                      </w:p>
                    </w:tc>
                    <w:tc>
                      <w:tcPr>
                        <w:tcW w:w="1381" w:type="dxa"/>
                        <w:tcBorders>
                          <w:top w:val="nil" w:sz="6" w:space="0" w:color="auto"/>
                          <w:left w:val="nil" w:sz="6" w:space="0" w:color="auto"/>
                          <w:bottom w:val="nil" w:sz="6" w:space="0" w:color="auto"/>
                          <w:right w:val="nil" w:sz="6" w:space="0" w:color="auto"/>
                        </w:tcBorders>
                      </w:tcPr>
                      <w:p>
                        <w:pPr/>
                      </w:p>
                    </w:tc>
                    <w:tc>
                      <w:tcPr>
                        <w:tcW w:w="1045"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3095" w:type="dxa"/>
                        <w:tcBorders>
                          <w:top w:val="nil" w:sz="6" w:space="0" w:color="auto"/>
                          <w:left w:val="nil" w:sz="6" w:space="0" w:color="auto"/>
                          <w:bottom w:val="nil" w:sz="6" w:space="0" w:color="auto"/>
                          <w:right w:val="nil" w:sz="6" w:space="0" w:color="auto"/>
                        </w:tcBorders>
                      </w:tcPr>
                      <w:p>
                        <w:pPr/>
                      </w:p>
                    </w:tc>
                  </w:tr>
                  <w:tr>
                    <w:trPr>
                      <w:trHeight w:val="322" w:hRule="exact"/>
                    </w:trPr>
                    <w:tc>
                      <w:tcPr>
                        <w:tcW w:w="1509" w:type="dxa"/>
                        <w:tcBorders>
                          <w:top w:val="nil" w:sz="6" w:space="0" w:color="auto"/>
                          <w:left w:val="nil" w:sz="6" w:space="0" w:color="auto"/>
                          <w:bottom w:val="single" w:sz="8" w:space="0" w:color="000000"/>
                          <w:right w:val="nil" w:sz="6" w:space="0" w:color="auto"/>
                        </w:tcBorders>
                      </w:tcPr>
                      <w:p>
                        <w:pPr>
                          <w:pStyle w:val="TableParagraph"/>
                          <w:spacing w:line="240" w:lineRule="auto" w:before="119"/>
                          <w:ind w:left="122" w:right="0"/>
                          <w:jc w:val="left"/>
                          <w:rPr>
                            <w:rFonts w:ascii="宋体" w:hAnsi="宋体" w:cs="宋体" w:eastAsia="宋体" w:hint="default"/>
                            <w:sz w:val="13"/>
                            <w:szCs w:val="13"/>
                          </w:rPr>
                        </w:pPr>
                        <w:r>
                          <w:rPr>
                            <w:rFonts w:ascii="宋体" w:hAnsi="宋体" w:cs="宋体" w:eastAsia="宋体" w:hint="default"/>
                            <w:sz w:val="13"/>
                            <w:szCs w:val="13"/>
                          </w:rPr>
                          <w:t>设计有限公司（注</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6</w:t>
                        </w:r>
                        <w:r>
                          <w:rPr>
                            <w:rFonts w:ascii="宋体" w:hAnsi="宋体" w:cs="宋体" w:eastAsia="宋体" w:hint="default"/>
                            <w:sz w:val="13"/>
                            <w:szCs w:val="13"/>
                          </w:rPr>
                          <w:t>）</w:t>
                        </w:r>
                      </w:p>
                    </w:tc>
                    <w:tc>
                      <w:tcPr>
                        <w:tcW w:w="514" w:type="dxa"/>
                        <w:tcBorders>
                          <w:top w:val="nil" w:sz="6" w:space="0" w:color="auto"/>
                          <w:left w:val="nil" w:sz="6" w:space="0" w:color="auto"/>
                          <w:bottom w:val="single" w:sz="8" w:space="0" w:color="000000"/>
                          <w:right w:val="nil" w:sz="6" w:space="0" w:color="auto"/>
                        </w:tcBorders>
                      </w:tcPr>
                      <w:p>
                        <w:pPr>
                          <w:pStyle w:val="TableParagraph"/>
                          <w:spacing w:line="140" w:lineRule="exact"/>
                          <w:ind w:right="35"/>
                          <w:jc w:val="center"/>
                          <w:rPr>
                            <w:rFonts w:ascii="宋体" w:hAnsi="宋体" w:cs="宋体" w:eastAsia="宋体" w:hint="default"/>
                            <w:sz w:val="13"/>
                            <w:szCs w:val="13"/>
                          </w:rPr>
                        </w:pPr>
                        <w:r>
                          <w:rPr>
                            <w:rFonts w:ascii="宋体" w:hAnsi="宋体" w:cs="宋体" w:eastAsia="宋体" w:hint="default"/>
                            <w:sz w:val="13"/>
                            <w:szCs w:val="13"/>
                          </w:rPr>
                          <w:t>控股</w:t>
                        </w:r>
                      </w:p>
                    </w:tc>
                    <w:tc>
                      <w:tcPr>
                        <w:tcW w:w="620" w:type="dxa"/>
                        <w:tcBorders>
                          <w:top w:val="nil" w:sz="6" w:space="0" w:color="auto"/>
                          <w:left w:val="nil" w:sz="6" w:space="0" w:color="auto"/>
                          <w:bottom w:val="single" w:sz="8" w:space="0" w:color="000000"/>
                          <w:right w:val="nil" w:sz="6" w:space="0" w:color="auto"/>
                        </w:tcBorders>
                      </w:tcPr>
                      <w:p>
                        <w:pPr>
                          <w:pStyle w:val="TableParagraph"/>
                          <w:spacing w:line="140" w:lineRule="exact"/>
                          <w:ind w:right="67"/>
                          <w:jc w:val="center"/>
                          <w:rPr>
                            <w:rFonts w:ascii="宋体" w:hAnsi="宋体" w:cs="宋体" w:eastAsia="宋体" w:hint="default"/>
                            <w:sz w:val="13"/>
                            <w:szCs w:val="13"/>
                          </w:rPr>
                        </w:pPr>
                        <w:r>
                          <w:rPr>
                            <w:rFonts w:ascii="宋体" w:hAnsi="宋体" w:cs="宋体" w:eastAsia="宋体" w:hint="default"/>
                            <w:sz w:val="13"/>
                            <w:szCs w:val="13"/>
                          </w:rPr>
                          <w:t>深圳</w:t>
                        </w:r>
                      </w:p>
                    </w:tc>
                    <w:tc>
                      <w:tcPr>
                        <w:tcW w:w="881" w:type="dxa"/>
                        <w:tcBorders>
                          <w:top w:val="nil" w:sz="6" w:space="0" w:color="auto"/>
                          <w:left w:val="nil" w:sz="6" w:space="0" w:color="auto"/>
                          <w:bottom w:val="single" w:sz="8" w:space="0" w:color="000000"/>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21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905" w:type="dxa"/>
                        <w:tcBorders>
                          <w:top w:val="nil" w:sz="6" w:space="0" w:color="auto"/>
                          <w:left w:val="nil" w:sz="6" w:space="0" w:color="auto"/>
                          <w:bottom w:val="single" w:sz="8" w:space="0" w:color="000000"/>
                          <w:right w:val="nil" w:sz="6" w:space="0" w:color="auto"/>
                        </w:tcBorders>
                      </w:tcPr>
                      <w:p>
                        <w:pPr>
                          <w:pStyle w:val="TableParagraph"/>
                          <w:spacing w:line="240" w:lineRule="auto" w:before="8"/>
                          <w:ind w:right="106"/>
                          <w:jc w:val="right"/>
                          <w:rPr>
                            <w:rFonts w:ascii="Times New Roman" w:hAnsi="Times New Roman" w:cs="Times New Roman" w:eastAsia="Times New Roman" w:hint="default"/>
                            <w:sz w:val="13"/>
                            <w:szCs w:val="13"/>
                          </w:rPr>
                        </w:pPr>
                        <w:r>
                          <w:rPr>
                            <w:rFonts w:ascii="Times New Roman"/>
                            <w:w w:val="95"/>
                            <w:sz w:val="13"/>
                          </w:rPr>
                          <w:t>5,000,000</w:t>
                        </w:r>
                        <w:r>
                          <w:rPr>
                            <w:rFonts w:ascii="Times New Roman"/>
                            <w:sz w:val="13"/>
                          </w:rPr>
                        </w:r>
                      </w:p>
                    </w:tc>
                    <w:tc>
                      <w:tcPr>
                        <w:tcW w:w="1469" w:type="dxa"/>
                        <w:tcBorders>
                          <w:top w:val="nil" w:sz="6" w:space="0" w:color="auto"/>
                          <w:left w:val="nil" w:sz="6" w:space="0" w:color="auto"/>
                          <w:bottom w:val="single" w:sz="8" w:space="0" w:color="000000"/>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08" w:right="0"/>
                          <w:jc w:val="left"/>
                          <w:rPr>
                            <w:rFonts w:ascii="宋体" w:hAnsi="宋体" w:cs="宋体" w:eastAsia="宋体" w:hint="default"/>
                            <w:sz w:val="13"/>
                            <w:szCs w:val="13"/>
                          </w:rPr>
                        </w:pPr>
                        <w:r>
                          <w:rPr>
                            <w:rFonts w:ascii="宋体" w:hAnsi="宋体" w:cs="宋体" w:eastAsia="宋体" w:hint="default"/>
                            <w:sz w:val="13"/>
                            <w:szCs w:val="13"/>
                          </w:rPr>
                          <w:t>售、技术咨询</w:t>
                        </w:r>
                      </w:p>
                    </w:tc>
                    <w:tc>
                      <w:tcPr>
                        <w:tcW w:w="1381" w:type="dxa"/>
                        <w:tcBorders>
                          <w:top w:val="nil" w:sz="6" w:space="0" w:color="auto"/>
                          <w:left w:val="nil" w:sz="6" w:space="0" w:color="auto"/>
                          <w:bottom w:val="single" w:sz="8" w:space="0" w:color="000000"/>
                          <w:right w:val="nil" w:sz="6" w:space="0" w:color="auto"/>
                        </w:tcBorders>
                      </w:tcPr>
                      <w:p>
                        <w:pPr>
                          <w:pStyle w:val="TableParagraph"/>
                          <w:spacing w:line="240" w:lineRule="auto" w:before="8"/>
                          <w:ind w:right="653"/>
                          <w:jc w:val="right"/>
                          <w:rPr>
                            <w:rFonts w:ascii="Times New Roman" w:hAnsi="Times New Roman" w:cs="Times New Roman" w:eastAsia="Times New Roman" w:hint="default"/>
                            <w:sz w:val="13"/>
                            <w:szCs w:val="13"/>
                          </w:rPr>
                        </w:pPr>
                        <w:r>
                          <w:rPr>
                            <w:rFonts w:ascii="Times New Roman"/>
                            <w:w w:val="95"/>
                            <w:sz w:val="13"/>
                          </w:rPr>
                          <w:t>3,500,000</w:t>
                        </w:r>
                        <w:r>
                          <w:rPr>
                            <w:rFonts w:ascii="Times New Roman"/>
                            <w:sz w:val="13"/>
                          </w:rPr>
                        </w:r>
                      </w:p>
                    </w:tc>
                    <w:tc>
                      <w:tcPr>
                        <w:tcW w:w="1045" w:type="dxa"/>
                        <w:tcBorders>
                          <w:top w:val="nil" w:sz="6" w:space="0" w:color="auto"/>
                          <w:left w:val="nil" w:sz="6" w:space="0" w:color="auto"/>
                          <w:bottom w:val="single" w:sz="8" w:space="0" w:color="000000"/>
                          <w:right w:val="nil" w:sz="6" w:space="0" w:color="auto"/>
                        </w:tcBorders>
                      </w:tcPr>
                      <w:p>
                        <w:pPr/>
                      </w:p>
                    </w:tc>
                    <w:tc>
                      <w:tcPr>
                        <w:tcW w:w="598" w:type="dxa"/>
                        <w:tcBorders>
                          <w:top w:val="nil" w:sz="6" w:space="0" w:color="auto"/>
                          <w:left w:val="nil" w:sz="6" w:space="0" w:color="auto"/>
                          <w:bottom w:val="single" w:sz="8" w:space="0" w:color="000000"/>
                          <w:right w:val="nil" w:sz="6" w:space="0" w:color="auto"/>
                        </w:tcBorders>
                      </w:tcPr>
                      <w:p>
                        <w:pPr>
                          <w:pStyle w:val="TableParagraph"/>
                          <w:spacing w:line="240" w:lineRule="auto" w:before="8"/>
                          <w:ind w:right="8"/>
                          <w:jc w:val="center"/>
                          <w:rPr>
                            <w:rFonts w:ascii="Times New Roman" w:hAnsi="Times New Roman" w:cs="Times New Roman" w:eastAsia="Times New Roman" w:hint="default"/>
                            <w:sz w:val="13"/>
                            <w:szCs w:val="13"/>
                          </w:rPr>
                        </w:pPr>
                        <w:r>
                          <w:rPr>
                            <w:rFonts w:ascii="Times New Roman"/>
                            <w:sz w:val="13"/>
                          </w:rPr>
                          <w:t>70</w:t>
                        </w:r>
                      </w:p>
                    </w:tc>
                    <w:tc>
                      <w:tcPr>
                        <w:tcW w:w="578" w:type="dxa"/>
                        <w:tcBorders>
                          <w:top w:val="nil" w:sz="6" w:space="0" w:color="auto"/>
                          <w:left w:val="nil" w:sz="6" w:space="0" w:color="auto"/>
                          <w:bottom w:val="single" w:sz="8" w:space="0" w:color="000000"/>
                          <w:right w:val="nil" w:sz="6" w:space="0" w:color="auto"/>
                        </w:tcBorders>
                      </w:tcPr>
                      <w:p>
                        <w:pPr>
                          <w:pStyle w:val="TableParagraph"/>
                          <w:spacing w:line="140" w:lineRule="exact"/>
                          <w:ind w:right="32"/>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834" w:type="dxa"/>
                        <w:tcBorders>
                          <w:top w:val="nil" w:sz="6" w:space="0" w:color="auto"/>
                          <w:left w:val="nil" w:sz="6" w:space="0" w:color="auto"/>
                          <w:bottom w:val="single" w:sz="8" w:space="0" w:color="000000"/>
                          <w:right w:val="nil" w:sz="6" w:space="0" w:color="auto"/>
                        </w:tcBorders>
                      </w:tcPr>
                      <w:p>
                        <w:pPr>
                          <w:pStyle w:val="TableParagraph"/>
                          <w:spacing w:line="240" w:lineRule="auto" w:before="8"/>
                          <w:ind w:left="241" w:right="0"/>
                          <w:jc w:val="left"/>
                          <w:rPr>
                            <w:rFonts w:ascii="Times New Roman" w:hAnsi="Times New Roman" w:cs="Times New Roman" w:eastAsia="Times New Roman" w:hint="default"/>
                            <w:sz w:val="13"/>
                            <w:szCs w:val="13"/>
                          </w:rPr>
                        </w:pPr>
                        <w:r>
                          <w:rPr>
                            <w:rFonts w:ascii="Times New Roman"/>
                            <w:sz w:val="13"/>
                          </w:rPr>
                          <w:t>30</w:t>
                        </w:r>
                      </w:p>
                    </w:tc>
                    <w:tc>
                      <w:tcPr>
                        <w:tcW w:w="3095" w:type="dxa"/>
                        <w:tcBorders>
                          <w:top w:val="nil" w:sz="6" w:space="0" w:color="auto"/>
                          <w:left w:val="nil" w:sz="6" w:space="0" w:color="auto"/>
                          <w:bottom w:val="single" w:sz="8" w:space="0" w:color="000000"/>
                          <w:right w:val="nil" w:sz="6" w:space="0" w:color="auto"/>
                        </w:tcBorders>
                      </w:tcPr>
                      <w:p>
                        <w:pPr/>
                      </w:p>
                    </w:tc>
                  </w:tr>
                </w:tbl>
                <w:p>
                  <w:pPr/>
                </w:p>
              </w:txbxContent>
            </v:textbox>
            <w10:wrap type="none"/>
          </v:shape>
        </w:pict>
      </w:r>
    </w:p>
    <w:p>
      <w:pPr>
        <w:spacing w:line="240" w:lineRule="auto" w:before="0"/>
        <w:rPr>
          <w:rFonts w:ascii="宋体" w:hAnsi="宋体" w:cs="宋体" w:eastAsia="宋体" w:hint="default"/>
          <w:sz w:val="12"/>
          <w:szCs w:val="12"/>
        </w:rPr>
      </w:pPr>
    </w:p>
    <w:p>
      <w:pPr>
        <w:spacing w:line="240" w:lineRule="auto" w:before="10"/>
        <w:rPr>
          <w:rFonts w:ascii="宋体" w:hAnsi="宋体" w:cs="宋体" w:eastAsia="宋体" w:hint="default"/>
          <w:sz w:val="13"/>
          <w:szCs w:val="13"/>
        </w:rPr>
      </w:pPr>
    </w:p>
    <w:p>
      <w:pPr>
        <w:spacing w:before="0"/>
        <w:ind w:left="1171" w:right="-20" w:firstLine="0"/>
        <w:jc w:val="left"/>
        <w:rPr>
          <w:rFonts w:ascii="宋体" w:hAnsi="宋体" w:cs="宋体" w:eastAsia="宋体" w:hint="default"/>
          <w:sz w:val="13"/>
          <w:szCs w:val="13"/>
        </w:rPr>
      </w:pPr>
      <w:r>
        <w:rPr>
          <w:rFonts w:ascii="宋体" w:hAnsi="宋体" w:cs="宋体" w:eastAsia="宋体" w:hint="default"/>
          <w:sz w:val="13"/>
          <w:szCs w:val="13"/>
        </w:rPr>
        <w:t>子公司全称</w:t>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9"/>
        <w:rPr>
          <w:rFonts w:ascii="宋体" w:hAnsi="宋体" w:cs="宋体" w:eastAsia="宋体" w:hint="default"/>
          <w:sz w:val="14"/>
          <w:szCs w:val="14"/>
        </w:rPr>
      </w:pPr>
    </w:p>
    <w:p>
      <w:pPr>
        <w:spacing w:line="410" w:lineRule="auto" w:before="0"/>
        <w:ind w:left="528" w:right="-1" w:hanging="65"/>
        <w:jc w:val="left"/>
        <w:rPr>
          <w:rFonts w:ascii="宋体" w:hAnsi="宋体" w:cs="宋体" w:eastAsia="宋体" w:hint="default"/>
          <w:sz w:val="13"/>
          <w:szCs w:val="13"/>
        </w:rPr>
      </w:pPr>
      <w:r>
        <w:rPr>
          <w:rFonts w:ascii="宋体" w:hAnsi="宋体" w:cs="宋体" w:eastAsia="宋体" w:hint="default"/>
          <w:w w:val="95"/>
          <w:sz w:val="13"/>
          <w:szCs w:val="13"/>
        </w:rPr>
        <w:t>子公司</w:t>
      </w:r>
      <w:r>
        <w:rPr>
          <w:rFonts w:ascii="宋体" w:hAnsi="宋体" w:cs="宋体" w:eastAsia="宋体" w:hint="default"/>
          <w:spacing w:val="-44"/>
          <w:w w:val="95"/>
          <w:sz w:val="13"/>
          <w:szCs w:val="13"/>
        </w:rPr>
        <w:t> </w:t>
      </w:r>
      <w:r>
        <w:rPr>
          <w:rFonts w:ascii="宋体" w:hAnsi="宋体" w:cs="宋体" w:eastAsia="宋体" w:hint="default"/>
          <w:sz w:val="13"/>
          <w:szCs w:val="13"/>
        </w:rPr>
        <w:t>类型</w:t>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0"/>
        <w:rPr>
          <w:rFonts w:ascii="宋体" w:hAnsi="宋体" w:cs="宋体" w:eastAsia="宋体" w:hint="default"/>
          <w:sz w:val="12"/>
          <w:szCs w:val="12"/>
        </w:rPr>
      </w:pPr>
    </w:p>
    <w:p>
      <w:pPr>
        <w:spacing w:line="240" w:lineRule="auto" w:before="10"/>
        <w:rPr>
          <w:rFonts w:ascii="宋体" w:hAnsi="宋体" w:cs="宋体" w:eastAsia="宋体" w:hint="default"/>
          <w:sz w:val="13"/>
          <w:szCs w:val="13"/>
        </w:rPr>
      </w:pPr>
    </w:p>
    <w:p>
      <w:pPr>
        <w:tabs>
          <w:tab w:pos="876" w:val="left" w:leader="none"/>
          <w:tab w:pos="1716" w:val="left" w:leader="none"/>
          <w:tab w:pos="2869" w:val="left" w:leader="none"/>
        </w:tabs>
        <w:spacing w:before="0"/>
        <w:ind w:left="191" w:right="0" w:firstLine="0"/>
        <w:jc w:val="left"/>
        <w:rPr>
          <w:rFonts w:ascii="宋体" w:hAnsi="宋体" w:cs="宋体" w:eastAsia="宋体" w:hint="default"/>
          <w:sz w:val="13"/>
          <w:szCs w:val="13"/>
        </w:rPr>
      </w:pPr>
      <w:r>
        <w:rPr>
          <w:rFonts w:ascii="宋体" w:hAnsi="宋体" w:cs="宋体" w:eastAsia="宋体" w:hint="default"/>
          <w:w w:val="95"/>
          <w:sz w:val="13"/>
          <w:szCs w:val="13"/>
        </w:rPr>
        <w:t>注册地</w:t>
        <w:tab/>
        <w:t>企业性质</w:t>
        <w:tab/>
        <w:t>注册资本</w:t>
        <w:tab/>
        <w:t>经营范围</w:t>
      </w:r>
      <w:r>
        <w:rPr>
          <w:rFonts w:ascii="宋体" w:hAnsi="宋体" w:cs="宋体" w:eastAsia="宋体" w:hint="default"/>
          <w:sz w:val="13"/>
          <w:szCs w:val="13"/>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9"/>
        <w:rPr>
          <w:rFonts w:ascii="宋体" w:hAnsi="宋体" w:cs="宋体" w:eastAsia="宋体" w:hint="default"/>
          <w:sz w:val="14"/>
          <w:szCs w:val="14"/>
        </w:rPr>
      </w:pPr>
    </w:p>
    <w:p>
      <w:pPr>
        <w:spacing w:line="410" w:lineRule="auto" w:before="0"/>
        <w:ind w:left="722" w:right="0" w:hanging="196"/>
        <w:jc w:val="left"/>
        <w:rPr>
          <w:rFonts w:ascii="宋体" w:hAnsi="宋体" w:cs="宋体" w:eastAsia="宋体" w:hint="default"/>
          <w:sz w:val="13"/>
          <w:szCs w:val="13"/>
        </w:rPr>
      </w:pPr>
      <w:r>
        <w:rPr>
          <w:rFonts w:ascii="宋体" w:hAnsi="宋体" w:cs="宋体" w:eastAsia="宋体" w:hint="default"/>
          <w:w w:val="95"/>
          <w:sz w:val="13"/>
          <w:szCs w:val="13"/>
        </w:rPr>
        <w:t>期末实际投</w:t>
      </w:r>
      <w:r>
        <w:rPr>
          <w:rFonts w:ascii="宋体" w:hAnsi="宋体" w:cs="宋体" w:eastAsia="宋体" w:hint="default"/>
          <w:spacing w:val="-31"/>
          <w:w w:val="95"/>
          <w:sz w:val="13"/>
          <w:szCs w:val="13"/>
        </w:rPr>
        <w:t> </w:t>
      </w:r>
      <w:r>
        <w:rPr>
          <w:rFonts w:ascii="宋体" w:hAnsi="宋体" w:cs="宋体" w:eastAsia="宋体" w:hint="default"/>
          <w:spacing w:val="-31"/>
          <w:w w:val="95"/>
          <w:sz w:val="13"/>
          <w:szCs w:val="13"/>
        </w:rPr>
      </w:r>
      <w:r>
        <w:rPr>
          <w:rFonts w:ascii="宋体" w:hAnsi="宋体" w:cs="宋体" w:eastAsia="宋体" w:hint="default"/>
          <w:sz w:val="13"/>
          <w:szCs w:val="13"/>
        </w:rPr>
        <w:t>资额</w:t>
      </w:r>
    </w:p>
    <w:p>
      <w:pPr>
        <w:spacing w:line="240" w:lineRule="auto" w:before="7"/>
        <w:rPr>
          <w:rFonts w:ascii="宋体" w:hAnsi="宋体" w:cs="宋体" w:eastAsia="宋体" w:hint="default"/>
          <w:sz w:val="15"/>
          <w:szCs w:val="15"/>
        </w:rPr>
      </w:pPr>
      <w:r>
        <w:rPr/>
        <w:br w:type="column"/>
      </w:r>
      <w:r>
        <w:rPr>
          <w:rFonts w:ascii="宋体"/>
          <w:sz w:val="15"/>
        </w:rPr>
      </w:r>
    </w:p>
    <w:p>
      <w:pPr>
        <w:spacing w:line="410" w:lineRule="auto" w:before="0"/>
        <w:ind w:left="131" w:right="2" w:firstLine="0"/>
        <w:jc w:val="center"/>
        <w:rPr>
          <w:rFonts w:ascii="宋体" w:hAnsi="宋体" w:cs="宋体" w:eastAsia="宋体" w:hint="default"/>
          <w:sz w:val="13"/>
          <w:szCs w:val="13"/>
        </w:rPr>
      </w:pPr>
      <w:r>
        <w:rPr>
          <w:rFonts w:ascii="宋体" w:hAnsi="宋体" w:cs="宋体" w:eastAsia="宋体" w:hint="default"/>
          <w:w w:val="95"/>
          <w:sz w:val="13"/>
          <w:szCs w:val="13"/>
        </w:rPr>
        <w:t>实质上构成对子</w:t>
      </w:r>
      <w:r>
        <w:rPr>
          <w:rFonts w:ascii="宋体" w:hAnsi="宋体" w:cs="宋体" w:eastAsia="宋体" w:hint="default"/>
          <w:spacing w:val="-19"/>
          <w:w w:val="95"/>
          <w:sz w:val="13"/>
          <w:szCs w:val="13"/>
        </w:rPr>
        <w:t> </w:t>
      </w:r>
      <w:r>
        <w:rPr>
          <w:rFonts w:ascii="宋体" w:hAnsi="宋体" w:cs="宋体" w:eastAsia="宋体" w:hint="default"/>
          <w:spacing w:val="-19"/>
          <w:w w:val="95"/>
          <w:sz w:val="13"/>
          <w:szCs w:val="13"/>
        </w:rPr>
      </w:r>
      <w:r>
        <w:rPr>
          <w:rFonts w:ascii="宋体" w:hAnsi="宋体" w:cs="宋体" w:eastAsia="宋体" w:hint="default"/>
          <w:w w:val="95"/>
          <w:sz w:val="13"/>
          <w:szCs w:val="13"/>
        </w:rPr>
        <w:t>公司净投资的其</w:t>
      </w:r>
      <w:r>
        <w:rPr>
          <w:rFonts w:ascii="宋体" w:hAnsi="宋体" w:cs="宋体" w:eastAsia="宋体" w:hint="default"/>
          <w:spacing w:val="-19"/>
          <w:w w:val="95"/>
          <w:sz w:val="13"/>
          <w:szCs w:val="13"/>
        </w:rPr>
        <w:t> </w:t>
      </w:r>
      <w:r>
        <w:rPr>
          <w:rFonts w:ascii="宋体" w:hAnsi="宋体" w:cs="宋体" w:eastAsia="宋体" w:hint="default"/>
          <w:spacing w:val="-19"/>
          <w:w w:val="95"/>
          <w:sz w:val="13"/>
          <w:szCs w:val="13"/>
        </w:rPr>
      </w:r>
      <w:r>
        <w:rPr>
          <w:rFonts w:ascii="宋体" w:hAnsi="宋体" w:cs="宋体" w:eastAsia="宋体" w:hint="default"/>
          <w:sz w:val="13"/>
          <w:szCs w:val="13"/>
        </w:rPr>
        <w:t>他项目余额</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9"/>
        <w:rPr>
          <w:rFonts w:ascii="宋体" w:hAnsi="宋体" w:cs="宋体" w:eastAsia="宋体" w:hint="default"/>
          <w:sz w:val="12"/>
          <w:szCs w:val="12"/>
        </w:rPr>
      </w:pPr>
    </w:p>
    <w:p>
      <w:pPr>
        <w:spacing w:line="410" w:lineRule="auto" w:before="0"/>
        <w:ind w:left="128" w:right="-2" w:hanging="34"/>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持股比</w:t>
      </w:r>
      <w:r>
        <w:rPr>
          <w:rFonts w:ascii="宋体" w:hAnsi="宋体" w:cs="宋体" w:eastAsia="宋体" w:hint="default"/>
          <w:spacing w:val="-44"/>
          <w:w w:val="95"/>
          <w:sz w:val="13"/>
          <w:szCs w:val="13"/>
        </w:rPr>
        <w:t> </w:t>
      </w:r>
      <w:r>
        <w:rPr>
          <w:rFonts w:ascii="宋体" w:hAnsi="宋体" w:cs="宋体" w:eastAsia="宋体" w:hint="default"/>
          <w:sz w:val="13"/>
          <w:szCs w:val="13"/>
        </w:rPr>
        <w:t>例</w:t>
      </w:r>
      <w:r>
        <w:rPr>
          <w:rFonts w:ascii="Times New Roman" w:hAnsi="Times New Roman" w:cs="Times New Roman" w:eastAsia="Times New Roman" w:hint="default"/>
          <w:sz w:val="13"/>
          <w:szCs w:val="13"/>
        </w:rPr>
        <w:t>(%)</w:t>
      </w:r>
    </w:p>
    <w:p>
      <w:pPr>
        <w:spacing w:line="240" w:lineRule="auto" w:before="0"/>
        <w:rPr>
          <w:rFonts w:ascii="Times New Roman" w:hAnsi="Times New Roman" w:cs="Times New Roman" w:eastAsia="Times New Roman" w:hint="default"/>
          <w:sz w:val="14"/>
          <w:szCs w:val="14"/>
        </w:rPr>
      </w:pPr>
      <w:r>
        <w:rPr/>
        <w:br w:type="column"/>
      </w:r>
      <w:r>
        <w:rPr>
          <w:rFonts w:ascii="Times New Roman"/>
          <w:sz w:val="14"/>
        </w:rPr>
      </w:r>
    </w:p>
    <w:p>
      <w:pPr>
        <w:spacing w:line="240" w:lineRule="auto" w:before="4"/>
        <w:rPr>
          <w:rFonts w:ascii="Times New Roman" w:hAnsi="Times New Roman" w:cs="Times New Roman" w:eastAsia="Times New Roman" w:hint="default"/>
          <w:sz w:val="16"/>
          <w:szCs w:val="16"/>
        </w:rPr>
      </w:pPr>
    </w:p>
    <w:p>
      <w:pPr>
        <w:spacing w:line="410" w:lineRule="auto" w:before="0"/>
        <w:ind w:left="128" w:right="0" w:firstLine="31"/>
        <w:jc w:val="left"/>
        <w:rPr>
          <w:rFonts w:ascii="Times New Roman" w:hAnsi="Times New Roman" w:cs="Times New Roman" w:eastAsia="Times New Roman" w:hint="default"/>
          <w:sz w:val="13"/>
          <w:szCs w:val="13"/>
        </w:rPr>
      </w:pPr>
      <w:r>
        <w:rPr>
          <w:rFonts w:ascii="宋体" w:hAnsi="宋体" w:cs="宋体" w:eastAsia="宋体" w:hint="default"/>
          <w:sz w:val="13"/>
          <w:szCs w:val="13"/>
        </w:rPr>
        <w:t>表决权</w:t>
      </w:r>
      <w:r>
        <w:rPr>
          <w:rFonts w:ascii="宋体" w:hAnsi="宋体" w:cs="宋体" w:eastAsia="宋体" w:hint="default"/>
          <w:w w:val="99"/>
          <w:sz w:val="13"/>
          <w:szCs w:val="13"/>
        </w:rPr>
        <w:t> </w:t>
      </w:r>
      <w:r>
        <w:rPr>
          <w:rFonts w:ascii="宋体" w:hAnsi="宋体" w:cs="宋体" w:eastAsia="宋体" w:hint="default"/>
          <w:w w:val="95"/>
          <w:sz w:val="13"/>
          <w:szCs w:val="13"/>
        </w:rPr>
        <w:t>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p>
      <w:pPr>
        <w:spacing w:line="240" w:lineRule="auto" w:before="0"/>
        <w:rPr>
          <w:rFonts w:ascii="Times New Roman" w:hAnsi="Times New Roman" w:cs="Times New Roman" w:eastAsia="Times New Roman" w:hint="default"/>
          <w:sz w:val="12"/>
          <w:szCs w:val="12"/>
        </w:rPr>
      </w:pPr>
      <w:r>
        <w:rPr/>
        <w:br w:type="column"/>
      </w:r>
      <w:r>
        <w:rPr>
          <w:rFonts w:ascii="Times New Roman"/>
          <w:sz w:val="12"/>
        </w:rPr>
      </w:r>
    </w:p>
    <w:p>
      <w:pPr>
        <w:spacing w:line="240" w:lineRule="auto" w:before="0"/>
        <w:rPr>
          <w:rFonts w:ascii="Times New Roman" w:hAnsi="Times New Roman" w:cs="Times New Roman" w:eastAsia="Times New Roman" w:hint="default"/>
          <w:sz w:val="12"/>
          <w:szCs w:val="12"/>
        </w:rPr>
      </w:pPr>
    </w:p>
    <w:p>
      <w:pPr>
        <w:spacing w:line="410" w:lineRule="auto" w:before="72"/>
        <w:ind w:left="113" w:right="-19" w:hanging="2"/>
        <w:jc w:val="left"/>
        <w:rPr>
          <w:rFonts w:ascii="宋体" w:hAnsi="宋体" w:cs="宋体" w:eastAsia="宋体" w:hint="default"/>
          <w:sz w:val="13"/>
          <w:szCs w:val="13"/>
        </w:rPr>
      </w:pPr>
      <w:r>
        <w:rPr>
          <w:rFonts w:ascii="宋体" w:hAnsi="宋体" w:cs="宋体" w:eastAsia="宋体" w:hint="default"/>
          <w:sz w:val="13"/>
          <w:szCs w:val="13"/>
        </w:rPr>
        <w:t>是否合</w:t>
      </w:r>
      <w:r>
        <w:rPr>
          <w:rFonts w:ascii="宋体" w:hAnsi="宋体" w:cs="宋体" w:eastAsia="宋体" w:hint="default"/>
          <w:w w:val="99"/>
          <w:sz w:val="13"/>
          <w:szCs w:val="13"/>
        </w:rPr>
        <w:t> </w:t>
      </w:r>
      <w:r>
        <w:rPr>
          <w:rFonts w:ascii="宋体" w:hAnsi="宋体" w:cs="宋体" w:eastAsia="宋体" w:hint="default"/>
          <w:w w:val="95"/>
          <w:sz w:val="13"/>
          <w:szCs w:val="13"/>
        </w:rPr>
        <w:t>并报表</w:t>
      </w:r>
      <w:r>
        <w:rPr>
          <w:rFonts w:ascii="宋体" w:hAnsi="宋体" w:cs="宋体" w:eastAsia="宋体" w:hint="default"/>
          <w:sz w:val="13"/>
          <w:szCs w:val="13"/>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9"/>
        <w:rPr>
          <w:rFonts w:ascii="宋体" w:hAnsi="宋体" w:cs="宋体" w:eastAsia="宋体" w:hint="default"/>
          <w:sz w:val="14"/>
          <w:szCs w:val="14"/>
        </w:rPr>
      </w:pPr>
    </w:p>
    <w:p>
      <w:pPr>
        <w:spacing w:line="410" w:lineRule="auto" w:before="0"/>
        <w:ind w:left="249" w:right="0" w:hanging="131"/>
        <w:jc w:val="left"/>
        <w:rPr>
          <w:rFonts w:ascii="宋体" w:hAnsi="宋体" w:cs="宋体" w:eastAsia="宋体" w:hint="default"/>
          <w:sz w:val="13"/>
          <w:szCs w:val="13"/>
        </w:rPr>
      </w:pPr>
      <w:r>
        <w:rPr>
          <w:rFonts w:ascii="宋体" w:hAnsi="宋体" w:cs="宋体" w:eastAsia="宋体" w:hint="default"/>
          <w:w w:val="95"/>
          <w:sz w:val="13"/>
          <w:szCs w:val="13"/>
        </w:rPr>
        <w:t>少数股东</w:t>
      </w:r>
      <w:r>
        <w:rPr>
          <w:rFonts w:ascii="宋体" w:hAnsi="宋体" w:cs="宋体" w:eastAsia="宋体" w:hint="default"/>
          <w:spacing w:val="-38"/>
          <w:w w:val="95"/>
          <w:sz w:val="13"/>
          <w:szCs w:val="13"/>
        </w:rPr>
        <w:t> </w:t>
      </w:r>
      <w:r>
        <w:rPr>
          <w:rFonts w:ascii="宋体" w:hAnsi="宋体" w:cs="宋体" w:eastAsia="宋体" w:hint="default"/>
          <w:sz w:val="13"/>
          <w:szCs w:val="13"/>
        </w:rPr>
        <w:t>权益</w:t>
      </w:r>
    </w:p>
    <w:p>
      <w:pPr>
        <w:spacing w:line="240" w:lineRule="auto" w:before="7"/>
        <w:rPr>
          <w:rFonts w:ascii="宋体" w:hAnsi="宋体" w:cs="宋体" w:eastAsia="宋体" w:hint="default"/>
          <w:sz w:val="15"/>
          <w:szCs w:val="15"/>
        </w:rPr>
      </w:pPr>
      <w:r>
        <w:rPr/>
        <w:br w:type="column"/>
      </w:r>
      <w:r>
        <w:rPr>
          <w:rFonts w:ascii="宋体"/>
          <w:sz w:val="15"/>
        </w:rPr>
      </w:r>
    </w:p>
    <w:p>
      <w:pPr>
        <w:spacing w:line="410" w:lineRule="auto" w:before="0"/>
        <w:ind w:left="116" w:right="5" w:firstLine="0"/>
        <w:jc w:val="center"/>
        <w:rPr>
          <w:rFonts w:ascii="宋体" w:hAnsi="宋体" w:cs="宋体" w:eastAsia="宋体" w:hint="default"/>
          <w:sz w:val="13"/>
          <w:szCs w:val="13"/>
        </w:rPr>
      </w:pPr>
      <w:r>
        <w:rPr>
          <w:rFonts w:ascii="宋体" w:hAnsi="宋体" w:cs="宋体" w:eastAsia="宋体" w:hint="default"/>
          <w:w w:val="95"/>
          <w:sz w:val="13"/>
          <w:szCs w:val="13"/>
        </w:rPr>
        <w:t>少数股东权益中用</w:t>
      </w:r>
      <w:r>
        <w:rPr>
          <w:rFonts w:ascii="宋体" w:hAnsi="宋体" w:cs="宋体" w:eastAsia="宋体" w:hint="default"/>
          <w:spacing w:val="-12"/>
          <w:w w:val="95"/>
          <w:sz w:val="13"/>
          <w:szCs w:val="13"/>
        </w:rPr>
        <w:t> </w:t>
      </w:r>
      <w:r>
        <w:rPr>
          <w:rFonts w:ascii="宋体" w:hAnsi="宋体" w:cs="宋体" w:eastAsia="宋体" w:hint="default"/>
          <w:spacing w:val="-12"/>
          <w:w w:val="95"/>
          <w:sz w:val="13"/>
          <w:szCs w:val="13"/>
        </w:rPr>
      </w:r>
      <w:r>
        <w:rPr>
          <w:rFonts w:ascii="宋体" w:hAnsi="宋体" w:cs="宋体" w:eastAsia="宋体" w:hint="default"/>
          <w:w w:val="95"/>
          <w:sz w:val="13"/>
          <w:szCs w:val="13"/>
        </w:rPr>
        <w:t>于冲减少数股东损</w:t>
      </w:r>
      <w:r>
        <w:rPr>
          <w:rFonts w:ascii="宋体" w:hAnsi="宋体" w:cs="宋体" w:eastAsia="宋体" w:hint="default"/>
          <w:spacing w:val="-12"/>
          <w:w w:val="95"/>
          <w:sz w:val="13"/>
          <w:szCs w:val="13"/>
        </w:rPr>
        <w:t> </w:t>
      </w:r>
      <w:r>
        <w:rPr>
          <w:rFonts w:ascii="宋体" w:hAnsi="宋体" w:cs="宋体" w:eastAsia="宋体" w:hint="default"/>
          <w:spacing w:val="-12"/>
          <w:w w:val="95"/>
          <w:sz w:val="13"/>
          <w:szCs w:val="13"/>
        </w:rPr>
      </w:r>
      <w:r>
        <w:rPr>
          <w:rFonts w:ascii="宋体" w:hAnsi="宋体" w:cs="宋体" w:eastAsia="宋体" w:hint="default"/>
          <w:sz w:val="13"/>
          <w:szCs w:val="13"/>
        </w:rPr>
        <w:t>益的金额</w:t>
      </w:r>
    </w:p>
    <w:p>
      <w:pPr>
        <w:spacing w:line="408" w:lineRule="auto" w:before="59"/>
        <w:ind w:left="107" w:right="191" w:firstLine="0"/>
        <w:jc w:val="center"/>
        <w:rPr>
          <w:rFonts w:ascii="宋体" w:hAnsi="宋体" w:cs="宋体" w:eastAsia="宋体" w:hint="default"/>
          <w:sz w:val="13"/>
          <w:szCs w:val="13"/>
        </w:rPr>
      </w:pPr>
      <w:r>
        <w:rPr/>
        <w:br w:type="column"/>
      </w:r>
      <w:r>
        <w:rPr>
          <w:rFonts w:ascii="宋体" w:hAnsi="宋体" w:cs="宋体" w:eastAsia="宋体" w:hint="default"/>
          <w:w w:val="99"/>
          <w:sz w:val="13"/>
          <w:szCs w:val="13"/>
        </w:rPr>
        <w:t>从母公</w:t>
      </w:r>
      <w:r>
        <w:rPr>
          <w:rFonts w:ascii="宋体" w:hAnsi="宋体" w:cs="宋体" w:eastAsia="宋体" w:hint="default"/>
          <w:spacing w:val="1"/>
          <w:w w:val="99"/>
          <w:sz w:val="13"/>
          <w:szCs w:val="13"/>
        </w:rPr>
        <w:t>司</w:t>
      </w:r>
      <w:r>
        <w:rPr>
          <w:rFonts w:ascii="宋体" w:hAnsi="宋体" w:cs="宋体" w:eastAsia="宋体" w:hint="default"/>
          <w:w w:val="99"/>
          <w:sz w:val="13"/>
          <w:szCs w:val="13"/>
        </w:rPr>
        <w:t>所有</w:t>
      </w:r>
      <w:r>
        <w:rPr>
          <w:rFonts w:ascii="宋体" w:hAnsi="宋体" w:cs="宋体" w:eastAsia="宋体" w:hint="default"/>
          <w:spacing w:val="1"/>
          <w:w w:val="99"/>
          <w:sz w:val="13"/>
          <w:szCs w:val="13"/>
        </w:rPr>
        <w:t>者</w:t>
      </w:r>
      <w:r>
        <w:rPr>
          <w:rFonts w:ascii="宋体" w:hAnsi="宋体" w:cs="宋体" w:eastAsia="宋体" w:hint="default"/>
          <w:w w:val="99"/>
          <w:sz w:val="13"/>
          <w:szCs w:val="13"/>
        </w:rPr>
        <w:t>权</w:t>
      </w:r>
      <w:r>
        <w:rPr>
          <w:rFonts w:ascii="宋体" w:hAnsi="宋体" w:cs="宋体" w:eastAsia="宋体" w:hint="default"/>
          <w:spacing w:val="1"/>
          <w:w w:val="99"/>
          <w:sz w:val="13"/>
          <w:szCs w:val="13"/>
        </w:rPr>
        <w:t>益</w:t>
      </w:r>
      <w:r>
        <w:rPr>
          <w:rFonts w:ascii="宋体" w:hAnsi="宋体" w:cs="宋体" w:eastAsia="宋体" w:hint="default"/>
          <w:w w:val="99"/>
          <w:sz w:val="13"/>
          <w:szCs w:val="13"/>
        </w:rPr>
        <w:t>冲减子</w:t>
      </w:r>
      <w:r>
        <w:rPr>
          <w:rFonts w:ascii="宋体" w:hAnsi="宋体" w:cs="宋体" w:eastAsia="宋体" w:hint="default"/>
          <w:spacing w:val="1"/>
          <w:w w:val="99"/>
          <w:sz w:val="13"/>
          <w:szCs w:val="13"/>
        </w:rPr>
        <w:t>公</w:t>
      </w:r>
      <w:r>
        <w:rPr>
          <w:rFonts w:ascii="宋体" w:hAnsi="宋体" w:cs="宋体" w:eastAsia="宋体" w:hint="default"/>
          <w:w w:val="99"/>
          <w:sz w:val="13"/>
          <w:szCs w:val="13"/>
        </w:rPr>
        <w:t>司少</w:t>
      </w:r>
      <w:r>
        <w:rPr>
          <w:rFonts w:ascii="宋体" w:hAnsi="宋体" w:cs="宋体" w:eastAsia="宋体" w:hint="default"/>
          <w:w w:val="99"/>
          <w:sz w:val="13"/>
          <w:szCs w:val="13"/>
        </w:rPr>
        <w:t> 数股东</w:t>
      </w:r>
      <w:r>
        <w:rPr>
          <w:rFonts w:ascii="宋体" w:hAnsi="宋体" w:cs="宋体" w:eastAsia="宋体" w:hint="default"/>
          <w:spacing w:val="1"/>
          <w:w w:val="99"/>
          <w:sz w:val="13"/>
          <w:szCs w:val="13"/>
        </w:rPr>
        <w:t>分</w:t>
      </w:r>
      <w:r>
        <w:rPr>
          <w:rFonts w:ascii="宋体" w:hAnsi="宋体" w:cs="宋体" w:eastAsia="宋体" w:hint="default"/>
          <w:w w:val="99"/>
          <w:sz w:val="13"/>
          <w:szCs w:val="13"/>
        </w:rPr>
        <w:t>担的</w:t>
      </w:r>
      <w:r>
        <w:rPr>
          <w:rFonts w:ascii="宋体" w:hAnsi="宋体" w:cs="宋体" w:eastAsia="宋体" w:hint="default"/>
          <w:spacing w:val="1"/>
          <w:w w:val="99"/>
          <w:sz w:val="13"/>
          <w:szCs w:val="13"/>
        </w:rPr>
        <w:t>本</w:t>
      </w:r>
      <w:r>
        <w:rPr>
          <w:rFonts w:ascii="宋体" w:hAnsi="宋体" w:cs="宋体" w:eastAsia="宋体" w:hint="default"/>
          <w:w w:val="99"/>
          <w:sz w:val="13"/>
          <w:szCs w:val="13"/>
        </w:rPr>
        <w:t>期</w:t>
      </w:r>
      <w:r>
        <w:rPr>
          <w:rFonts w:ascii="宋体" w:hAnsi="宋体" w:cs="宋体" w:eastAsia="宋体" w:hint="default"/>
          <w:spacing w:val="1"/>
          <w:w w:val="99"/>
          <w:sz w:val="13"/>
          <w:szCs w:val="13"/>
        </w:rPr>
        <w:t>亏</w:t>
      </w:r>
      <w:r>
        <w:rPr>
          <w:rFonts w:ascii="宋体" w:hAnsi="宋体" w:cs="宋体" w:eastAsia="宋体" w:hint="default"/>
          <w:w w:val="99"/>
          <w:sz w:val="13"/>
          <w:szCs w:val="13"/>
        </w:rPr>
        <w:t>损超过</w:t>
      </w:r>
      <w:r>
        <w:rPr>
          <w:rFonts w:ascii="宋体" w:hAnsi="宋体" w:cs="宋体" w:eastAsia="宋体" w:hint="default"/>
          <w:spacing w:val="1"/>
          <w:w w:val="99"/>
          <w:sz w:val="13"/>
          <w:szCs w:val="13"/>
        </w:rPr>
        <w:t>少</w:t>
      </w:r>
      <w:r>
        <w:rPr>
          <w:rFonts w:ascii="宋体" w:hAnsi="宋体" w:cs="宋体" w:eastAsia="宋体" w:hint="default"/>
          <w:w w:val="99"/>
          <w:sz w:val="13"/>
          <w:szCs w:val="13"/>
        </w:rPr>
        <w:t>数股</w:t>
      </w:r>
      <w:r>
        <w:rPr>
          <w:rFonts w:ascii="宋体" w:hAnsi="宋体" w:cs="宋体" w:eastAsia="宋体" w:hint="default"/>
          <w:w w:val="99"/>
          <w:sz w:val="13"/>
          <w:szCs w:val="13"/>
        </w:rPr>
        <w:t> 东在该</w:t>
      </w:r>
      <w:r>
        <w:rPr>
          <w:rFonts w:ascii="宋体" w:hAnsi="宋体" w:cs="宋体" w:eastAsia="宋体" w:hint="default"/>
          <w:spacing w:val="1"/>
          <w:w w:val="99"/>
          <w:sz w:val="13"/>
          <w:szCs w:val="13"/>
        </w:rPr>
        <w:t>子</w:t>
      </w:r>
      <w:r>
        <w:rPr>
          <w:rFonts w:ascii="宋体" w:hAnsi="宋体" w:cs="宋体" w:eastAsia="宋体" w:hint="default"/>
          <w:w w:val="99"/>
          <w:sz w:val="13"/>
          <w:szCs w:val="13"/>
        </w:rPr>
        <w:t>公司</w:t>
      </w:r>
      <w:r>
        <w:rPr>
          <w:rFonts w:ascii="宋体" w:hAnsi="宋体" w:cs="宋体" w:eastAsia="宋体" w:hint="default"/>
          <w:spacing w:val="1"/>
          <w:w w:val="99"/>
          <w:sz w:val="13"/>
          <w:szCs w:val="13"/>
        </w:rPr>
        <w:t>期</w:t>
      </w:r>
      <w:r>
        <w:rPr>
          <w:rFonts w:ascii="宋体" w:hAnsi="宋体" w:cs="宋体" w:eastAsia="宋体" w:hint="default"/>
          <w:w w:val="99"/>
          <w:sz w:val="13"/>
          <w:szCs w:val="13"/>
        </w:rPr>
        <w:t>初</w:t>
      </w:r>
      <w:r>
        <w:rPr>
          <w:rFonts w:ascii="宋体" w:hAnsi="宋体" w:cs="宋体" w:eastAsia="宋体" w:hint="default"/>
          <w:spacing w:val="1"/>
          <w:w w:val="99"/>
          <w:sz w:val="13"/>
          <w:szCs w:val="13"/>
        </w:rPr>
        <w:t>所</w:t>
      </w:r>
      <w:r>
        <w:rPr>
          <w:rFonts w:ascii="宋体" w:hAnsi="宋体" w:cs="宋体" w:eastAsia="宋体" w:hint="default"/>
          <w:w w:val="99"/>
          <w:sz w:val="13"/>
          <w:szCs w:val="13"/>
        </w:rPr>
        <w:t>有者权</w:t>
      </w:r>
      <w:r>
        <w:rPr>
          <w:rFonts w:ascii="宋体" w:hAnsi="宋体" w:cs="宋体" w:eastAsia="宋体" w:hint="default"/>
          <w:spacing w:val="1"/>
          <w:w w:val="99"/>
          <w:sz w:val="13"/>
          <w:szCs w:val="13"/>
        </w:rPr>
        <w:t>益</w:t>
      </w:r>
      <w:r>
        <w:rPr>
          <w:rFonts w:ascii="宋体" w:hAnsi="宋体" w:cs="宋体" w:eastAsia="宋体" w:hint="default"/>
          <w:w w:val="99"/>
          <w:sz w:val="13"/>
          <w:szCs w:val="13"/>
        </w:rPr>
        <w:t>中所</w:t>
      </w:r>
      <w:r>
        <w:rPr>
          <w:rFonts w:ascii="宋体" w:hAnsi="宋体" w:cs="宋体" w:eastAsia="宋体" w:hint="default"/>
          <w:w w:val="99"/>
          <w:sz w:val="13"/>
          <w:szCs w:val="13"/>
        </w:rPr>
        <w:t> 享有份</w:t>
      </w:r>
      <w:r>
        <w:rPr>
          <w:rFonts w:ascii="宋体" w:hAnsi="宋体" w:cs="宋体" w:eastAsia="宋体" w:hint="default"/>
          <w:spacing w:val="1"/>
          <w:w w:val="99"/>
          <w:sz w:val="13"/>
          <w:szCs w:val="13"/>
        </w:rPr>
        <w:t>额</w:t>
      </w:r>
      <w:r>
        <w:rPr>
          <w:rFonts w:ascii="宋体" w:hAnsi="宋体" w:cs="宋体" w:eastAsia="宋体" w:hint="default"/>
          <w:w w:val="99"/>
          <w:sz w:val="13"/>
          <w:szCs w:val="13"/>
        </w:rPr>
        <w:t>后的</w:t>
      </w:r>
      <w:r>
        <w:rPr>
          <w:rFonts w:ascii="宋体" w:hAnsi="宋体" w:cs="宋体" w:eastAsia="宋体" w:hint="default"/>
          <w:spacing w:val="1"/>
          <w:w w:val="99"/>
          <w:sz w:val="13"/>
          <w:szCs w:val="13"/>
        </w:rPr>
        <w:t>余</w:t>
      </w:r>
      <w:r>
        <w:rPr>
          <w:rFonts w:ascii="宋体" w:hAnsi="宋体" w:cs="宋体" w:eastAsia="宋体" w:hint="default"/>
          <w:w w:val="99"/>
          <w:sz w:val="13"/>
          <w:szCs w:val="13"/>
        </w:rPr>
        <w:t>额</w:t>
      </w:r>
      <w:r>
        <w:rPr>
          <w:rFonts w:ascii="宋体" w:hAnsi="宋体" w:cs="宋体" w:eastAsia="宋体" w:hint="default"/>
          <w:sz w:val="13"/>
          <w:szCs w:val="13"/>
        </w:rPr>
      </w:r>
    </w:p>
    <w:p>
      <w:pPr>
        <w:spacing w:after="0" w:line="408" w:lineRule="auto"/>
        <w:jc w:val="center"/>
        <w:rPr>
          <w:rFonts w:ascii="宋体" w:hAnsi="宋体" w:cs="宋体" w:eastAsia="宋体" w:hint="default"/>
          <w:sz w:val="13"/>
          <w:szCs w:val="13"/>
        </w:rPr>
        <w:sectPr>
          <w:type w:val="continuous"/>
          <w:pgSz w:w="16840" w:h="11900" w:orient="landscape"/>
          <w:pgMar w:top="1600" w:bottom="280" w:left="1300" w:right="1260"/>
          <w:cols w:num="11" w:equalWidth="0">
            <w:col w:w="1822" w:space="40"/>
            <w:col w:w="853" w:space="40"/>
            <w:col w:w="3389" w:space="40"/>
            <w:col w:w="1176" w:space="40"/>
            <w:col w:w="1038" w:space="40"/>
            <w:col w:w="484" w:space="40"/>
            <w:col w:w="582" w:space="40"/>
            <w:col w:w="503" w:space="40"/>
            <w:col w:w="637" w:space="40"/>
            <w:col w:w="1151" w:space="40"/>
            <w:col w:w="2245"/>
          </w:cols>
        </w:sectPr>
      </w:pPr>
    </w:p>
    <w:p>
      <w:pPr>
        <w:spacing w:line="240" w:lineRule="auto" w:before="12"/>
        <w:rPr>
          <w:rFonts w:ascii="宋体" w:hAnsi="宋体" w:cs="宋体" w:eastAsia="宋体" w:hint="default"/>
          <w:sz w:val="24"/>
          <w:szCs w:val="24"/>
        </w:rPr>
      </w:pPr>
    </w:p>
    <w:tbl>
      <w:tblPr>
        <w:tblW w:w="0" w:type="auto"/>
        <w:jc w:val="left"/>
        <w:tblInd w:w="787" w:type="dxa"/>
        <w:tblLayout w:type="fixed"/>
        <w:tblCellMar>
          <w:top w:w="0" w:type="dxa"/>
          <w:left w:w="0" w:type="dxa"/>
          <w:bottom w:w="0" w:type="dxa"/>
          <w:right w:w="0" w:type="dxa"/>
        </w:tblCellMar>
        <w:tblLook w:val="01E0"/>
      </w:tblPr>
      <w:tblGrid>
        <w:gridCol w:w="1476"/>
        <w:gridCol w:w="545"/>
        <w:gridCol w:w="655"/>
        <w:gridCol w:w="846"/>
        <w:gridCol w:w="855"/>
        <w:gridCol w:w="1411"/>
        <w:gridCol w:w="868"/>
        <w:gridCol w:w="1059"/>
        <w:gridCol w:w="540"/>
        <w:gridCol w:w="614"/>
        <w:gridCol w:w="545"/>
        <w:gridCol w:w="673"/>
        <w:gridCol w:w="1189"/>
        <w:gridCol w:w="2058"/>
      </w:tblGrid>
      <w:tr>
        <w:trPr>
          <w:trHeight w:val="381" w:hRule="exact"/>
        </w:trPr>
        <w:tc>
          <w:tcPr>
            <w:tcW w:w="6656" w:type="dxa"/>
            <w:gridSpan w:val="7"/>
            <w:tcBorders>
              <w:top w:val="nil" w:sz="6" w:space="0" w:color="auto"/>
              <w:left w:val="nil" w:sz="6" w:space="0" w:color="auto"/>
              <w:bottom w:val="nil" w:sz="6" w:space="0" w:color="auto"/>
              <w:right w:val="nil" w:sz="6" w:space="0" w:color="auto"/>
            </w:tcBorders>
          </w:tcPr>
          <w:p>
            <w:pP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6" w:right="0"/>
              <w:jc w:val="center"/>
              <w:rPr>
                <w:rFonts w:ascii="宋体" w:hAnsi="宋体" w:cs="宋体" w:eastAsia="宋体" w:hint="default"/>
                <w:sz w:val="13"/>
                <w:szCs w:val="13"/>
              </w:rPr>
            </w:pPr>
            <w:r>
              <w:rPr>
                <w:rFonts w:ascii="宋体" w:hAnsi="宋体" w:cs="宋体" w:eastAsia="宋体" w:hint="default"/>
                <w:sz w:val="13"/>
                <w:szCs w:val="13"/>
              </w:rPr>
              <w:t>实质上构成对子</w:t>
            </w:r>
          </w:p>
        </w:tc>
        <w:tc>
          <w:tcPr>
            <w:tcW w:w="540" w:type="dxa"/>
            <w:tcBorders>
              <w:top w:val="nil" w:sz="6" w:space="0" w:color="auto"/>
              <w:left w:val="nil" w:sz="6" w:space="0" w:color="auto"/>
              <w:bottom w:val="nil" w:sz="6" w:space="0" w:color="auto"/>
              <w:right w:val="nil" w:sz="6" w:space="0" w:color="auto"/>
            </w:tcBorders>
          </w:tcPr>
          <w:p>
            <w:pPr/>
          </w:p>
        </w:tc>
        <w:tc>
          <w:tcPr>
            <w:tcW w:w="614" w:type="dxa"/>
            <w:tcBorders>
              <w:top w:val="nil" w:sz="6" w:space="0" w:color="auto"/>
              <w:left w:val="nil" w:sz="6" w:space="0" w:color="auto"/>
              <w:bottom w:val="nil" w:sz="6" w:space="0" w:color="auto"/>
              <w:right w:val="nil" w:sz="6" w:space="0" w:color="auto"/>
            </w:tcBorders>
          </w:tcPr>
          <w:p>
            <w:pPr/>
          </w:p>
        </w:tc>
        <w:tc>
          <w:tcPr>
            <w:tcW w:w="545" w:type="dxa"/>
            <w:tcBorders>
              <w:top w:val="nil" w:sz="6" w:space="0" w:color="auto"/>
              <w:left w:val="nil" w:sz="6" w:space="0" w:color="auto"/>
              <w:bottom w:val="nil" w:sz="6" w:space="0" w:color="auto"/>
              <w:right w:val="nil" w:sz="6" w:space="0" w:color="auto"/>
            </w:tcBorders>
          </w:tcPr>
          <w:p>
            <w:pPr/>
          </w:p>
        </w:tc>
        <w:tc>
          <w:tcPr>
            <w:tcW w:w="673" w:type="dxa"/>
            <w:tcBorders>
              <w:top w:val="nil" w:sz="6" w:space="0" w:color="auto"/>
              <w:left w:val="nil" w:sz="6" w:space="0" w:color="auto"/>
              <w:bottom w:val="nil" w:sz="6" w:space="0" w:color="auto"/>
              <w:right w:val="nil" w:sz="6" w:space="0" w:color="auto"/>
            </w:tcBorders>
          </w:tcPr>
          <w:p>
            <w:pP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3"/>
                <w:szCs w:val="13"/>
              </w:rPr>
            </w:pPr>
            <w:r>
              <w:rPr>
                <w:rFonts w:ascii="宋体" w:hAnsi="宋体" w:cs="宋体" w:eastAsia="宋体" w:hint="default"/>
                <w:sz w:val="13"/>
                <w:szCs w:val="13"/>
              </w:rPr>
              <w:t>少数股东权益中用</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8" w:right="0"/>
              <w:jc w:val="center"/>
              <w:rPr>
                <w:rFonts w:ascii="宋体" w:hAnsi="宋体" w:cs="宋体" w:eastAsia="宋体" w:hint="default"/>
                <w:sz w:val="13"/>
                <w:szCs w:val="13"/>
              </w:rPr>
            </w:pPr>
            <w:r>
              <w:rPr>
                <w:rFonts w:ascii="宋体" w:hAnsi="宋体" w:cs="宋体" w:eastAsia="宋体" w:hint="default"/>
                <w:sz w:val="13"/>
                <w:szCs w:val="13"/>
              </w:rPr>
              <w:t>从母公司所有者权益冲减子公司少</w:t>
            </w:r>
          </w:p>
        </w:tc>
      </w:tr>
      <w:tr>
        <w:trPr>
          <w:trHeight w:val="146" w:hRule="exact"/>
        </w:trPr>
        <w:tc>
          <w:tcPr>
            <w:tcW w:w="1476" w:type="dxa"/>
            <w:tcBorders>
              <w:top w:val="nil" w:sz="6" w:space="0" w:color="auto"/>
              <w:left w:val="nil" w:sz="6" w:space="0" w:color="auto"/>
              <w:bottom w:val="nil" w:sz="6" w:space="0" w:color="auto"/>
              <w:right w:val="nil" w:sz="6" w:space="0" w:color="auto"/>
            </w:tcBorders>
          </w:tcPr>
          <w:p>
            <w:pPr/>
          </w:p>
        </w:tc>
        <w:tc>
          <w:tcPr>
            <w:tcW w:w="545" w:type="dxa"/>
            <w:tcBorders>
              <w:top w:val="nil" w:sz="6" w:space="0" w:color="auto"/>
              <w:left w:val="nil" w:sz="6" w:space="0" w:color="auto"/>
              <w:bottom w:val="nil" w:sz="6" w:space="0" w:color="auto"/>
              <w:right w:val="nil" w:sz="6" w:space="0" w:color="auto"/>
            </w:tcBorders>
          </w:tcPr>
          <w:p>
            <w:pPr>
              <w:pStyle w:val="TableParagraph"/>
              <w:spacing w:line="137" w:lineRule="exact"/>
              <w:ind w:right="32"/>
              <w:jc w:val="center"/>
              <w:rPr>
                <w:rFonts w:ascii="宋体" w:hAnsi="宋体" w:cs="宋体" w:eastAsia="宋体" w:hint="default"/>
                <w:sz w:val="13"/>
                <w:szCs w:val="13"/>
              </w:rPr>
            </w:pPr>
            <w:r>
              <w:rPr>
                <w:rFonts w:ascii="宋体" w:hAnsi="宋体" w:cs="宋体" w:eastAsia="宋体" w:hint="default"/>
                <w:sz w:val="13"/>
                <w:szCs w:val="13"/>
              </w:rPr>
              <w:t>子公司</w:t>
            </w:r>
          </w:p>
        </w:tc>
        <w:tc>
          <w:tcPr>
            <w:tcW w:w="65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855" w:type="dxa"/>
            <w:tcBorders>
              <w:top w:val="nil" w:sz="6" w:space="0" w:color="auto"/>
              <w:left w:val="nil" w:sz="6" w:space="0" w:color="auto"/>
              <w:bottom w:val="nil" w:sz="6" w:space="0" w:color="auto"/>
              <w:right w:val="nil" w:sz="6" w:space="0" w:color="auto"/>
            </w:tcBorders>
          </w:tcPr>
          <w:p>
            <w:pPr/>
          </w:p>
        </w:tc>
        <w:tc>
          <w:tcPr>
            <w:tcW w:w="1411"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Style w:val="TableParagraph"/>
              <w:spacing w:line="137" w:lineRule="exact"/>
              <w:ind w:right="83"/>
              <w:jc w:val="right"/>
              <w:rPr>
                <w:rFonts w:ascii="宋体" w:hAnsi="宋体" w:cs="宋体" w:eastAsia="宋体" w:hint="default"/>
                <w:sz w:val="13"/>
                <w:szCs w:val="13"/>
              </w:rPr>
            </w:pPr>
            <w:r>
              <w:rPr>
                <w:rFonts w:ascii="宋体" w:hAnsi="宋体" w:cs="宋体" w:eastAsia="宋体" w:hint="default"/>
                <w:w w:val="95"/>
                <w:sz w:val="13"/>
                <w:szCs w:val="13"/>
              </w:rPr>
              <w:t>期末实际投</w:t>
            </w:r>
            <w:r>
              <w:rPr>
                <w:rFonts w:ascii="宋体" w:hAnsi="宋体" w:cs="宋体" w:eastAsia="宋体" w:hint="default"/>
                <w:sz w:val="13"/>
                <w:szCs w:val="13"/>
              </w:rPr>
            </w:r>
          </w:p>
        </w:tc>
        <w:tc>
          <w:tcPr>
            <w:tcW w:w="1059"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Style w:val="TableParagraph"/>
              <w:spacing w:line="137" w:lineRule="exact"/>
              <w:ind w:left="67" w:right="0"/>
              <w:jc w:val="left"/>
              <w:rPr>
                <w:rFonts w:ascii="宋体" w:hAnsi="宋体" w:cs="宋体" w:eastAsia="宋体" w:hint="default"/>
                <w:sz w:val="13"/>
                <w:szCs w:val="13"/>
              </w:rPr>
            </w:pPr>
            <w:r>
              <w:rPr>
                <w:rFonts w:ascii="宋体" w:hAnsi="宋体" w:cs="宋体" w:eastAsia="宋体" w:hint="default"/>
                <w:sz w:val="13"/>
                <w:szCs w:val="13"/>
              </w:rPr>
              <w:t>持股比</w:t>
            </w:r>
          </w:p>
        </w:tc>
        <w:tc>
          <w:tcPr>
            <w:tcW w:w="614" w:type="dxa"/>
            <w:tcBorders>
              <w:top w:val="nil" w:sz="6" w:space="0" w:color="auto"/>
              <w:left w:val="nil" w:sz="6" w:space="0" w:color="auto"/>
              <w:bottom w:val="nil" w:sz="6" w:space="0" w:color="auto"/>
              <w:right w:val="nil" w:sz="6" w:space="0" w:color="auto"/>
            </w:tcBorders>
          </w:tcPr>
          <w:p>
            <w:pPr>
              <w:pStyle w:val="TableParagraph"/>
              <w:spacing w:line="137" w:lineRule="exact"/>
              <w:ind w:left="5" w:right="0"/>
              <w:jc w:val="center"/>
              <w:rPr>
                <w:rFonts w:ascii="宋体" w:hAnsi="宋体" w:cs="宋体" w:eastAsia="宋体" w:hint="default"/>
                <w:sz w:val="13"/>
                <w:szCs w:val="13"/>
              </w:rPr>
            </w:pPr>
            <w:r>
              <w:rPr>
                <w:rFonts w:ascii="宋体" w:hAnsi="宋体" w:cs="宋体" w:eastAsia="宋体" w:hint="default"/>
                <w:sz w:val="13"/>
                <w:szCs w:val="13"/>
              </w:rPr>
              <w:t>表决权</w:t>
            </w:r>
          </w:p>
        </w:tc>
        <w:tc>
          <w:tcPr>
            <w:tcW w:w="545" w:type="dxa"/>
            <w:tcBorders>
              <w:top w:val="nil" w:sz="6" w:space="0" w:color="auto"/>
              <w:left w:val="nil" w:sz="6" w:space="0" w:color="auto"/>
              <w:bottom w:val="nil" w:sz="6" w:space="0" w:color="auto"/>
              <w:right w:val="nil" w:sz="6" w:space="0" w:color="auto"/>
            </w:tcBorders>
          </w:tcPr>
          <w:p>
            <w:pPr>
              <w:pStyle w:val="TableParagraph"/>
              <w:spacing w:line="137" w:lineRule="exact"/>
              <w:ind w:right="2"/>
              <w:jc w:val="center"/>
              <w:rPr>
                <w:rFonts w:ascii="宋体" w:hAnsi="宋体" w:cs="宋体" w:eastAsia="宋体" w:hint="default"/>
                <w:sz w:val="13"/>
                <w:szCs w:val="13"/>
              </w:rPr>
            </w:pPr>
            <w:r>
              <w:rPr>
                <w:rFonts w:ascii="宋体" w:hAnsi="宋体" w:cs="宋体" w:eastAsia="宋体" w:hint="default"/>
                <w:sz w:val="13"/>
                <w:szCs w:val="13"/>
              </w:rPr>
              <w:t>是否合</w:t>
            </w:r>
          </w:p>
        </w:tc>
        <w:tc>
          <w:tcPr>
            <w:tcW w:w="673" w:type="dxa"/>
            <w:tcBorders>
              <w:top w:val="nil" w:sz="6" w:space="0" w:color="auto"/>
              <w:left w:val="nil" w:sz="6" w:space="0" w:color="auto"/>
              <w:bottom w:val="nil" w:sz="6" w:space="0" w:color="auto"/>
              <w:right w:val="nil" w:sz="6" w:space="0" w:color="auto"/>
            </w:tcBorders>
          </w:tcPr>
          <w:p>
            <w:pPr>
              <w:pStyle w:val="TableParagraph"/>
              <w:spacing w:line="137" w:lineRule="exact"/>
              <w:ind w:left="3" w:right="0"/>
              <w:jc w:val="center"/>
              <w:rPr>
                <w:rFonts w:ascii="宋体" w:hAnsi="宋体" w:cs="宋体" w:eastAsia="宋体" w:hint="default"/>
                <w:sz w:val="13"/>
                <w:szCs w:val="13"/>
              </w:rPr>
            </w:pPr>
            <w:r>
              <w:rPr>
                <w:rFonts w:ascii="宋体" w:hAnsi="宋体" w:cs="宋体" w:eastAsia="宋体" w:hint="default"/>
                <w:sz w:val="13"/>
                <w:szCs w:val="13"/>
              </w:rPr>
              <w:t>少数股东</w:t>
            </w:r>
          </w:p>
        </w:tc>
        <w:tc>
          <w:tcPr>
            <w:tcW w:w="1189" w:type="dxa"/>
            <w:tcBorders>
              <w:top w:val="nil" w:sz="6" w:space="0" w:color="auto"/>
              <w:left w:val="nil" w:sz="6" w:space="0" w:color="auto"/>
              <w:bottom w:val="nil" w:sz="6" w:space="0" w:color="auto"/>
              <w:right w:val="nil" w:sz="6" w:space="0" w:color="auto"/>
            </w:tcBorders>
          </w:tcPr>
          <w:p>
            <w:pPr/>
          </w:p>
        </w:tc>
        <w:tc>
          <w:tcPr>
            <w:tcW w:w="2058" w:type="dxa"/>
            <w:tcBorders>
              <w:top w:val="nil" w:sz="6" w:space="0" w:color="auto"/>
              <w:left w:val="nil" w:sz="6" w:space="0" w:color="auto"/>
              <w:bottom w:val="nil" w:sz="6" w:space="0" w:color="auto"/>
              <w:right w:val="nil" w:sz="6" w:space="0" w:color="auto"/>
            </w:tcBorders>
          </w:tcPr>
          <w:p>
            <w:pPr>
              <w:pStyle w:val="TableParagraph"/>
              <w:spacing w:line="139" w:lineRule="exact"/>
              <w:ind w:left="38" w:right="0"/>
              <w:jc w:val="center"/>
              <w:rPr>
                <w:rFonts w:ascii="宋体" w:hAnsi="宋体" w:cs="宋体" w:eastAsia="宋体" w:hint="default"/>
                <w:sz w:val="13"/>
                <w:szCs w:val="13"/>
              </w:rPr>
            </w:pPr>
            <w:r>
              <w:rPr>
                <w:rFonts w:ascii="宋体" w:hAnsi="宋体" w:cs="宋体" w:eastAsia="宋体" w:hint="default"/>
                <w:sz w:val="13"/>
                <w:szCs w:val="13"/>
              </w:rPr>
              <w:t>数股东分担的本期亏损超过少数股</w:t>
            </w:r>
          </w:p>
        </w:tc>
      </w:tr>
      <w:tr>
        <w:trPr>
          <w:trHeight w:val="145"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137" w:lineRule="exact"/>
              <w:ind w:left="384" w:right="0"/>
              <w:jc w:val="left"/>
              <w:rPr>
                <w:rFonts w:ascii="宋体" w:hAnsi="宋体" w:cs="宋体" w:eastAsia="宋体" w:hint="default"/>
                <w:sz w:val="13"/>
                <w:szCs w:val="13"/>
              </w:rPr>
            </w:pPr>
            <w:r>
              <w:rPr>
                <w:rFonts w:ascii="宋体" w:hAnsi="宋体" w:cs="宋体" w:eastAsia="宋体" w:hint="default"/>
                <w:sz w:val="13"/>
                <w:szCs w:val="13"/>
              </w:rPr>
              <w:t>子公司全称</w:t>
            </w:r>
          </w:p>
        </w:tc>
        <w:tc>
          <w:tcPr>
            <w:tcW w:w="545" w:type="dxa"/>
            <w:tcBorders>
              <w:top w:val="nil" w:sz="6" w:space="0" w:color="auto"/>
              <w:left w:val="nil" w:sz="6" w:space="0" w:color="auto"/>
              <w:bottom w:val="nil" w:sz="6" w:space="0" w:color="auto"/>
              <w:right w:val="nil" w:sz="6" w:space="0" w:color="auto"/>
            </w:tcBorders>
          </w:tcPr>
          <w:p>
            <w:pPr/>
          </w:p>
        </w:tc>
        <w:tc>
          <w:tcPr>
            <w:tcW w:w="655" w:type="dxa"/>
            <w:tcBorders>
              <w:top w:val="nil" w:sz="6" w:space="0" w:color="auto"/>
              <w:left w:val="nil" w:sz="6" w:space="0" w:color="auto"/>
              <w:bottom w:val="nil" w:sz="6" w:space="0" w:color="auto"/>
              <w:right w:val="nil" w:sz="6" w:space="0" w:color="auto"/>
            </w:tcBorders>
          </w:tcPr>
          <w:p>
            <w:pPr>
              <w:pStyle w:val="TableParagraph"/>
              <w:spacing w:line="137" w:lineRule="exact"/>
              <w:ind w:left="136" w:right="0"/>
              <w:jc w:val="left"/>
              <w:rPr>
                <w:rFonts w:ascii="宋体" w:hAnsi="宋体" w:cs="宋体" w:eastAsia="宋体" w:hint="default"/>
                <w:sz w:val="13"/>
                <w:szCs w:val="13"/>
              </w:rPr>
            </w:pPr>
            <w:r>
              <w:rPr>
                <w:rFonts w:ascii="宋体" w:hAnsi="宋体" w:cs="宋体" w:eastAsia="宋体" w:hint="default"/>
                <w:sz w:val="13"/>
                <w:szCs w:val="13"/>
              </w:rPr>
              <w:t>注册地</w:t>
            </w:r>
          </w:p>
        </w:tc>
        <w:tc>
          <w:tcPr>
            <w:tcW w:w="846" w:type="dxa"/>
            <w:tcBorders>
              <w:top w:val="nil" w:sz="6" w:space="0" w:color="auto"/>
              <w:left w:val="nil" w:sz="6" w:space="0" w:color="auto"/>
              <w:bottom w:val="nil" w:sz="6" w:space="0" w:color="auto"/>
              <w:right w:val="nil" w:sz="6" w:space="0" w:color="auto"/>
            </w:tcBorders>
          </w:tcPr>
          <w:p>
            <w:pPr>
              <w:pStyle w:val="TableParagraph"/>
              <w:spacing w:line="137" w:lineRule="exact"/>
              <w:ind w:left="166" w:right="0"/>
              <w:jc w:val="left"/>
              <w:rPr>
                <w:rFonts w:ascii="宋体" w:hAnsi="宋体" w:cs="宋体" w:eastAsia="宋体" w:hint="default"/>
                <w:sz w:val="13"/>
                <w:szCs w:val="13"/>
              </w:rPr>
            </w:pPr>
            <w:r>
              <w:rPr>
                <w:rFonts w:ascii="宋体" w:hAnsi="宋体" w:cs="宋体" w:eastAsia="宋体" w:hint="default"/>
                <w:sz w:val="13"/>
                <w:szCs w:val="13"/>
              </w:rPr>
              <w:t>企业性质</w:t>
            </w:r>
          </w:p>
        </w:tc>
        <w:tc>
          <w:tcPr>
            <w:tcW w:w="855" w:type="dxa"/>
            <w:tcBorders>
              <w:top w:val="nil" w:sz="6" w:space="0" w:color="auto"/>
              <w:left w:val="nil" w:sz="6" w:space="0" w:color="auto"/>
              <w:bottom w:val="nil" w:sz="6" w:space="0" w:color="auto"/>
              <w:right w:val="nil" w:sz="6" w:space="0" w:color="auto"/>
            </w:tcBorders>
          </w:tcPr>
          <w:p>
            <w:pPr>
              <w:pStyle w:val="TableParagraph"/>
              <w:spacing w:line="137" w:lineRule="exact"/>
              <w:ind w:right="173"/>
              <w:jc w:val="right"/>
              <w:rPr>
                <w:rFonts w:ascii="宋体" w:hAnsi="宋体" w:cs="宋体" w:eastAsia="宋体" w:hint="default"/>
                <w:sz w:val="13"/>
                <w:szCs w:val="13"/>
              </w:rPr>
            </w:pPr>
            <w:r>
              <w:rPr>
                <w:rFonts w:ascii="宋体" w:hAnsi="宋体" w:cs="宋体" w:eastAsia="宋体" w:hint="default"/>
                <w:w w:val="95"/>
                <w:sz w:val="13"/>
                <w:szCs w:val="13"/>
              </w:rPr>
              <w:t>注册资本</w:t>
            </w:r>
            <w:r>
              <w:rPr>
                <w:rFonts w:ascii="宋体" w:hAnsi="宋体" w:cs="宋体" w:eastAsia="宋体" w:hint="default"/>
                <w:sz w:val="13"/>
                <w:szCs w:val="13"/>
              </w:rPr>
            </w:r>
          </w:p>
        </w:tc>
        <w:tc>
          <w:tcPr>
            <w:tcW w:w="1411" w:type="dxa"/>
            <w:tcBorders>
              <w:top w:val="nil" w:sz="6" w:space="0" w:color="auto"/>
              <w:left w:val="nil" w:sz="6" w:space="0" w:color="auto"/>
              <w:bottom w:val="nil" w:sz="6" w:space="0" w:color="auto"/>
              <w:right w:val="nil" w:sz="6" w:space="0" w:color="auto"/>
            </w:tcBorders>
          </w:tcPr>
          <w:p>
            <w:pPr>
              <w:pStyle w:val="TableParagraph"/>
              <w:spacing w:line="137" w:lineRule="exact"/>
              <w:ind w:left="458" w:right="0"/>
              <w:jc w:val="left"/>
              <w:rPr>
                <w:rFonts w:ascii="宋体" w:hAnsi="宋体" w:cs="宋体" w:eastAsia="宋体" w:hint="default"/>
                <w:sz w:val="13"/>
                <w:szCs w:val="13"/>
              </w:rPr>
            </w:pPr>
            <w:r>
              <w:rPr>
                <w:rFonts w:ascii="宋体" w:hAnsi="宋体" w:cs="宋体" w:eastAsia="宋体" w:hint="default"/>
                <w:sz w:val="13"/>
                <w:szCs w:val="13"/>
              </w:rPr>
              <w:t>经营范围</w:t>
            </w:r>
          </w:p>
        </w:tc>
        <w:tc>
          <w:tcPr>
            <w:tcW w:w="868" w:type="dxa"/>
            <w:tcBorders>
              <w:top w:val="nil" w:sz="6" w:space="0" w:color="auto"/>
              <w:left w:val="nil" w:sz="6" w:space="0" w:color="auto"/>
              <w:bottom w:val="nil" w:sz="6" w:space="0" w:color="auto"/>
              <w:right w:val="nil" w:sz="6" w:space="0" w:color="auto"/>
            </w:tcBorders>
          </w:tcPr>
          <w:p>
            <w:pPr/>
          </w:p>
        </w:tc>
        <w:tc>
          <w:tcPr>
            <w:tcW w:w="1059" w:type="dxa"/>
            <w:tcBorders>
              <w:top w:val="nil" w:sz="6" w:space="0" w:color="auto"/>
              <w:left w:val="nil" w:sz="6" w:space="0" w:color="auto"/>
              <w:bottom w:val="nil" w:sz="6" w:space="0" w:color="auto"/>
              <w:right w:val="nil" w:sz="6" w:space="0" w:color="auto"/>
            </w:tcBorders>
          </w:tcPr>
          <w:p>
            <w:pPr>
              <w:pStyle w:val="TableParagraph"/>
              <w:spacing w:line="137" w:lineRule="exact"/>
              <w:ind w:left="16" w:right="0"/>
              <w:jc w:val="center"/>
              <w:rPr>
                <w:rFonts w:ascii="宋体" w:hAnsi="宋体" w:cs="宋体" w:eastAsia="宋体" w:hint="default"/>
                <w:sz w:val="13"/>
                <w:szCs w:val="13"/>
              </w:rPr>
            </w:pPr>
            <w:r>
              <w:rPr>
                <w:rFonts w:ascii="宋体" w:hAnsi="宋体" w:cs="宋体" w:eastAsia="宋体" w:hint="default"/>
                <w:sz w:val="13"/>
                <w:szCs w:val="13"/>
              </w:rPr>
              <w:t>公司净投资的其</w:t>
            </w:r>
          </w:p>
        </w:tc>
        <w:tc>
          <w:tcPr>
            <w:tcW w:w="540" w:type="dxa"/>
            <w:tcBorders>
              <w:top w:val="nil" w:sz="6" w:space="0" w:color="auto"/>
              <w:left w:val="nil" w:sz="6" w:space="0" w:color="auto"/>
              <w:bottom w:val="nil" w:sz="6" w:space="0" w:color="auto"/>
              <w:right w:val="nil" w:sz="6" w:space="0" w:color="auto"/>
            </w:tcBorders>
          </w:tcPr>
          <w:p>
            <w:pPr/>
          </w:p>
        </w:tc>
        <w:tc>
          <w:tcPr>
            <w:tcW w:w="614" w:type="dxa"/>
            <w:tcBorders>
              <w:top w:val="nil" w:sz="6" w:space="0" w:color="auto"/>
              <w:left w:val="nil" w:sz="6" w:space="0" w:color="auto"/>
              <w:bottom w:val="nil" w:sz="6" w:space="0" w:color="auto"/>
              <w:right w:val="nil" w:sz="6" w:space="0" w:color="auto"/>
            </w:tcBorders>
          </w:tcPr>
          <w:p>
            <w:pPr/>
          </w:p>
        </w:tc>
        <w:tc>
          <w:tcPr>
            <w:tcW w:w="545" w:type="dxa"/>
            <w:tcBorders>
              <w:top w:val="nil" w:sz="6" w:space="0" w:color="auto"/>
              <w:left w:val="nil" w:sz="6" w:space="0" w:color="auto"/>
              <w:bottom w:val="nil" w:sz="6" w:space="0" w:color="auto"/>
              <w:right w:val="nil" w:sz="6" w:space="0" w:color="auto"/>
            </w:tcBorders>
          </w:tcPr>
          <w:p>
            <w:pPr/>
          </w:p>
        </w:tc>
        <w:tc>
          <w:tcPr>
            <w:tcW w:w="673" w:type="dxa"/>
            <w:tcBorders>
              <w:top w:val="nil" w:sz="6" w:space="0" w:color="auto"/>
              <w:left w:val="nil" w:sz="6" w:space="0" w:color="auto"/>
              <w:bottom w:val="nil" w:sz="6" w:space="0" w:color="auto"/>
              <w:right w:val="nil" w:sz="6" w:space="0" w:color="auto"/>
            </w:tcBorders>
          </w:tcPr>
          <w:p>
            <w:pPr/>
          </w:p>
        </w:tc>
        <w:tc>
          <w:tcPr>
            <w:tcW w:w="1189" w:type="dxa"/>
            <w:tcBorders>
              <w:top w:val="nil" w:sz="6" w:space="0" w:color="auto"/>
              <w:left w:val="nil" w:sz="6" w:space="0" w:color="auto"/>
              <w:bottom w:val="nil" w:sz="6" w:space="0" w:color="auto"/>
              <w:right w:val="nil" w:sz="6" w:space="0" w:color="auto"/>
            </w:tcBorders>
          </w:tcPr>
          <w:p>
            <w:pPr>
              <w:pStyle w:val="TableParagraph"/>
              <w:spacing w:line="137" w:lineRule="exact"/>
              <w:ind w:left="1" w:right="0"/>
              <w:jc w:val="center"/>
              <w:rPr>
                <w:rFonts w:ascii="宋体" w:hAnsi="宋体" w:cs="宋体" w:eastAsia="宋体" w:hint="default"/>
                <w:sz w:val="13"/>
                <w:szCs w:val="13"/>
              </w:rPr>
            </w:pPr>
            <w:r>
              <w:rPr>
                <w:rFonts w:ascii="宋体" w:hAnsi="宋体" w:cs="宋体" w:eastAsia="宋体" w:hint="default"/>
                <w:sz w:val="13"/>
                <w:szCs w:val="13"/>
              </w:rPr>
              <w:t>于冲减少数股东损</w:t>
            </w:r>
          </w:p>
        </w:tc>
        <w:tc>
          <w:tcPr>
            <w:tcW w:w="2058" w:type="dxa"/>
            <w:tcBorders>
              <w:top w:val="nil" w:sz="6" w:space="0" w:color="auto"/>
              <w:left w:val="nil" w:sz="6" w:space="0" w:color="auto"/>
              <w:bottom w:val="nil" w:sz="6" w:space="0" w:color="auto"/>
              <w:right w:val="nil" w:sz="6" w:space="0" w:color="auto"/>
            </w:tcBorders>
          </w:tcPr>
          <w:p>
            <w:pPr/>
          </w:p>
        </w:tc>
      </w:tr>
      <w:tr>
        <w:trPr>
          <w:trHeight w:val="149" w:hRule="exact"/>
        </w:trPr>
        <w:tc>
          <w:tcPr>
            <w:tcW w:w="1476" w:type="dxa"/>
            <w:tcBorders>
              <w:top w:val="nil" w:sz="6" w:space="0" w:color="auto"/>
              <w:left w:val="nil" w:sz="6" w:space="0" w:color="auto"/>
              <w:bottom w:val="nil" w:sz="6" w:space="0" w:color="auto"/>
              <w:right w:val="nil" w:sz="6" w:space="0" w:color="auto"/>
            </w:tcBorders>
          </w:tcPr>
          <w:p>
            <w:pPr/>
          </w:p>
        </w:tc>
        <w:tc>
          <w:tcPr>
            <w:tcW w:w="545" w:type="dxa"/>
            <w:tcBorders>
              <w:top w:val="nil" w:sz="6" w:space="0" w:color="auto"/>
              <w:left w:val="nil" w:sz="6" w:space="0" w:color="auto"/>
              <w:bottom w:val="nil" w:sz="6" w:space="0" w:color="auto"/>
              <w:right w:val="nil" w:sz="6" w:space="0" w:color="auto"/>
            </w:tcBorders>
          </w:tcPr>
          <w:p>
            <w:pPr>
              <w:pStyle w:val="TableParagraph"/>
              <w:spacing w:line="137" w:lineRule="exact"/>
              <w:ind w:right="32"/>
              <w:jc w:val="center"/>
              <w:rPr>
                <w:rFonts w:ascii="宋体" w:hAnsi="宋体" w:cs="宋体" w:eastAsia="宋体" w:hint="default"/>
                <w:sz w:val="13"/>
                <w:szCs w:val="13"/>
              </w:rPr>
            </w:pPr>
            <w:r>
              <w:rPr>
                <w:rFonts w:ascii="宋体" w:hAnsi="宋体" w:cs="宋体" w:eastAsia="宋体" w:hint="default"/>
                <w:sz w:val="13"/>
                <w:szCs w:val="13"/>
              </w:rPr>
              <w:t>类型</w:t>
            </w:r>
          </w:p>
        </w:tc>
        <w:tc>
          <w:tcPr>
            <w:tcW w:w="65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855" w:type="dxa"/>
            <w:tcBorders>
              <w:top w:val="nil" w:sz="6" w:space="0" w:color="auto"/>
              <w:left w:val="nil" w:sz="6" w:space="0" w:color="auto"/>
              <w:bottom w:val="nil" w:sz="6" w:space="0" w:color="auto"/>
              <w:right w:val="nil" w:sz="6" w:space="0" w:color="auto"/>
            </w:tcBorders>
          </w:tcPr>
          <w:p>
            <w:pPr/>
          </w:p>
        </w:tc>
        <w:tc>
          <w:tcPr>
            <w:tcW w:w="1411"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Style w:val="TableParagraph"/>
              <w:spacing w:line="137" w:lineRule="exact"/>
              <w:ind w:left="328" w:right="0"/>
              <w:jc w:val="left"/>
              <w:rPr>
                <w:rFonts w:ascii="宋体" w:hAnsi="宋体" w:cs="宋体" w:eastAsia="宋体" w:hint="default"/>
                <w:sz w:val="13"/>
                <w:szCs w:val="13"/>
              </w:rPr>
            </w:pPr>
            <w:r>
              <w:rPr>
                <w:rFonts w:ascii="宋体" w:hAnsi="宋体" w:cs="宋体" w:eastAsia="宋体" w:hint="default"/>
                <w:sz w:val="13"/>
                <w:szCs w:val="13"/>
              </w:rPr>
              <w:t>资额</w:t>
            </w:r>
          </w:p>
        </w:tc>
        <w:tc>
          <w:tcPr>
            <w:tcW w:w="1059"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Style w:val="TableParagraph"/>
              <w:spacing w:line="147" w:lineRule="exact"/>
              <w:ind w:left="100" w:right="0"/>
              <w:jc w:val="left"/>
              <w:rPr>
                <w:rFonts w:ascii="Times New Roman" w:hAnsi="Times New Roman" w:cs="Times New Roman" w:eastAsia="Times New Roman" w:hint="default"/>
                <w:sz w:val="13"/>
                <w:szCs w:val="13"/>
              </w:rPr>
            </w:pPr>
            <w:r>
              <w:rPr>
                <w:rFonts w:ascii="宋体" w:hAnsi="宋体" w:cs="宋体" w:eastAsia="宋体" w:hint="default"/>
                <w:sz w:val="13"/>
                <w:szCs w:val="13"/>
              </w:rPr>
              <w:t>例</w:t>
            </w:r>
            <w:r>
              <w:rPr>
                <w:rFonts w:ascii="Times New Roman" w:hAnsi="Times New Roman" w:cs="Times New Roman" w:eastAsia="Times New Roman" w:hint="default"/>
                <w:sz w:val="13"/>
                <w:szCs w:val="13"/>
              </w:rPr>
              <w:t>(%)</w:t>
            </w:r>
          </w:p>
        </w:tc>
        <w:tc>
          <w:tcPr>
            <w:tcW w:w="614" w:type="dxa"/>
            <w:tcBorders>
              <w:top w:val="nil" w:sz="6" w:space="0" w:color="auto"/>
              <w:left w:val="nil" w:sz="6" w:space="0" w:color="auto"/>
              <w:bottom w:val="nil" w:sz="6" w:space="0" w:color="auto"/>
              <w:right w:val="nil" w:sz="6" w:space="0" w:color="auto"/>
            </w:tcBorders>
          </w:tcPr>
          <w:p>
            <w:pPr>
              <w:pStyle w:val="TableParagraph"/>
              <w:spacing w:line="147" w:lineRule="exact"/>
              <w:ind w:left="7" w:right="0"/>
              <w:jc w:val="center"/>
              <w:rPr>
                <w:rFonts w:ascii="Times New Roman" w:hAnsi="Times New Roman" w:cs="Times New Roman" w:eastAsia="Times New Roman" w:hint="default"/>
                <w:sz w:val="13"/>
                <w:szCs w:val="13"/>
              </w:rPr>
            </w:pPr>
            <w:r>
              <w:rPr>
                <w:rFonts w:ascii="宋体" w:hAnsi="宋体" w:cs="宋体" w:eastAsia="宋体" w:hint="default"/>
                <w:sz w:val="13"/>
                <w:szCs w:val="13"/>
              </w:rPr>
              <w:t>比例</w:t>
            </w:r>
            <w:r>
              <w:rPr>
                <w:rFonts w:ascii="Times New Roman" w:hAnsi="Times New Roman" w:cs="Times New Roman" w:eastAsia="Times New Roman" w:hint="default"/>
                <w:sz w:val="13"/>
                <w:szCs w:val="13"/>
              </w:rPr>
              <w:t>(%)</w:t>
            </w:r>
          </w:p>
        </w:tc>
        <w:tc>
          <w:tcPr>
            <w:tcW w:w="545" w:type="dxa"/>
            <w:tcBorders>
              <w:top w:val="nil" w:sz="6" w:space="0" w:color="auto"/>
              <w:left w:val="nil" w:sz="6" w:space="0" w:color="auto"/>
              <w:bottom w:val="nil" w:sz="6" w:space="0" w:color="auto"/>
              <w:right w:val="nil" w:sz="6" w:space="0" w:color="auto"/>
            </w:tcBorders>
          </w:tcPr>
          <w:p>
            <w:pPr>
              <w:pStyle w:val="TableParagraph"/>
              <w:spacing w:line="137" w:lineRule="exact"/>
              <w:ind w:right="1"/>
              <w:jc w:val="center"/>
              <w:rPr>
                <w:rFonts w:ascii="宋体" w:hAnsi="宋体" w:cs="宋体" w:eastAsia="宋体" w:hint="default"/>
                <w:sz w:val="13"/>
                <w:szCs w:val="13"/>
              </w:rPr>
            </w:pPr>
            <w:r>
              <w:rPr>
                <w:rFonts w:ascii="宋体" w:hAnsi="宋体" w:cs="宋体" w:eastAsia="宋体" w:hint="default"/>
                <w:sz w:val="13"/>
                <w:szCs w:val="13"/>
              </w:rPr>
              <w:t>并报表</w:t>
            </w:r>
          </w:p>
        </w:tc>
        <w:tc>
          <w:tcPr>
            <w:tcW w:w="673" w:type="dxa"/>
            <w:tcBorders>
              <w:top w:val="nil" w:sz="6" w:space="0" w:color="auto"/>
              <w:left w:val="nil" w:sz="6" w:space="0" w:color="auto"/>
              <w:bottom w:val="nil" w:sz="6" w:space="0" w:color="auto"/>
              <w:right w:val="nil" w:sz="6" w:space="0" w:color="auto"/>
            </w:tcBorders>
          </w:tcPr>
          <w:p>
            <w:pPr>
              <w:pStyle w:val="TableParagraph"/>
              <w:spacing w:line="137" w:lineRule="exact"/>
              <w:ind w:left="6" w:right="0"/>
              <w:jc w:val="center"/>
              <w:rPr>
                <w:rFonts w:ascii="宋体" w:hAnsi="宋体" w:cs="宋体" w:eastAsia="宋体" w:hint="default"/>
                <w:sz w:val="13"/>
                <w:szCs w:val="13"/>
              </w:rPr>
            </w:pPr>
            <w:r>
              <w:rPr>
                <w:rFonts w:ascii="宋体" w:hAnsi="宋体" w:cs="宋体" w:eastAsia="宋体" w:hint="default"/>
                <w:sz w:val="13"/>
                <w:szCs w:val="13"/>
              </w:rPr>
              <w:t>权益</w:t>
            </w:r>
          </w:p>
        </w:tc>
        <w:tc>
          <w:tcPr>
            <w:tcW w:w="1189" w:type="dxa"/>
            <w:tcBorders>
              <w:top w:val="nil" w:sz="6" w:space="0" w:color="auto"/>
              <w:left w:val="nil" w:sz="6" w:space="0" w:color="auto"/>
              <w:bottom w:val="nil" w:sz="6" w:space="0" w:color="auto"/>
              <w:right w:val="nil" w:sz="6" w:space="0" w:color="auto"/>
            </w:tcBorders>
          </w:tcPr>
          <w:p>
            <w:pPr/>
          </w:p>
        </w:tc>
        <w:tc>
          <w:tcPr>
            <w:tcW w:w="2058" w:type="dxa"/>
            <w:tcBorders>
              <w:top w:val="nil" w:sz="6" w:space="0" w:color="auto"/>
              <w:left w:val="nil" w:sz="6" w:space="0" w:color="auto"/>
              <w:bottom w:val="nil" w:sz="6" w:space="0" w:color="auto"/>
              <w:right w:val="nil" w:sz="6" w:space="0" w:color="auto"/>
            </w:tcBorders>
          </w:tcPr>
          <w:p>
            <w:pPr>
              <w:pStyle w:val="TableParagraph"/>
              <w:spacing w:line="139" w:lineRule="exact"/>
              <w:ind w:left="38" w:right="0"/>
              <w:jc w:val="center"/>
              <w:rPr>
                <w:rFonts w:ascii="宋体" w:hAnsi="宋体" w:cs="宋体" w:eastAsia="宋体" w:hint="default"/>
                <w:sz w:val="13"/>
                <w:szCs w:val="13"/>
              </w:rPr>
            </w:pPr>
            <w:r>
              <w:rPr>
                <w:rFonts w:ascii="宋体" w:hAnsi="宋体" w:cs="宋体" w:eastAsia="宋体" w:hint="default"/>
                <w:sz w:val="13"/>
                <w:szCs w:val="13"/>
              </w:rPr>
              <w:t>东在该子公司期初所有者权益中所</w:t>
            </w:r>
          </w:p>
        </w:tc>
      </w:tr>
      <w:tr>
        <w:trPr>
          <w:trHeight w:val="142" w:hRule="exact"/>
        </w:trPr>
        <w:tc>
          <w:tcPr>
            <w:tcW w:w="1476" w:type="dxa"/>
            <w:tcBorders>
              <w:top w:val="nil" w:sz="6" w:space="0" w:color="auto"/>
              <w:left w:val="nil" w:sz="6" w:space="0" w:color="auto"/>
              <w:bottom w:val="nil" w:sz="6" w:space="0" w:color="auto"/>
              <w:right w:val="nil" w:sz="6" w:space="0" w:color="auto"/>
            </w:tcBorders>
          </w:tcPr>
          <w:p>
            <w:pPr/>
          </w:p>
        </w:tc>
        <w:tc>
          <w:tcPr>
            <w:tcW w:w="545" w:type="dxa"/>
            <w:tcBorders>
              <w:top w:val="nil" w:sz="6" w:space="0" w:color="auto"/>
              <w:left w:val="nil" w:sz="6" w:space="0" w:color="auto"/>
              <w:bottom w:val="nil" w:sz="6" w:space="0" w:color="auto"/>
              <w:right w:val="nil" w:sz="6" w:space="0" w:color="auto"/>
            </w:tcBorders>
          </w:tcPr>
          <w:p>
            <w:pPr/>
          </w:p>
        </w:tc>
        <w:tc>
          <w:tcPr>
            <w:tcW w:w="65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855" w:type="dxa"/>
            <w:tcBorders>
              <w:top w:val="nil" w:sz="6" w:space="0" w:color="auto"/>
              <w:left w:val="nil" w:sz="6" w:space="0" w:color="auto"/>
              <w:bottom w:val="nil" w:sz="6" w:space="0" w:color="auto"/>
              <w:right w:val="nil" w:sz="6" w:space="0" w:color="auto"/>
            </w:tcBorders>
          </w:tcPr>
          <w:p>
            <w:pPr/>
          </w:p>
        </w:tc>
        <w:tc>
          <w:tcPr>
            <w:tcW w:w="1411"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059" w:type="dxa"/>
            <w:tcBorders>
              <w:top w:val="nil" w:sz="6" w:space="0" w:color="auto"/>
              <w:left w:val="nil" w:sz="6" w:space="0" w:color="auto"/>
              <w:bottom w:val="nil" w:sz="6" w:space="0" w:color="auto"/>
              <w:right w:val="nil" w:sz="6" w:space="0" w:color="auto"/>
            </w:tcBorders>
          </w:tcPr>
          <w:p>
            <w:pPr>
              <w:pStyle w:val="TableParagraph"/>
              <w:spacing w:line="134" w:lineRule="exact"/>
              <w:ind w:left="16" w:right="0"/>
              <w:jc w:val="center"/>
              <w:rPr>
                <w:rFonts w:ascii="宋体" w:hAnsi="宋体" w:cs="宋体" w:eastAsia="宋体" w:hint="default"/>
                <w:sz w:val="13"/>
                <w:szCs w:val="13"/>
              </w:rPr>
            </w:pPr>
            <w:r>
              <w:rPr>
                <w:rFonts w:ascii="宋体" w:hAnsi="宋体" w:cs="宋体" w:eastAsia="宋体" w:hint="default"/>
                <w:sz w:val="13"/>
                <w:szCs w:val="13"/>
              </w:rPr>
              <w:t>他项目余额</w:t>
            </w:r>
          </w:p>
        </w:tc>
        <w:tc>
          <w:tcPr>
            <w:tcW w:w="540" w:type="dxa"/>
            <w:tcBorders>
              <w:top w:val="nil" w:sz="6" w:space="0" w:color="auto"/>
              <w:left w:val="nil" w:sz="6" w:space="0" w:color="auto"/>
              <w:bottom w:val="nil" w:sz="6" w:space="0" w:color="auto"/>
              <w:right w:val="nil" w:sz="6" w:space="0" w:color="auto"/>
            </w:tcBorders>
          </w:tcPr>
          <w:p>
            <w:pPr/>
          </w:p>
        </w:tc>
        <w:tc>
          <w:tcPr>
            <w:tcW w:w="614" w:type="dxa"/>
            <w:tcBorders>
              <w:top w:val="nil" w:sz="6" w:space="0" w:color="auto"/>
              <w:left w:val="nil" w:sz="6" w:space="0" w:color="auto"/>
              <w:bottom w:val="nil" w:sz="6" w:space="0" w:color="auto"/>
              <w:right w:val="nil" w:sz="6" w:space="0" w:color="auto"/>
            </w:tcBorders>
          </w:tcPr>
          <w:p>
            <w:pPr/>
          </w:p>
        </w:tc>
        <w:tc>
          <w:tcPr>
            <w:tcW w:w="545" w:type="dxa"/>
            <w:tcBorders>
              <w:top w:val="nil" w:sz="6" w:space="0" w:color="auto"/>
              <w:left w:val="nil" w:sz="6" w:space="0" w:color="auto"/>
              <w:bottom w:val="nil" w:sz="6" w:space="0" w:color="auto"/>
              <w:right w:val="nil" w:sz="6" w:space="0" w:color="auto"/>
            </w:tcBorders>
          </w:tcPr>
          <w:p>
            <w:pPr/>
          </w:p>
        </w:tc>
        <w:tc>
          <w:tcPr>
            <w:tcW w:w="673" w:type="dxa"/>
            <w:tcBorders>
              <w:top w:val="nil" w:sz="6" w:space="0" w:color="auto"/>
              <w:left w:val="nil" w:sz="6" w:space="0" w:color="auto"/>
              <w:bottom w:val="nil" w:sz="6" w:space="0" w:color="auto"/>
              <w:right w:val="nil" w:sz="6" w:space="0" w:color="auto"/>
            </w:tcBorders>
          </w:tcPr>
          <w:p>
            <w:pPr/>
          </w:p>
        </w:tc>
        <w:tc>
          <w:tcPr>
            <w:tcW w:w="1189" w:type="dxa"/>
            <w:tcBorders>
              <w:top w:val="nil" w:sz="6" w:space="0" w:color="auto"/>
              <w:left w:val="nil" w:sz="6" w:space="0" w:color="auto"/>
              <w:bottom w:val="nil" w:sz="6" w:space="0" w:color="auto"/>
              <w:right w:val="nil" w:sz="6" w:space="0" w:color="auto"/>
            </w:tcBorders>
          </w:tcPr>
          <w:p>
            <w:pPr>
              <w:pStyle w:val="TableParagraph"/>
              <w:spacing w:line="134" w:lineRule="exact"/>
              <w:ind w:left="4" w:right="0"/>
              <w:jc w:val="center"/>
              <w:rPr>
                <w:rFonts w:ascii="宋体" w:hAnsi="宋体" w:cs="宋体" w:eastAsia="宋体" w:hint="default"/>
                <w:sz w:val="13"/>
                <w:szCs w:val="13"/>
              </w:rPr>
            </w:pPr>
            <w:r>
              <w:rPr>
                <w:rFonts w:ascii="宋体" w:hAnsi="宋体" w:cs="宋体" w:eastAsia="宋体" w:hint="default"/>
                <w:sz w:val="13"/>
                <w:szCs w:val="13"/>
              </w:rPr>
              <w:t>益的金额</w:t>
            </w:r>
          </w:p>
        </w:tc>
        <w:tc>
          <w:tcPr>
            <w:tcW w:w="2058" w:type="dxa"/>
            <w:tcBorders>
              <w:top w:val="nil" w:sz="6" w:space="0" w:color="auto"/>
              <w:left w:val="nil" w:sz="6" w:space="0" w:color="auto"/>
              <w:bottom w:val="nil" w:sz="6" w:space="0" w:color="auto"/>
              <w:right w:val="nil" w:sz="6" w:space="0" w:color="auto"/>
            </w:tcBorders>
          </w:tcPr>
          <w:p>
            <w:pPr/>
          </w:p>
        </w:tc>
      </w:tr>
      <w:tr>
        <w:trPr>
          <w:trHeight w:val="228" w:hRule="exact"/>
        </w:trPr>
        <w:tc>
          <w:tcPr>
            <w:tcW w:w="1476" w:type="dxa"/>
            <w:tcBorders>
              <w:top w:val="nil" w:sz="6" w:space="0" w:color="auto"/>
              <w:left w:val="nil" w:sz="6" w:space="0" w:color="auto"/>
              <w:bottom w:val="nil" w:sz="6" w:space="0" w:color="auto"/>
              <w:right w:val="nil" w:sz="6" w:space="0" w:color="auto"/>
            </w:tcBorders>
          </w:tcPr>
          <w:p>
            <w:pPr/>
          </w:p>
        </w:tc>
        <w:tc>
          <w:tcPr>
            <w:tcW w:w="545" w:type="dxa"/>
            <w:tcBorders>
              <w:top w:val="nil" w:sz="6" w:space="0" w:color="auto"/>
              <w:left w:val="nil" w:sz="6" w:space="0" w:color="auto"/>
              <w:bottom w:val="nil" w:sz="6" w:space="0" w:color="auto"/>
              <w:right w:val="nil" w:sz="6" w:space="0" w:color="auto"/>
            </w:tcBorders>
          </w:tcPr>
          <w:p>
            <w:pPr/>
          </w:p>
        </w:tc>
        <w:tc>
          <w:tcPr>
            <w:tcW w:w="65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855" w:type="dxa"/>
            <w:tcBorders>
              <w:top w:val="nil" w:sz="6" w:space="0" w:color="auto"/>
              <w:left w:val="nil" w:sz="6" w:space="0" w:color="auto"/>
              <w:bottom w:val="nil" w:sz="6" w:space="0" w:color="auto"/>
              <w:right w:val="nil" w:sz="6" w:space="0" w:color="auto"/>
            </w:tcBorders>
          </w:tcPr>
          <w:p>
            <w:pPr/>
          </w:p>
        </w:tc>
        <w:tc>
          <w:tcPr>
            <w:tcW w:w="1411"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059"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614" w:type="dxa"/>
            <w:tcBorders>
              <w:top w:val="nil" w:sz="6" w:space="0" w:color="auto"/>
              <w:left w:val="nil" w:sz="6" w:space="0" w:color="auto"/>
              <w:bottom w:val="nil" w:sz="6" w:space="0" w:color="auto"/>
              <w:right w:val="nil" w:sz="6" w:space="0" w:color="auto"/>
            </w:tcBorders>
          </w:tcPr>
          <w:p>
            <w:pPr/>
          </w:p>
        </w:tc>
        <w:tc>
          <w:tcPr>
            <w:tcW w:w="545" w:type="dxa"/>
            <w:tcBorders>
              <w:top w:val="nil" w:sz="6" w:space="0" w:color="auto"/>
              <w:left w:val="nil" w:sz="6" w:space="0" w:color="auto"/>
              <w:bottom w:val="nil" w:sz="6" w:space="0" w:color="auto"/>
              <w:right w:val="nil" w:sz="6" w:space="0" w:color="auto"/>
            </w:tcBorders>
          </w:tcPr>
          <w:p>
            <w:pPr/>
          </w:p>
        </w:tc>
        <w:tc>
          <w:tcPr>
            <w:tcW w:w="673" w:type="dxa"/>
            <w:tcBorders>
              <w:top w:val="nil" w:sz="6" w:space="0" w:color="auto"/>
              <w:left w:val="nil" w:sz="6" w:space="0" w:color="auto"/>
              <w:bottom w:val="nil" w:sz="6" w:space="0" w:color="auto"/>
              <w:right w:val="nil" w:sz="6" w:space="0" w:color="auto"/>
            </w:tcBorders>
          </w:tcPr>
          <w:p>
            <w:pPr/>
          </w:p>
        </w:tc>
        <w:tc>
          <w:tcPr>
            <w:tcW w:w="1189" w:type="dxa"/>
            <w:tcBorders>
              <w:top w:val="nil" w:sz="6" w:space="0" w:color="auto"/>
              <w:left w:val="nil" w:sz="6" w:space="0" w:color="auto"/>
              <w:bottom w:val="nil" w:sz="6" w:space="0" w:color="auto"/>
              <w:right w:val="nil" w:sz="6" w:space="0" w:color="auto"/>
            </w:tcBorders>
          </w:tcPr>
          <w:p>
            <w:pPr/>
          </w:p>
        </w:tc>
        <w:tc>
          <w:tcPr>
            <w:tcW w:w="2058" w:type="dxa"/>
            <w:tcBorders>
              <w:top w:val="nil" w:sz="6" w:space="0" w:color="auto"/>
              <w:left w:val="nil" w:sz="6" w:space="0" w:color="auto"/>
              <w:bottom w:val="nil" w:sz="6" w:space="0" w:color="auto"/>
              <w:right w:val="nil" w:sz="6" w:space="0" w:color="auto"/>
            </w:tcBorders>
          </w:tcPr>
          <w:p>
            <w:pPr>
              <w:pStyle w:val="TableParagraph"/>
              <w:spacing w:line="137" w:lineRule="exact"/>
              <w:ind w:left="38" w:right="0"/>
              <w:jc w:val="center"/>
              <w:rPr>
                <w:rFonts w:ascii="宋体" w:hAnsi="宋体" w:cs="宋体" w:eastAsia="宋体" w:hint="default"/>
                <w:sz w:val="13"/>
                <w:szCs w:val="13"/>
              </w:rPr>
            </w:pPr>
            <w:r>
              <w:rPr>
                <w:rFonts w:ascii="宋体" w:hAnsi="宋体" w:cs="宋体" w:eastAsia="宋体" w:hint="default"/>
                <w:sz w:val="13"/>
                <w:szCs w:val="13"/>
              </w:rPr>
              <w:t>享有份额后的余额</w:t>
            </w:r>
          </w:p>
        </w:tc>
      </w:tr>
      <w:tr>
        <w:trPr>
          <w:trHeight w:val="230"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0" w:right="0"/>
              <w:jc w:val="left"/>
              <w:rPr>
                <w:rFonts w:ascii="宋体" w:hAnsi="宋体" w:cs="宋体" w:eastAsia="宋体" w:hint="default"/>
                <w:sz w:val="13"/>
                <w:szCs w:val="13"/>
              </w:rPr>
            </w:pPr>
            <w:r>
              <w:rPr>
                <w:rFonts w:ascii="宋体" w:hAnsi="宋体" w:cs="宋体" w:eastAsia="宋体" w:hint="default"/>
                <w:sz w:val="13"/>
                <w:szCs w:val="13"/>
              </w:rPr>
              <w:t>北京东软越通软件技</w:t>
            </w:r>
          </w:p>
        </w:tc>
        <w:tc>
          <w:tcPr>
            <w:tcW w:w="545" w:type="dxa"/>
            <w:tcBorders>
              <w:top w:val="nil" w:sz="6" w:space="0" w:color="auto"/>
              <w:left w:val="nil" w:sz="6" w:space="0" w:color="auto"/>
              <w:bottom w:val="nil" w:sz="6" w:space="0" w:color="auto"/>
              <w:right w:val="nil" w:sz="6" w:space="0" w:color="auto"/>
            </w:tcBorders>
          </w:tcPr>
          <w:p>
            <w:pPr/>
          </w:p>
        </w:tc>
        <w:tc>
          <w:tcPr>
            <w:tcW w:w="65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9"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55" w:type="dxa"/>
            <w:tcBorders>
              <w:top w:val="nil" w:sz="6" w:space="0" w:color="auto"/>
              <w:left w:val="nil" w:sz="6" w:space="0" w:color="auto"/>
              <w:bottom w:val="nil" w:sz="6" w:space="0" w:color="auto"/>
              <w:right w:val="nil" w:sz="6" w:space="0" w:color="auto"/>
            </w:tcBorders>
          </w:tcPr>
          <w:p>
            <w:pP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868" w:type="dxa"/>
            <w:tcBorders>
              <w:top w:val="nil" w:sz="6" w:space="0" w:color="auto"/>
              <w:left w:val="nil" w:sz="6" w:space="0" w:color="auto"/>
              <w:bottom w:val="nil" w:sz="6" w:space="0" w:color="auto"/>
              <w:right w:val="nil" w:sz="6" w:space="0" w:color="auto"/>
            </w:tcBorders>
          </w:tcPr>
          <w:p>
            <w:pPr/>
          </w:p>
        </w:tc>
        <w:tc>
          <w:tcPr>
            <w:tcW w:w="1059"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614" w:type="dxa"/>
            <w:tcBorders>
              <w:top w:val="nil" w:sz="6" w:space="0" w:color="auto"/>
              <w:left w:val="nil" w:sz="6" w:space="0" w:color="auto"/>
              <w:bottom w:val="nil" w:sz="6" w:space="0" w:color="auto"/>
              <w:right w:val="nil" w:sz="6" w:space="0" w:color="auto"/>
            </w:tcBorders>
          </w:tcPr>
          <w:p>
            <w:pPr/>
          </w:p>
        </w:tc>
        <w:tc>
          <w:tcPr>
            <w:tcW w:w="545" w:type="dxa"/>
            <w:tcBorders>
              <w:top w:val="nil" w:sz="6" w:space="0" w:color="auto"/>
              <w:left w:val="nil" w:sz="6" w:space="0" w:color="auto"/>
              <w:bottom w:val="nil" w:sz="6" w:space="0" w:color="auto"/>
              <w:right w:val="nil" w:sz="6" w:space="0" w:color="auto"/>
            </w:tcBorders>
          </w:tcPr>
          <w:p>
            <w:pPr/>
          </w:p>
        </w:tc>
        <w:tc>
          <w:tcPr>
            <w:tcW w:w="673" w:type="dxa"/>
            <w:tcBorders>
              <w:top w:val="nil" w:sz="6" w:space="0" w:color="auto"/>
              <w:left w:val="nil" w:sz="6" w:space="0" w:color="auto"/>
              <w:bottom w:val="nil" w:sz="6" w:space="0" w:color="auto"/>
              <w:right w:val="nil" w:sz="6" w:space="0" w:color="auto"/>
            </w:tcBorders>
          </w:tcPr>
          <w:p>
            <w:pPr/>
          </w:p>
        </w:tc>
        <w:tc>
          <w:tcPr>
            <w:tcW w:w="1189" w:type="dxa"/>
            <w:tcBorders>
              <w:top w:val="nil" w:sz="6" w:space="0" w:color="auto"/>
              <w:left w:val="nil" w:sz="6" w:space="0" w:color="auto"/>
              <w:bottom w:val="nil" w:sz="6" w:space="0" w:color="auto"/>
              <w:right w:val="nil" w:sz="6" w:space="0" w:color="auto"/>
            </w:tcBorders>
          </w:tcPr>
          <w:p>
            <w:pPr/>
          </w:p>
        </w:tc>
        <w:tc>
          <w:tcPr>
            <w:tcW w:w="2058" w:type="dxa"/>
            <w:tcBorders>
              <w:top w:val="nil" w:sz="6" w:space="0" w:color="auto"/>
              <w:left w:val="nil" w:sz="6" w:space="0" w:color="auto"/>
              <w:bottom w:val="nil" w:sz="6" w:space="0" w:color="auto"/>
              <w:right w:val="nil" w:sz="6" w:space="0" w:color="auto"/>
            </w:tcBorders>
          </w:tcPr>
          <w:p>
            <w:pPr/>
          </w:p>
        </w:tc>
      </w:tr>
      <w:tr>
        <w:trPr>
          <w:trHeight w:val="383"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70" w:right="0"/>
              <w:jc w:val="left"/>
              <w:rPr>
                <w:rFonts w:ascii="宋体" w:hAnsi="宋体" w:cs="宋体" w:eastAsia="宋体" w:hint="default"/>
                <w:sz w:val="13"/>
                <w:szCs w:val="13"/>
              </w:rPr>
            </w:pPr>
            <w:r>
              <w:rPr>
                <w:rFonts w:ascii="宋体" w:hAnsi="宋体" w:cs="宋体" w:eastAsia="宋体" w:hint="default"/>
                <w:sz w:val="13"/>
                <w:szCs w:val="13"/>
              </w:rPr>
              <w:t>术有限公司（注</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6</w:t>
            </w:r>
            <w:r>
              <w:rPr>
                <w:rFonts w:ascii="宋体" w:hAnsi="宋体" w:cs="宋体" w:eastAsia="宋体" w:hint="default"/>
                <w:sz w:val="13"/>
                <w:szCs w:val="13"/>
              </w:rPr>
              <w:t>）</w:t>
            </w:r>
          </w:p>
        </w:tc>
        <w:tc>
          <w:tcPr>
            <w:tcW w:w="545" w:type="dxa"/>
            <w:tcBorders>
              <w:top w:val="nil" w:sz="6" w:space="0" w:color="auto"/>
              <w:left w:val="nil" w:sz="6" w:space="0" w:color="auto"/>
              <w:bottom w:val="nil" w:sz="6" w:space="0" w:color="auto"/>
              <w:right w:val="nil" w:sz="6" w:space="0" w:color="auto"/>
            </w:tcBorders>
          </w:tcPr>
          <w:p>
            <w:pPr>
              <w:pStyle w:val="TableParagraph"/>
              <w:spacing w:line="140" w:lineRule="exact"/>
              <w:ind w:right="105"/>
              <w:jc w:val="center"/>
              <w:rPr>
                <w:rFonts w:ascii="宋体" w:hAnsi="宋体" w:cs="宋体" w:eastAsia="宋体" w:hint="default"/>
                <w:sz w:val="13"/>
                <w:szCs w:val="13"/>
              </w:rPr>
            </w:pPr>
            <w:r>
              <w:rPr>
                <w:rFonts w:ascii="宋体" w:hAnsi="宋体" w:cs="宋体" w:eastAsia="宋体" w:hint="default"/>
                <w:sz w:val="13"/>
                <w:szCs w:val="13"/>
              </w:rPr>
              <w:t>控股</w:t>
            </w:r>
          </w:p>
        </w:tc>
        <w:tc>
          <w:tcPr>
            <w:tcW w:w="655" w:type="dxa"/>
            <w:tcBorders>
              <w:top w:val="nil" w:sz="6" w:space="0" w:color="auto"/>
              <w:left w:val="nil" w:sz="6" w:space="0" w:color="auto"/>
              <w:bottom w:val="nil" w:sz="6" w:space="0" w:color="auto"/>
              <w:right w:val="nil" w:sz="6" w:space="0" w:color="auto"/>
            </w:tcBorders>
          </w:tcPr>
          <w:p>
            <w:pPr>
              <w:pStyle w:val="TableParagraph"/>
              <w:spacing w:line="140" w:lineRule="exact"/>
              <w:ind w:left="94" w:right="0"/>
              <w:jc w:val="left"/>
              <w:rPr>
                <w:rFonts w:ascii="宋体" w:hAnsi="宋体" w:cs="宋体" w:eastAsia="宋体" w:hint="default"/>
                <w:sz w:val="13"/>
                <w:szCs w:val="13"/>
              </w:rPr>
            </w:pPr>
            <w:r>
              <w:rPr>
                <w:rFonts w:ascii="宋体" w:hAnsi="宋体" w:cs="宋体" w:eastAsia="宋体" w:hint="default"/>
                <w:sz w:val="13"/>
                <w:szCs w:val="13"/>
              </w:rPr>
              <w:t>北京</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29"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Times New Roman" w:hAnsi="Times New Roman" w:cs="Times New Roman" w:eastAsia="Times New Roman" w:hint="default"/>
                <w:sz w:val="13"/>
                <w:szCs w:val="13"/>
              </w:rPr>
            </w:pPr>
            <w:r>
              <w:rPr>
                <w:rFonts w:ascii="Times New Roman"/>
                <w:w w:val="95"/>
                <w:sz w:val="13"/>
              </w:rPr>
              <w:t>10,000,000</w:t>
            </w:r>
            <w:r>
              <w:rPr>
                <w:rFonts w:ascii="Times New Roman"/>
                <w:sz w:val="13"/>
              </w:rPr>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08" w:right="0"/>
              <w:jc w:val="left"/>
              <w:rPr>
                <w:rFonts w:ascii="宋体" w:hAnsi="宋体" w:cs="宋体" w:eastAsia="宋体" w:hint="default"/>
                <w:sz w:val="13"/>
                <w:szCs w:val="13"/>
              </w:rPr>
            </w:pPr>
            <w:r>
              <w:rPr>
                <w:rFonts w:ascii="宋体" w:hAnsi="宋体" w:cs="宋体" w:eastAsia="宋体" w:hint="default"/>
                <w:sz w:val="13"/>
                <w:szCs w:val="13"/>
              </w:rPr>
              <w:t>以及服务</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1"/>
              <w:jc w:val="right"/>
              <w:rPr>
                <w:rFonts w:ascii="Times New Roman" w:hAnsi="Times New Roman" w:cs="Times New Roman" w:eastAsia="Times New Roman" w:hint="default"/>
                <w:sz w:val="13"/>
                <w:szCs w:val="13"/>
              </w:rPr>
            </w:pPr>
            <w:r>
              <w:rPr>
                <w:rFonts w:ascii="Times New Roman"/>
                <w:w w:val="95"/>
                <w:sz w:val="13"/>
              </w:rPr>
              <w:t>7,000,000</w:t>
            </w:r>
            <w:r>
              <w:rPr>
                <w:rFonts w:ascii="Times New Roman"/>
                <w:sz w:val="13"/>
              </w:rPr>
            </w:r>
          </w:p>
        </w:tc>
        <w:tc>
          <w:tcPr>
            <w:tcW w:w="1059"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614" w:type="dxa"/>
            <w:tcBorders>
              <w:top w:val="nil" w:sz="6" w:space="0" w:color="auto"/>
              <w:left w:val="nil" w:sz="6" w:space="0" w:color="auto"/>
              <w:bottom w:val="nil" w:sz="6" w:space="0" w:color="auto"/>
              <w:right w:val="nil" w:sz="6" w:space="0" w:color="auto"/>
            </w:tcBorders>
          </w:tcPr>
          <w:p>
            <w:pPr>
              <w:pStyle w:val="TableParagraph"/>
              <w:spacing w:line="240" w:lineRule="auto" w:before="8"/>
              <w:ind w:left="5" w:right="0"/>
              <w:jc w:val="center"/>
              <w:rPr>
                <w:rFonts w:ascii="Times New Roman" w:hAnsi="Times New Roman" w:cs="Times New Roman" w:eastAsia="Times New Roman" w:hint="default"/>
                <w:sz w:val="13"/>
                <w:szCs w:val="13"/>
              </w:rPr>
            </w:pPr>
            <w:r>
              <w:rPr>
                <w:rFonts w:ascii="Times New Roman"/>
                <w:sz w:val="13"/>
              </w:rPr>
              <w:t>70</w:t>
            </w:r>
          </w:p>
        </w:tc>
        <w:tc>
          <w:tcPr>
            <w:tcW w:w="545" w:type="dxa"/>
            <w:tcBorders>
              <w:top w:val="nil" w:sz="6" w:space="0" w:color="auto"/>
              <w:left w:val="nil" w:sz="6" w:space="0" w:color="auto"/>
              <w:bottom w:val="nil" w:sz="6" w:space="0" w:color="auto"/>
              <w:right w:val="nil" w:sz="6" w:space="0" w:color="auto"/>
            </w:tcBorders>
          </w:tcPr>
          <w:p>
            <w:pPr>
              <w:pStyle w:val="TableParagraph"/>
              <w:spacing w:line="140" w:lineRule="exact"/>
              <w:ind w:right="1"/>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673" w:type="dxa"/>
            <w:tcBorders>
              <w:top w:val="nil" w:sz="6" w:space="0" w:color="auto"/>
              <w:left w:val="nil" w:sz="6" w:space="0" w:color="auto"/>
              <w:bottom w:val="nil" w:sz="6" w:space="0" w:color="auto"/>
              <w:right w:val="nil" w:sz="6" w:space="0" w:color="auto"/>
            </w:tcBorders>
          </w:tcPr>
          <w:p>
            <w:pPr>
              <w:pStyle w:val="TableParagraph"/>
              <w:spacing w:line="240" w:lineRule="auto" w:before="8"/>
              <w:ind w:left="5" w:right="0"/>
              <w:jc w:val="center"/>
              <w:rPr>
                <w:rFonts w:ascii="Times New Roman" w:hAnsi="Times New Roman" w:cs="Times New Roman" w:eastAsia="Times New Roman" w:hint="default"/>
                <w:sz w:val="13"/>
                <w:szCs w:val="13"/>
              </w:rPr>
            </w:pPr>
            <w:r>
              <w:rPr>
                <w:rFonts w:ascii="Times New Roman"/>
                <w:sz w:val="13"/>
              </w:rPr>
              <w:t>30</w:t>
            </w:r>
          </w:p>
        </w:tc>
        <w:tc>
          <w:tcPr>
            <w:tcW w:w="1189" w:type="dxa"/>
            <w:tcBorders>
              <w:top w:val="nil" w:sz="6" w:space="0" w:color="auto"/>
              <w:left w:val="nil" w:sz="6" w:space="0" w:color="auto"/>
              <w:bottom w:val="nil" w:sz="6" w:space="0" w:color="auto"/>
              <w:right w:val="nil" w:sz="6" w:space="0" w:color="auto"/>
            </w:tcBorders>
          </w:tcPr>
          <w:p>
            <w:pPr/>
          </w:p>
        </w:tc>
        <w:tc>
          <w:tcPr>
            <w:tcW w:w="2058" w:type="dxa"/>
            <w:tcBorders>
              <w:top w:val="nil" w:sz="6" w:space="0" w:color="auto"/>
              <w:left w:val="nil" w:sz="6" w:space="0" w:color="auto"/>
              <w:bottom w:val="nil" w:sz="6" w:space="0" w:color="auto"/>
              <w:right w:val="nil" w:sz="6" w:space="0" w:color="auto"/>
            </w:tcBorders>
          </w:tcPr>
          <w:p>
            <w:pPr/>
          </w:p>
        </w:tc>
      </w:tr>
      <w:tr>
        <w:trPr>
          <w:trHeight w:val="226"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46"/>
              <w:ind w:left="70" w:right="0"/>
              <w:jc w:val="left"/>
              <w:rPr>
                <w:rFonts w:ascii="宋体" w:hAnsi="宋体" w:cs="宋体" w:eastAsia="宋体" w:hint="default"/>
                <w:sz w:val="13"/>
                <w:szCs w:val="13"/>
              </w:rPr>
            </w:pPr>
            <w:r>
              <w:rPr>
                <w:rFonts w:ascii="宋体" w:hAnsi="宋体" w:cs="宋体" w:eastAsia="宋体" w:hint="default"/>
                <w:sz w:val="13"/>
                <w:szCs w:val="13"/>
              </w:rPr>
              <w:t>北京英博睿智咨询有</w:t>
            </w:r>
          </w:p>
        </w:tc>
        <w:tc>
          <w:tcPr>
            <w:tcW w:w="545" w:type="dxa"/>
            <w:tcBorders>
              <w:top w:val="nil" w:sz="6" w:space="0" w:color="auto"/>
              <w:left w:val="nil" w:sz="6" w:space="0" w:color="auto"/>
              <w:bottom w:val="nil" w:sz="6" w:space="0" w:color="auto"/>
              <w:right w:val="nil" w:sz="6" w:space="0" w:color="auto"/>
            </w:tcBorders>
          </w:tcPr>
          <w:p>
            <w:pPr/>
          </w:p>
        </w:tc>
        <w:tc>
          <w:tcPr>
            <w:tcW w:w="65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29"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55" w:type="dxa"/>
            <w:tcBorders>
              <w:top w:val="nil" w:sz="6" w:space="0" w:color="auto"/>
              <w:left w:val="nil" w:sz="6" w:space="0" w:color="auto"/>
              <w:bottom w:val="nil" w:sz="6" w:space="0" w:color="auto"/>
              <w:right w:val="nil" w:sz="6" w:space="0" w:color="auto"/>
            </w:tcBorders>
          </w:tcPr>
          <w:p>
            <w:pP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3"/>
                <w:szCs w:val="13"/>
              </w:rPr>
            </w:pPr>
            <w:r>
              <w:rPr>
                <w:rFonts w:ascii="宋体" w:hAnsi="宋体" w:cs="宋体" w:eastAsia="宋体" w:hint="default"/>
                <w:sz w:val="13"/>
                <w:szCs w:val="13"/>
              </w:rPr>
              <w:t>招聘外包和提供猎头</w:t>
            </w:r>
          </w:p>
        </w:tc>
        <w:tc>
          <w:tcPr>
            <w:tcW w:w="868" w:type="dxa"/>
            <w:tcBorders>
              <w:top w:val="nil" w:sz="6" w:space="0" w:color="auto"/>
              <w:left w:val="nil" w:sz="6" w:space="0" w:color="auto"/>
              <w:bottom w:val="nil" w:sz="6" w:space="0" w:color="auto"/>
              <w:right w:val="nil" w:sz="6" w:space="0" w:color="auto"/>
            </w:tcBorders>
          </w:tcPr>
          <w:p>
            <w:pPr/>
          </w:p>
        </w:tc>
        <w:tc>
          <w:tcPr>
            <w:tcW w:w="1059"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614" w:type="dxa"/>
            <w:tcBorders>
              <w:top w:val="nil" w:sz="6" w:space="0" w:color="auto"/>
              <w:left w:val="nil" w:sz="6" w:space="0" w:color="auto"/>
              <w:bottom w:val="nil" w:sz="6" w:space="0" w:color="auto"/>
              <w:right w:val="nil" w:sz="6" w:space="0" w:color="auto"/>
            </w:tcBorders>
          </w:tcPr>
          <w:p>
            <w:pPr/>
          </w:p>
        </w:tc>
        <w:tc>
          <w:tcPr>
            <w:tcW w:w="545" w:type="dxa"/>
            <w:tcBorders>
              <w:top w:val="nil" w:sz="6" w:space="0" w:color="auto"/>
              <w:left w:val="nil" w:sz="6" w:space="0" w:color="auto"/>
              <w:bottom w:val="nil" w:sz="6" w:space="0" w:color="auto"/>
              <w:right w:val="nil" w:sz="6" w:space="0" w:color="auto"/>
            </w:tcBorders>
          </w:tcPr>
          <w:p>
            <w:pPr/>
          </w:p>
        </w:tc>
        <w:tc>
          <w:tcPr>
            <w:tcW w:w="673" w:type="dxa"/>
            <w:tcBorders>
              <w:top w:val="nil" w:sz="6" w:space="0" w:color="auto"/>
              <w:left w:val="nil" w:sz="6" w:space="0" w:color="auto"/>
              <w:bottom w:val="nil" w:sz="6" w:space="0" w:color="auto"/>
              <w:right w:val="nil" w:sz="6" w:space="0" w:color="auto"/>
            </w:tcBorders>
          </w:tcPr>
          <w:p>
            <w:pPr/>
          </w:p>
        </w:tc>
        <w:tc>
          <w:tcPr>
            <w:tcW w:w="1189" w:type="dxa"/>
            <w:tcBorders>
              <w:top w:val="nil" w:sz="6" w:space="0" w:color="auto"/>
              <w:left w:val="nil" w:sz="6" w:space="0" w:color="auto"/>
              <w:bottom w:val="nil" w:sz="6" w:space="0" w:color="auto"/>
              <w:right w:val="nil" w:sz="6" w:space="0" w:color="auto"/>
            </w:tcBorders>
          </w:tcPr>
          <w:p>
            <w:pPr/>
          </w:p>
        </w:tc>
        <w:tc>
          <w:tcPr>
            <w:tcW w:w="2058" w:type="dxa"/>
            <w:tcBorders>
              <w:top w:val="nil" w:sz="6" w:space="0" w:color="auto"/>
              <w:left w:val="nil" w:sz="6" w:space="0" w:color="auto"/>
              <w:bottom w:val="nil" w:sz="6" w:space="0" w:color="auto"/>
              <w:right w:val="nil" w:sz="6" w:space="0" w:color="auto"/>
            </w:tcBorders>
          </w:tcPr>
          <w:p>
            <w:pPr/>
          </w:p>
        </w:tc>
      </w:tr>
      <w:tr>
        <w:trPr>
          <w:trHeight w:val="406"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70" w:right="0"/>
              <w:jc w:val="left"/>
              <w:rPr>
                <w:rFonts w:ascii="宋体" w:hAnsi="宋体" w:cs="宋体" w:eastAsia="宋体" w:hint="default"/>
                <w:sz w:val="13"/>
                <w:szCs w:val="13"/>
              </w:rPr>
            </w:pPr>
            <w:r>
              <w:rPr>
                <w:rFonts w:ascii="宋体" w:hAnsi="宋体" w:cs="宋体" w:eastAsia="宋体" w:hint="default"/>
                <w:sz w:val="13"/>
                <w:szCs w:val="13"/>
              </w:rPr>
              <w:t>限公司（注</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6</w:t>
            </w:r>
            <w:r>
              <w:rPr>
                <w:rFonts w:ascii="宋体" w:hAnsi="宋体" w:cs="宋体" w:eastAsia="宋体" w:hint="default"/>
                <w:sz w:val="13"/>
                <w:szCs w:val="13"/>
              </w:rPr>
              <w:t>）</w:t>
            </w:r>
          </w:p>
        </w:tc>
        <w:tc>
          <w:tcPr>
            <w:tcW w:w="545" w:type="dxa"/>
            <w:tcBorders>
              <w:top w:val="nil" w:sz="6" w:space="0" w:color="auto"/>
              <w:left w:val="nil" w:sz="6" w:space="0" w:color="auto"/>
              <w:bottom w:val="nil" w:sz="6" w:space="0" w:color="auto"/>
              <w:right w:val="nil" w:sz="6" w:space="0" w:color="auto"/>
            </w:tcBorders>
          </w:tcPr>
          <w:p>
            <w:pPr>
              <w:pStyle w:val="TableParagraph"/>
              <w:spacing w:line="140" w:lineRule="exact"/>
              <w:ind w:right="105"/>
              <w:jc w:val="center"/>
              <w:rPr>
                <w:rFonts w:ascii="宋体" w:hAnsi="宋体" w:cs="宋体" w:eastAsia="宋体" w:hint="default"/>
                <w:sz w:val="13"/>
                <w:szCs w:val="13"/>
              </w:rPr>
            </w:pPr>
            <w:r>
              <w:rPr>
                <w:rFonts w:ascii="宋体" w:hAnsi="宋体" w:cs="宋体" w:eastAsia="宋体" w:hint="default"/>
                <w:sz w:val="13"/>
                <w:szCs w:val="13"/>
              </w:rPr>
              <w:t>全资</w:t>
            </w:r>
          </w:p>
        </w:tc>
        <w:tc>
          <w:tcPr>
            <w:tcW w:w="655" w:type="dxa"/>
            <w:tcBorders>
              <w:top w:val="nil" w:sz="6" w:space="0" w:color="auto"/>
              <w:left w:val="nil" w:sz="6" w:space="0" w:color="auto"/>
              <w:bottom w:val="nil" w:sz="6" w:space="0" w:color="auto"/>
              <w:right w:val="nil" w:sz="6" w:space="0" w:color="auto"/>
            </w:tcBorders>
          </w:tcPr>
          <w:p>
            <w:pPr>
              <w:pStyle w:val="TableParagraph"/>
              <w:spacing w:line="140" w:lineRule="exact"/>
              <w:ind w:left="94" w:right="0"/>
              <w:jc w:val="left"/>
              <w:rPr>
                <w:rFonts w:ascii="宋体" w:hAnsi="宋体" w:cs="宋体" w:eastAsia="宋体" w:hint="default"/>
                <w:sz w:val="13"/>
                <w:szCs w:val="13"/>
              </w:rPr>
            </w:pPr>
            <w:r>
              <w:rPr>
                <w:rFonts w:ascii="宋体" w:hAnsi="宋体" w:cs="宋体" w:eastAsia="宋体" w:hint="default"/>
                <w:sz w:val="13"/>
                <w:szCs w:val="13"/>
              </w:rPr>
              <w:t>北京</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29"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Times New Roman" w:hAnsi="Times New Roman" w:cs="Times New Roman" w:eastAsia="Times New Roman" w:hint="default"/>
                <w:sz w:val="13"/>
                <w:szCs w:val="13"/>
              </w:rPr>
            </w:pPr>
            <w:r>
              <w:rPr>
                <w:rFonts w:ascii="Times New Roman"/>
                <w:w w:val="95"/>
                <w:sz w:val="13"/>
              </w:rPr>
              <w:t>100,000</w:t>
            </w:r>
            <w:r>
              <w:rPr>
                <w:rFonts w:ascii="Times New Roman"/>
                <w:sz w:val="13"/>
              </w:rPr>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08" w:right="0"/>
              <w:jc w:val="left"/>
              <w:rPr>
                <w:rFonts w:ascii="宋体" w:hAnsi="宋体" w:cs="宋体" w:eastAsia="宋体" w:hint="default"/>
                <w:sz w:val="13"/>
                <w:szCs w:val="13"/>
              </w:rPr>
            </w:pPr>
            <w:r>
              <w:rPr>
                <w:rFonts w:ascii="宋体" w:hAnsi="宋体" w:cs="宋体" w:eastAsia="宋体" w:hint="default"/>
                <w:sz w:val="13"/>
                <w:szCs w:val="13"/>
              </w:rPr>
              <w:t>服务</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1"/>
              <w:jc w:val="right"/>
              <w:rPr>
                <w:rFonts w:ascii="Times New Roman" w:hAnsi="Times New Roman" w:cs="Times New Roman" w:eastAsia="Times New Roman" w:hint="default"/>
                <w:sz w:val="13"/>
                <w:szCs w:val="13"/>
              </w:rPr>
            </w:pPr>
            <w:r>
              <w:rPr>
                <w:rFonts w:ascii="Times New Roman"/>
                <w:w w:val="95"/>
                <w:sz w:val="13"/>
              </w:rPr>
              <w:t>100,000</w:t>
            </w:r>
            <w:r>
              <w:rPr>
                <w:rFonts w:ascii="Times New Roman"/>
                <w:sz w:val="13"/>
              </w:rPr>
            </w:r>
          </w:p>
        </w:tc>
        <w:tc>
          <w:tcPr>
            <w:tcW w:w="1059"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614" w:type="dxa"/>
            <w:tcBorders>
              <w:top w:val="nil" w:sz="6" w:space="0" w:color="auto"/>
              <w:left w:val="nil" w:sz="6" w:space="0" w:color="auto"/>
              <w:bottom w:val="nil" w:sz="6" w:space="0" w:color="auto"/>
              <w:right w:val="nil" w:sz="6" w:space="0" w:color="auto"/>
            </w:tcBorders>
          </w:tcPr>
          <w:p>
            <w:pPr>
              <w:pStyle w:val="TableParagraph"/>
              <w:spacing w:line="240" w:lineRule="auto" w:before="8"/>
              <w:ind w:left="5" w:right="0"/>
              <w:jc w:val="center"/>
              <w:rPr>
                <w:rFonts w:ascii="Times New Roman" w:hAnsi="Times New Roman" w:cs="Times New Roman" w:eastAsia="Times New Roman" w:hint="default"/>
                <w:sz w:val="13"/>
                <w:szCs w:val="13"/>
              </w:rPr>
            </w:pPr>
            <w:r>
              <w:rPr>
                <w:rFonts w:ascii="Times New Roman"/>
                <w:sz w:val="13"/>
              </w:rPr>
              <w:t>100</w:t>
            </w:r>
          </w:p>
        </w:tc>
        <w:tc>
          <w:tcPr>
            <w:tcW w:w="545" w:type="dxa"/>
            <w:tcBorders>
              <w:top w:val="nil" w:sz="6" w:space="0" w:color="auto"/>
              <w:left w:val="nil" w:sz="6" w:space="0" w:color="auto"/>
              <w:bottom w:val="nil" w:sz="6" w:space="0" w:color="auto"/>
              <w:right w:val="nil" w:sz="6" w:space="0" w:color="auto"/>
            </w:tcBorders>
          </w:tcPr>
          <w:p>
            <w:pPr>
              <w:pStyle w:val="TableParagraph"/>
              <w:spacing w:line="140" w:lineRule="exact"/>
              <w:ind w:right="1"/>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673" w:type="dxa"/>
            <w:tcBorders>
              <w:top w:val="nil" w:sz="6" w:space="0" w:color="auto"/>
              <w:left w:val="nil" w:sz="6" w:space="0" w:color="auto"/>
              <w:bottom w:val="nil" w:sz="6" w:space="0" w:color="auto"/>
              <w:right w:val="nil" w:sz="6" w:space="0" w:color="auto"/>
            </w:tcBorders>
          </w:tcPr>
          <w:p>
            <w:pPr/>
          </w:p>
        </w:tc>
        <w:tc>
          <w:tcPr>
            <w:tcW w:w="1189" w:type="dxa"/>
            <w:tcBorders>
              <w:top w:val="nil" w:sz="6" w:space="0" w:color="auto"/>
              <w:left w:val="nil" w:sz="6" w:space="0" w:color="auto"/>
              <w:bottom w:val="nil" w:sz="6" w:space="0" w:color="auto"/>
              <w:right w:val="nil" w:sz="6" w:space="0" w:color="auto"/>
            </w:tcBorders>
          </w:tcPr>
          <w:p>
            <w:pPr/>
          </w:p>
        </w:tc>
        <w:tc>
          <w:tcPr>
            <w:tcW w:w="2058" w:type="dxa"/>
            <w:tcBorders>
              <w:top w:val="nil" w:sz="6" w:space="0" w:color="auto"/>
              <w:left w:val="nil" w:sz="6" w:space="0" w:color="auto"/>
              <w:bottom w:val="nil" w:sz="6" w:space="0" w:color="auto"/>
              <w:right w:val="nil" w:sz="6" w:space="0" w:color="auto"/>
            </w:tcBorders>
          </w:tcPr>
          <w:p>
            <w:pPr/>
          </w:p>
        </w:tc>
      </w:tr>
      <w:tr>
        <w:trPr>
          <w:trHeight w:val="249"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68"/>
              <w:ind w:left="70" w:right="0"/>
              <w:jc w:val="left"/>
              <w:rPr>
                <w:rFonts w:ascii="宋体" w:hAnsi="宋体" w:cs="宋体" w:eastAsia="宋体" w:hint="default"/>
                <w:sz w:val="13"/>
                <w:szCs w:val="13"/>
              </w:rPr>
            </w:pPr>
            <w:r>
              <w:rPr>
                <w:rFonts w:ascii="宋体" w:hAnsi="宋体" w:cs="宋体" w:eastAsia="宋体" w:hint="default"/>
                <w:sz w:val="13"/>
                <w:szCs w:val="13"/>
              </w:rPr>
              <w:t>大连东软商业流程咨</w:t>
            </w:r>
          </w:p>
        </w:tc>
        <w:tc>
          <w:tcPr>
            <w:tcW w:w="545" w:type="dxa"/>
            <w:tcBorders>
              <w:top w:val="nil" w:sz="6" w:space="0" w:color="auto"/>
              <w:left w:val="nil" w:sz="6" w:space="0" w:color="auto"/>
              <w:bottom w:val="nil" w:sz="6" w:space="0" w:color="auto"/>
              <w:right w:val="nil" w:sz="6" w:space="0" w:color="auto"/>
            </w:tcBorders>
          </w:tcPr>
          <w:p>
            <w:pPr/>
          </w:p>
        </w:tc>
        <w:tc>
          <w:tcPr>
            <w:tcW w:w="65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29"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55" w:type="dxa"/>
            <w:tcBorders>
              <w:top w:val="nil" w:sz="6" w:space="0" w:color="auto"/>
              <w:left w:val="nil" w:sz="6" w:space="0" w:color="auto"/>
              <w:bottom w:val="nil" w:sz="6" w:space="0" w:color="auto"/>
              <w:right w:val="nil" w:sz="6" w:space="0" w:color="auto"/>
            </w:tcBorders>
          </w:tcPr>
          <w:p>
            <w:pPr/>
          </w:p>
        </w:tc>
        <w:tc>
          <w:tcPr>
            <w:tcW w:w="1411"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059"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614" w:type="dxa"/>
            <w:tcBorders>
              <w:top w:val="nil" w:sz="6" w:space="0" w:color="auto"/>
              <w:left w:val="nil" w:sz="6" w:space="0" w:color="auto"/>
              <w:bottom w:val="nil" w:sz="6" w:space="0" w:color="auto"/>
              <w:right w:val="nil" w:sz="6" w:space="0" w:color="auto"/>
            </w:tcBorders>
          </w:tcPr>
          <w:p>
            <w:pPr/>
          </w:p>
        </w:tc>
        <w:tc>
          <w:tcPr>
            <w:tcW w:w="545" w:type="dxa"/>
            <w:tcBorders>
              <w:top w:val="nil" w:sz="6" w:space="0" w:color="auto"/>
              <w:left w:val="nil" w:sz="6" w:space="0" w:color="auto"/>
              <w:bottom w:val="nil" w:sz="6" w:space="0" w:color="auto"/>
              <w:right w:val="nil" w:sz="6" w:space="0" w:color="auto"/>
            </w:tcBorders>
          </w:tcPr>
          <w:p>
            <w:pPr/>
          </w:p>
        </w:tc>
        <w:tc>
          <w:tcPr>
            <w:tcW w:w="673" w:type="dxa"/>
            <w:tcBorders>
              <w:top w:val="nil" w:sz="6" w:space="0" w:color="auto"/>
              <w:left w:val="nil" w:sz="6" w:space="0" w:color="auto"/>
              <w:bottom w:val="nil" w:sz="6" w:space="0" w:color="auto"/>
              <w:right w:val="nil" w:sz="6" w:space="0" w:color="auto"/>
            </w:tcBorders>
          </w:tcPr>
          <w:p>
            <w:pPr/>
          </w:p>
        </w:tc>
        <w:tc>
          <w:tcPr>
            <w:tcW w:w="1189" w:type="dxa"/>
            <w:tcBorders>
              <w:top w:val="nil" w:sz="6" w:space="0" w:color="auto"/>
              <w:left w:val="nil" w:sz="6" w:space="0" w:color="auto"/>
              <w:bottom w:val="nil" w:sz="6" w:space="0" w:color="auto"/>
              <w:right w:val="nil" w:sz="6" w:space="0" w:color="auto"/>
            </w:tcBorders>
          </w:tcPr>
          <w:p>
            <w:pPr/>
          </w:p>
        </w:tc>
        <w:tc>
          <w:tcPr>
            <w:tcW w:w="2058" w:type="dxa"/>
            <w:tcBorders>
              <w:top w:val="nil" w:sz="6" w:space="0" w:color="auto"/>
              <w:left w:val="nil" w:sz="6" w:space="0" w:color="auto"/>
              <w:bottom w:val="nil" w:sz="6" w:space="0" w:color="auto"/>
              <w:right w:val="nil" w:sz="6" w:space="0" w:color="auto"/>
            </w:tcBorders>
          </w:tcPr>
          <w:p>
            <w:pPr/>
          </w:p>
        </w:tc>
      </w:tr>
      <w:tr>
        <w:trPr>
          <w:trHeight w:val="430"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70" w:right="0"/>
              <w:jc w:val="left"/>
              <w:rPr>
                <w:rFonts w:ascii="宋体" w:hAnsi="宋体" w:cs="宋体" w:eastAsia="宋体" w:hint="default"/>
                <w:sz w:val="13"/>
                <w:szCs w:val="13"/>
              </w:rPr>
            </w:pPr>
            <w:r>
              <w:rPr>
                <w:rFonts w:ascii="宋体" w:hAnsi="宋体" w:cs="宋体" w:eastAsia="宋体" w:hint="default"/>
                <w:w w:val="99"/>
                <w:sz w:val="13"/>
                <w:szCs w:val="13"/>
              </w:rPr>
              <w:t>询服务</w:t>
            </w:r>
            <w:r>
              <w:rPr>
                <w:rFonts w:ascii="宋体" w:hAnsi="宋体" w:cs="宋体" w:eastAsia="宋体" w:hint="default"/>
                <w:spacing w:val="1"/>
                <w:w w:val="99"/>
                <w:sz w:val="13"/>
                <w:szCs w:val="13"/>
              </w:rPr>
              <w:t>有</w:t>
            </w:r>
            <w:r>
              <w:rPr>
                <w:rFonts w:ascii="宋体" w:hAnsi="宋体" w:cs="宋体" w:eastAsia="宋体" w:hint="default"/>
                <w:w w:val="99"/>
                <w:sz w:val="13"/>
                <w:szCs w:val="13"/>
              </w:rPr>
              <w:t>限公</w:t>
            </w:r>
            <w:r>
              <w:rPr>
                <w:rFonts w:ascii="宋体" w:hAnsi="宋体" w:cs="宋体" w:eastAsia="宋体" w:hint="default"/>
                <w:spacing w:val="-53"/>
                <w:w w:val="99"/>
                <w:sz w:val="13"/>
                <w:szCs w:val="13"/>
              </w:rPr>
              <w:t>司</w:t>
            </w:r>
            <w:r>
              <w:rPr>
                <w:rFonts w:ascii="宋体" w:hAnsi="宋体" w:cs="宋体" w:eastAsia="宋体" w:hint="default"/>
                <w:w w:val="99"/>
                <w:sz w:val="13"/>
                <w:szCs w:val="13"/>
              </w:rPr>
              <w:t>（注</w:t>
            </w:r>
            <w:r>
              <w:rPr>
                <w:rFonts w:ascii="宋体" w:hAnsi="宋体" w:cs="宋体" w:eastAsia="宋体" w:hint="default"/>
                <w:spacing w:val="-32"/>
                <w:sz w:val="13"/>
                <w:szCs w:val="13"/>
              </w:rPr>
              <w:t> </w:t>
            </w:r>
            <w:r>
              <w:rPr>
                <w:rFonts w:ascii="Times New Roman" w:hAnsi="Times New Roman" w:cs="Times New Roman" w:eastAsia="Times New Roman" w:hint="default"/>
                <w:spacing w:val="1"/>
                <w:w w:val="99"/>
                <w:sz w:val="13"/>
                <w:szCs w:val="13"/>
              </w:rPr>
              <w:t>6</w:t>
            </w:r>
            <w:r>
              <w:rPr>
                <w:rFonts w:ascii="宋体" w:hAnsi="宋体" w:cs="宋体" w:eastAsia="宋体" w:hint="default"/>
                <w:w w:val="99"/>
                <w:sz w:val="13"/>
                <w:szCs w:val="13"/>
              </w:rPr>
              <w:t>）</w:t>
            </w:r>
            <w:r>
              <w:rPr>
                <w:rFonts w:ascii="宋体" w:hAnsi="宋体" w:cs="宋体" w:eastAsia="宋体" w:hint="default"/>
                <w:sz w:val="13"/>
                <w:szCs w:val="13"/>
              </w:rPr>
            </w:r>
          </w:p>
        </w:tc>
        <w:tc>
          <w:tcPr>
            <w:tcW w:w="545" w:type="dxa"/>
            <w:tcBorders>
              <w:top w:val="nil" w:sz="6" w:space="0" w:color="auto"/>
              <w:left w:val="nil" w:sz="6" w:space="0" w:color="auto"/>
              <w:bottom w:val="nil" w:sz="6" w:space="0" w:color="auto"/>
              <w:right w:val="nil" w:sz="6" w:space="0" w:color="auto"/>
            </w:tcBorders>
          </w:tcPr>
          <w:p>
            <w:pPr>
              <w:pStyle w:val="TableParagraph"/>
              <w:spacing w:line="140" w:lineRule="exact"/>
              <w:ind w:right="105"/>
              <w:jc w:val="center"/>
              <w:rPr>
                <w:rFonts w:ascii="宋体" w:hAnsi="宋体" w:cs="宋体" w:eastAsia="宋体" w:hint="default"/>
                <w:sz w:val="13"/>
                <w:szCs w:val="13"/>
              </w:rPr>
            </w:pPr>
            <w:r>
              <w:rPr>
                <w:rFonts w:ascii="宋体" w:hAnsi="宋体" w:cs="宋体" w:eastAsia="宋体" w:hint="default"/>
                <w:sz w:val="13"/>
                <w:szCs w:val="13"/>
              </w:rPr>
              <w:t>全资</w:t>
            </w:r>
          </w:p>
        </w:tc>
        <w:tc>
          <w:tcPr>
            <w:tcW w:w="655" w:type="dxa"/>
            <w:tcBorders>
              <w:top w:val="nil" w:sz="6" w:space="0" w:color="auto"/>
              <w:left w:val="nil" w:sz="6" w:space="0" w:color="auto"/>
              <w:bottom w:val="nil" w:sz="6" w:space="0" w:color="auto"/>
              <w:right w:val="nil" w:sz="6" w:space="0" w:color="auto"/>
            </w:tcBorders>
          </w:tcPr>
          <w:p>
            <w:pPr>
              <w:pStyle w:val="TableParagraph"/>
              <w:spacing w:line="140" w:lineRule="exact"/>
              <w:ind w:left="94" w:right="0"/>
              <w:jc w:val="left"/>
              <w:rPr>
                <w:rFonts w:ascii="宋体" w:hAnsi="宋体" w:cs="宋体" w:eastAsia="宋体" w:hint="default"/>
                <w:sz w:val="13"/>
                <w:szCs w:val="13"/>
              </w:rPr>
            </w:pPr>
            <w:r>
              <w:rPr>
                <w:rFonts w:ascii="宋体" w:hAnsi="宋体" w:cs="宋体" w:eastAsia="宋体" w:hint="default"/>
                <w:sz w:val="13"/>
                <w:szCs w:val="13"/>
              </w:rPr>
              <w:t>大连</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29"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Times New Roman" w:hAnsi="Times New Roman" w:cs="Times New Roman" w:eastAsia="Times New Roman" w:hint="default"/>
                <w:sz w:val="13"/>
                <w:szCs w:val="13"/>
              </w:rPr>
            </w:pPr>
            <w:r>
              <w:rPr>
                <w:rFonts w:ascii="Times New Roman"/>
                <w:w w:val="95"/>
                <w:sz w:val="13"/>
              </w:rPr>
              <w:t>5,000,000</w:t>
            </w:r>
            <w:r>
              <w:rPr>
                <w:rFonts w:ascii="Times New Roman"/>
                <w:sz w:val="13"/>
              </w:rPr>
            </w:r>
          </w:p>
        </w:tc>
        <w:tc>
          <w:tcPr>
            <w:tcW w:w="1411" w:type="dxa"/>
            <w:tcBorders>
              <w:top w:val="nil" w:sz="6" w:space="0" w:color="auto"/>
              <w:left w:val="nil" w:sz="6" w:space="0" w:color="auto"/>
              <w:bottom w:val="nil" w:sz="6" w:space="0" w:color="auto"/>
              <w:right w:val="nil" w:sz="6" w:space="0" w:color="auto"/>
            </w:tcBorders>
          </w:tcPr>
          <w:p>
            <w:pPr>
              <w:pStyle w:val="TableParagraph"/>
              <w:spacing w:line="140" w:lineRule="exact"/>
              <w:ind w:left="108"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1"/>
              <w:jc w:val="right"/>
              <w:rPr>
                <w:rFonts w:ascii="Times New Roman" w:hAnsi="Times New Roman" w:cs="Times New Roman" w:eastAsia="Times New Roman" w:hint="default"/>
                <w:sz w:val="13"/>
                <w:szCs w:val="13"/>
              </w:rPr>
            </w:pPr>
            <w:r>
              <w:rPr>
                <w:rFonts w:ascii="Times New Roman"/>
                <w:w w:val="95"/>
                <w:sz w:val="13"/>
              </w:rPr>
              <w:t>5,000,000</w:t>
            </w:r>
            <w:r>
              <w:rPr>
                <w:rFonts w:ascii="Times New Roman"/>
                <w:sz w:val="13"/>
              </w:rPr>
            </w:r>
          </w:p>
        </w:tc>
        <w:tc>
          <w:tcPr>
            <w:tcW w:w="1059"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614" w:type="dxa"/>
            <w:tcBorders>
              <w:top w:val="nil" w:sz="6" w:space="0" w:color="auto"/>
              <w:left w:val="nil" w:sz="6" w:space="0" w:color="auto"/>
              <w:bottom w:val="nil" w:sz="6" w:space="0" w:color="auto"/>
              <w:right w:val="nil" w:sz="6" w:space="0" w:color="auto"/>
            </w:tcBorders>
          </w:tcPr>
          <w:p>
            <w:pPr>
              <w:pStyle w:val="TableParagraph"/>
              <w:spacing w:line="240" w:lineRule="auto" w:before="8"/>
              <w:ind w:left="5" w:right="0"/>
              <w:jc w:val="center"/>
              <w:rPr>
                <w:rFonts w:ascii="Times New Roman" w:hAnsi="Times New Roman" w:cs="Times New Roman" w:eastAsia="Times New Roman" w:hint="default"/>
                <w:sz w:val="13"/>
                <w:szCs w:val="13"/>
              </w:rPr>
            </w:pPr>
            <w:r>
              <w:rPr>
                <w:rFonts w:ascii="Times New Roman"/>
                <w:sz w:val="13"/>
              </w:rPr>
              <w:t>100</w:t>
            </w:r>
          </w:p>
        </w:tc>
        <w:tc>
          <w:tcPr>
            <w:tcW w:w="545" w:type="dxa"/>
            <w:tcBorders>
              <w:top w:val="nil" w:sz="6" w:space="0" w:color="auto"/>
              <w:left w:val="nil" w:sz="6" w:space="0" w:color="auto"/>
              <w:bottom w:val="nil" w:sz="6" w:space="0" w:color="auto"/>
              <w:right w:val="nil" w:sz="6" w:space="0" w:color="auto"/>
            </w:tcBorders>
          </w:tcPr>
          <w:p>
            <w:pPr>
              <w:pStyle w:val="TableParagraph"/>
              <w:spacing w:line="140" w:lineRule="exact"/>
              <w:ind w:right="1"/>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673" w:type="dxa"/>
            <w:tcBorders>
              <w:top w:val="nil" w:sz="6" w:space="0" w:color="auto"/>
              <w:left w:val="nil" w:sz="6" w:space="0" w:color="auto"/>
              <w:bottom w:val="nil" w:sz="6" w:space="0" w:color="auto"/>
              <w:right w:val="nil" w:sz="6" w:space="0" w:color="auto"/>
            </w:tcBorders>
          </w:tcPr>
          <w:p>
            <w:pPr/>
          </w:p>
        </w:tc>
        <w:tc>
          <w:tcPr>
            <w:tcW w:w="1189" w:type="dxa"/>
            <w:tcBorders>
              <w:top w:val="nil" w:sz="6" w:space="0" w:color="auto"/>
              <w:left w:val="nil" w:sz="6" w:space="0" w:color="auto"/>
              <w:bottom w:val="nil" w:sz="6" w:space="0" w:color="auto"/>
              <w:right w:val="nil" w:sz="6" w:space="0" w:color="auto"/>
            </w:tcBorders>
          </w:tcPr>
          <w:p>
            <w:pPr/>
          </w:p>
        </w:tc>
        <w:tc>
          <w:tcPr>
            <w:tcW w:w="2058" w:type="dxa"/>
            <w:tcBorders>
              <w:top w:val="nil" w:sz="6" w:space="0" w:color="auto"/>
              <w:left w:val="nil" w:sz="6" w:space="0" w:color="auto"/>
              <w:bottom w:val="nil" w:sz="6" w:space="0" w:color="auto"/>
              <w:right w:val="nil" w:sz="6" w:space="0" w:color="auto"/>
            </w:tcBorders>
          </w:tcPr>
          <w:p>
            <w:pPr/>
          </w:p>
        </w:tc>
      </w:tr>
      <w:tr>
        <w:trPr>
          <w:trHeight w:val="273"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92"/>
              <w:ind w:left="70" w:right="0"/>
              <w:jc w:val="left"/>
              <w:rPr>
                <w:rFonts w:ascii="宋体" w:hAnsi="宋体" w:cs="宋体" w:eastAsia="宋体" w:hint="default"/>
                <w:sz w:val="13"/>
                <w:szCs w:val="13"/>
              </w:rPr>
            </w:pPr>
            <w:r>
              <w:rPr>
                <w:rFonts w:ascii="宋体" w:hAnsi="宋体" w:cs="宋体" w:eastAsia="宋体" w:hint="default"/>
                <w:sz w:val="13"/>
                <w:szCs w:val="13"/>
              </w:rPr>
              <w:t>合肥东软信息技术有</w:t>
            </w:r>
          </w:p>
        </w:tc>
        <w:tc>
          <w:tcPr>
            <w:tcW w:w="545" w:type="dxa"/>
            <w:tcBorders>
              <w:top w:val="nil" w:sz="6" w:space="0" w:color="auto"/>
              <w:left w:val="nil" w:sz="6" w:space="0" w:color="auto"/>
              <w:bottom w:val="nil" w:sz="6" w:space="0" w:color="auto"/>
              <w:right w:val="nil" w:sz="6" w:space="0" w:color="auto"/>
            </w:tcBorders>
          </w:tcPr>
          <w:p>
            <w:pPr/>
          </w:p>
        </w:tc>
        <w:tc>
          <w:tcPr>
            <w:tcW w:w="65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29"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55" w:type="dxa"/>
            <w:tcBorders>
              <w:top w:val="nil" w:sz="6" w:space="0" w:color="auto"/>
              <w:left w:val="nil" w:sz="6" w:space="0" w:color="auto"/>
              <w:bottom w:val="nil" w:sz="6" w:space="0" w:color="auto"/>
              <w:right w:val="nil" w:sz="6" w:space="0" w:color="auto"/>
            </w:tcBorders>
          </w:tcPr>
          <w:p>
            <w:pP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3"/>
                <w:szCs w:val="13"/>
              </w:rPr>
            </w:pPr>
            <w:r>
              <w:rPr>
                <w:rFonts w:ascii="宋体" w:hAnsi="宋体" w:cs="宋体" w:eastAsia="宋体" w:hint="default"/>
                <w:sz w:val="13"/>
                <w:szCs w:val="13"/>
              </w:rPr>
              <w:t>计算机软硬件、系统</w:t>
            </w:r>
          </w:p>
        </w:tc>
        <w:tc>
          <w:tcPr>
            <w:tcW w:w="868" w:type="dxa"/>
            <w:tcBorders>
              <w:top w:val="nil" w:sz="6" w:space="0" w:color="auto"/>
              <w:left w:val="nil" w:sz="6" w:space="0" w:color="auto"/>
              <w:bottom w:val="nil" w:sz="6" w:space="0" w:color="auto"/>
              <w:right w:val="nil" w:sz="6" w:space="0" w:color="auto"/>
            </w:tcBorders>
          </w:tcPr>
          <w:p>
            <w:pPr/>
          </w:p>
        </w:tc>
        <w:tc>
          <w:tcPr>
            <w:tcW w:w="1059"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614" w:type="dxa"/>
            <w:tcBorders>
              <w:top w:val="nil" w:sz="6" w:space="0" w:color="auto"/>
              <w:left w:val="nil" w:sz="6" w:space="0" w:color="auto"/>
              <w:bottom w:val="nil" w:sz="6" w:space="0" w:color="auto"/>
              <w:right w:val="nil" w:sz="6" w:space="0" w:color="auto"/>
            </w:tcBorders>
          </w:tcPr>
          <w:p>
            <w:pPr/>
          </w:p>
        </w:tc>
        <w:tc>
          <w:tcPr>
            <w:tcW w:w="545" w:type="dxa"/>
            <w:tcBorders>
              <w:top w:val="nil" w:sz="6" w:space="0" w:color="auto"/>
              <w:left w:val="nil" w:sz="6" w:space="0" w:color="auto"/>
              <w:bottom w:val="nil" w:sz="6" w:space="0" w:color="auto"/>
              <w:right w:val="nil" w:sz="6" w:space="0" w:color="auto"/>
            </w:tcBorders>
          </w:tcPr>
          <w:p>
            <w:pPr/>
          </w:p>
        </w:tc>
        <w:tc>
          <w:tcPr>
            <w:tcW w:w="673" w:type="dxa"/>
            <w:tcBorders>
              <w:top w:val="nil" w:sz="6" w:space="0" w:color="auto"/>
              <w:left w:val="nil" w:sz="6" w:space="0" w:color="auto"/>
              <w:bottom w:val="nil" w:sz="6" w:space="0" w:color="auto"/>
              <w:right w:val="nil" w:sz="6" w:space="0" w:color="auto"/>
            </w:tcBorders>
          </w:tcPr>
          <w:p>
            <w:pPr/>
          </w:p>
        </w:tc>
        <w:tc>
          <w:tcPr>
            <w:tcW w:w="1189" w:type="dxa"/>
            <w:tcBorders>
              <w:top w:val="nil" w:sz="6" w:space="0" w:color="auto"/>
              <w:left w:val="nil" w:sz="6" w:space="0" w:color="auto"/>
              <w:bottom w:val="nil" w:sz="6" w:space="0" w:color="auto"/>
              <w:right w:val="nil" w:sz="6" w:space="0" w:color="auto"/>
            </w:tcBorders>
          </w:tcPr>
          <w:p>
            <w:pPr/>
          </w:p>
        </w:tc>
        <w:tc>
          <w:tcPr>
            <w:tcW w:w="2058" w:type="dxa"/>
            <w:tcBorders>
              <w:top w:val="nil" w:sz="6" w:space="0" w:color="auto"/>
              <w:left w:val="nil" w:sz="6" w:space="0" w:color="auto"/>
              <w:bottom w:val="nil" w:sz="6" w:space="0" w:color="auto"/>
              <w:right w:val="nil" w:sz="6" w:space="0" w:color="auto"/>
            </w:tcBorders>
          </w:tcPr>
          <w:p>
            <w:pPr/>
          </w:p>
        </w:tc>
      </w:tr>
      <w:tr>
        <w:trPr>
          <w:trHeight w:val="430"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70" w:right="0"/>
              <w:jc w:val="left"/>
              <w:rPr>
                <w:rFonts w:ascii="宋体" w:hAnsi="宋体" w:cs="宋体" w:eastAsia="宋体" w:hint="default"/>
                <w:sz w:val="13"/>
                <w:szCs w:val="13"/>
              </w:rPr>
            </w:pPr>
            <w:r>
              <w:rPr>
                <w:rFonts w:ascii="宋体" w:hAnsi="宋体" w:cs="宋体" w:eastAsia="宋体" w:hint="default"/>
                <w:sz w:val="13"/>
                <w:szCs w:val="13"/>
              </w:rPr>
              <w:t>限公司（注</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7</w:t>
            </w:r>
            <w:r>
              <w:rPr>
                <w:rFonts w:ascii="宋体" w:hAnsi="宋体" w:cs="宋体" w:eastAsia="宋体" w:hint="default"/>
                <w:sz w:val="13"/>
                <w:szCs w:val="13"/>
              </w:rPr>
              <w:t>）</w:t>
            </w:r>
          </w:p>
        </w:tc>
        <w:tc>
          <w:tcPr>
            <w:tcW w:w="545" w:type="dxa"/>
            <w:tcBorders>
              <w:top w:val="nil" w:sz="6" w:space="0" w:color="auto"/>
              <w:left w:val="nil" w:sz="6" w:space="0" w:color="auto"/>
              <w:bottom w:val="nil" w:sz="6" w:space="0" w:color="auto"/>
              <w:right w:val="nil" w:sz="6" w:space="0" w:color="auto"/>
            </w:tcBorders>
          </w:tcPr>
          <w:p>
            <w:pPr>
              <w:pStyle w:val="TableParagraph"/>
              <w:spacing w:line="140" w:lineRule="exact"/>
              <w:ind w:right="105"/>
              <w:jc w:val="center"/>
              <w:rPr>
                <w:rFonts w:ascii="宋体" w:hAnsi="宋体" w:cs="宋体" w:eastAsia="宋体" w:hint="default"/>
                <w:sz w:val="13"/>
                <w:szCs w:val="13"/>
              </w:rPr>
            </w:pPr>
            <w:r>
              <w:rPr>
                <w:rFonts w:ascii="宋体" w:hAnsi="宋体" w:cs="宋体" w:eastAsia="宋体" w:hint="default"/>
                <w:sz w:val="13"/>
                <w:szCs w:val="13"/>
              </w:rPr>
              <w:t>全资</w:t>
            </w:r>
          </w:p>
        </w:tc>
        <w:tc>
          <w:tcPr>
            <w:tcW w:w="655" w:type="dxa"/>
            <w:tcBorders>
              <w:top w:val="nil" w:sz="6" w:space="0" w:color="auto"/>
              <w:left w:val="nil" w:sz="6" w:space="0" w:color="auto"/>
              <w:bottom w:val="nil" w:sz="6" w:space="0" w:color="auto"/>
              <w:right w:val="nil" w:sz="6" w:space="0" w:color="auto"/>
            </w:tcBorders>
          </w:tcPr>
          <w:p>
            <w:pPr>
              <w:pStyle w:val="TableParagraph"/>
              <w:spacing w:line="140" w:lineRule="exact"/>
              <w:ind w:left="94" w:right="0"/>
              <w:jc w:val="left"/>
              <w:rPr>
                <w:rFonts w:ascii="宋体" w:hAnsi="宋体" w:cs="宋体" w:eastAsia="宋体" w:hint="default"/>
                <w:sz w:val="13"/>
                <w:szCs w:val="13"/>
              </w:rPr>
            </w:pPr>
            <w:r>
              <w:rPr>
                <w:rFonts w:ascii="宋体" w:hAnsi="宋体" w:cs="宋体" w:eastAsia="宋体" w:hint="default"/>
                <w:sz w:val="13"/>
                <w:szCs w:val="13"/>
              </w:rPr>
              <w:t>合肥</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29"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Times New Roman" w:hAnsi="Times New Roman" w:cs="Times New Roman" w:eastAsia="Times New Roman" w:hint="default"/>
                <w:sz w:val="13"/>
                <w:szCs w:val="13"/>
              </w:rPr>
            </w:pPr>
            <w:r>
              <w:rPr>
                <w:rFonts w:ascii="Times New Roman"/>
                <w:w w:val="95"/>
                <w:sz w:val="13"/>
              </w:rPr>
              <w:t>500,000</w:t>
            </w:r>
            <w:r>
              <w:rPr>
                <w:rFonts w:ascii="Times New Roman"/>
                <w:sz w:val="13"/>
              </w:rPr>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08" w:right="0"/>
              <w:jc w:val="left"/>
              <w:rPr>
                <w:rFonts w:ascii="宋体" w:hAnsi="宋体" w:cs="宋体" w:eastAsia="宋体" w:hint="default"/>
                <w:sz w:val="13"/>
                <w:szCs w:val="13"/>
              </w:rPr>
            </w:pPr>
            <w:r>
              <w:rPr>
                <w:rFonts w:ascii="宋体" w:hAnsi="宋体" w:cs="宋体" w:eastAsia="宋体" w:hint="default"/>
                <w:sz w:val="13"/>
                <w:szCs w:val="13"/>
              </w:rPr>
              <w:t>集成、技术咨询服务</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1"/>
              <w:jc w:val="right"/>
              <w:rPr>
                <w:rFonts w:ascii="Times New Roman" w:hAnsi="Times New Roman" w:cs="Times New Roman" w:eastAsia="Times New Roman" w:hint="default"/>
                <w:sz w:val="13"/>
                <w:szCs w:val="13"/>
              </w:rPr>
            </w:pPr>
            <w:r>
              <w:rPr>
                <w:rFonts w:ascii="Times New Roman"/>
                <w:w w:val="95"/>
                <w:sz w:val="13"/>
              </w:rPr>
              <w:t>500,000</w:t>
            </w:r>
            <w:r>
              <w:rPr>
                <w:rFonts w:ascii="Times New Roman"/>
                <w:sz w:val="13"/>
              </w:rPr>
            </w:r>
          </w:p>
        </w:tc>
        <w:tc>
          <w:tcPr>
            <w:tcW w:w="1059"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614" w:type="dxa"/>
            <w:tcBorders>
              <w:top w:val="nil" w:sz="6" w:space="0" w:color="auto"/>
              <w:left w:val="nil" w:sz="6" w:space="0" w:color="auto"/>
              <w:bottom w:val="nil" w:sz="6" w:space="0" w:color="auto"/>
              <w:right w:val="nil" w:sz="6" w:space="0" w:color="auto"/>
            </w:tcBorders>
          </w:tcPr>
          <w:p>
            <w:pPr>
              <w:pStyle w:val="TableParagraph"/>
              <w:spacing w:line="240" w:lineRule="auto" w:before="8"/>
              <w:ind w:left="5" w:right="0"/>
              <w:jc w:val="center"/>
              <w:rPr>
                <w:rFonts w:ascii="Times New Roman" w:hAnsi="Times New Roman" w:cs="Times New Roman" w:eastAsia="Times New Roman" w:hint="default"/>
                <w:sz w:val="13"/>
                <w:szCs w:val="13"/>
              </w:rPr>
            </w:pPr>
            <w:r>
              <w:rPr>
                <w:rFonts w:ascii="Times New Roman"/>
                <w:sz w:val="13"/>
              </w:rPr>
              <w:t>100</w:t>
            </w:r>
          </w:p>
        </w:tc>
        <w:tc>
          <w:tcPr>
            <w:tcW w:w="545" w:type="dxa"/>
            <w:tcBorders>
              <w:top w:val="nil" w:sz="6" w:space="0" w:color="auto"/>
              <w:left w:val="nil" w:sz="6" w:space="0" w:color="auto"/>
              <w:bottom w:val="nil" w:sz="6" w:space="0" w:color="auto"/>
              <w:right w:val="nil" w:sz="6" w:space="0" w:color="auto"/>
            </w:tcBorders>
          </w:tcPr>
          <w:p>
            <w:pPr>
              <w:pStyle w:val="TableParagraph"/>
              <w:spacing w:line="140" w:lineRule="exact"/>
              <w:ind w:right="1"/>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673" w:type="dxa"/>
            <w:tcBorders>
              <w:top w:val="nil" w:sz="6" w:space="0" w:color="auto"/>
              <w:left w:val="nil" w:sz="6" w:space="0" w:color="auto"/>
              <w:bottom w:val="nil" w:sz="6" w:space="0" w:color="auto"/>
              <w:right w:val="nil" w:sz="6" w:space="0" w:color="auto"/>
            </w:tcBorders>
          </w:tcPr>
          <w:p>
            <w:pPr/>
          </w:p>
        </w:tc>
        <w:tc>
          <w:tcPr>
            <w:tcW w:w="1189" w:type="dxa"/>
            <w:tcBorders>
              <w:top w:val="nil" w:sz="6" w:space="0" w:color="auto"/>
              <w:left w:val="nil" w:sz="6" w:space="0" w:color="auto"/>
              <w:bottom w:val="nil" w:sz="6" w:space="0" w:color="auto"/>
              <w:right w:val="nil" w:sz="6" w:space="0" w:color="auto"/>
            </w:tcBorders>
          </w:tcPr>
          <w:p>
            <w:pPr/>
          </w:p>
        </w:tc>
        <w:tc>
          <w:tcPr>
            <w:tcW w:w="2058" w:type="dxa"/>
            <w:tcBorders>
              <w:top w:val="nil" w:sz="6" w:space="0" w:color="auto"/>
              <w:left w:val="nil" w:sz="6" w:space="0" w:color="auto"/>
              <w:bottom w:val="nil" w:sz="6" w:space="0" w:color="auto"/>
              <w:right w:val="nil" w:sz="6" w:space="0" w:color="auto"/>
            </w:tcBorders>
          </w:tcPr>
          <w:p>
            <w:pPr/>
          </w:p>
        </w:tc>
      </w:tr>
      <w:tr>
        <w:trPr>
          <w:trHeight w:val="272"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92"/>
              <w:ind w:left="70" w:right="0"/>
              <w:jc w:val="left"/>
              <w:rPr>
                <w:rFonts w:ascii="宋体" w:hAnsi="宋体" w:cs="宋体" w:eastAsia="宋体" w:hint="default"/>
                <w:sz w:val="13"/>
                <w:szCs w:val="13"/>
              </w:rPr>
            </w:pPr>
            <w:r>
              <w:rPr>
                <w:rFonts w:ascii="宋体" w:hAnsi="宋体" w:cs="宋体" w:eastAsia="宋体" w:hint="default"/>
                <w:sz w:val="13"/>
                <w:szCs w:val="13"/>
              </w:rPr>
              <w:t>北京东软慧聚信息技</w:t>
            </w:r>
          </w:p>
        </w:tc>
        <w:tc>
          <w:tcPr>
            <w:tcW w:w="545" w:type="dxa"/>
            <w:tcBorders>
              <w:top w:val="nil" w:sz="6" w:space="0" w:color="auto"/>
              <w:left w:val="nil" w:sz="6" w:space="0" w:color="auto"/>
              <w:bottom w:val="nil" w:sz="6" w:space="0" w:color="auto"/>
              <w:right w:val="nil" w:sz="6" w:space="0" w:color="auto"/>
            </w:tcBorders>
          </w:tcPr>
          <w:p>
            <w:pPr/>
          </w:p>
        </w:tc>
        <w:tc>
          <w:tcPr>
            <w:tcW w:w="65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29"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855" w:type="dxa"/>
            <w:tcBorders>
              <w:top w:val="nil" w:sz="6" w:space="0" w:color="auto"/>
              <w:left w:val="nil" w:sz="6" w:space="0" w:color="auto"/>
              <w:bottom w:val="nil" w:sz="6" w:space="0" w:color="auto"/>
              <w:right w:val="nil" w:sz="6" w:space="0" w:color="auto"/>
            </w:tcBorders>
          </w:tcPr>
          <w:p>
            <w:pP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3"/>
                <w:szCs w:val="13"/>
              </w:rPr>
            </w:pPr>
            <w:r>
              <w:rPr>
                <w:rFonts w:ascii="宋体" w:hAnsi="宋体" w:cs="宋体" w:eastAsia="宋体" w:hint="default"/>
                <w:sz w:val="13"/>
                <w:szCs w:val="13"/>
              </w:rPr>
              <w:t>计算机软硬件、技术</w:t>
            </w:r>
          </w:p>
        </w:tc>
        <w:tc>
          <w:tcPr>
            <w:tcW w:w="868" w:type="dxa"/>
            <w:tcBorders>
              <w:top w:val="nil" w:sz="6" w:space="0" w:color="auto"/>
              <w:left w:val="nil" w:sz="6" w:space="0" w:color="auto"/>
              <w:bottom w:val="nil" w:sz="6" w:space="0" w:color="auto"/>
              <w:right w:val="nil" w:sz="6" w:space="0" w:color="auto"/>
            </w:tcBorders>
          </w:tcPr>
          <w:p>
            <w:pPr/>
          </w:p>
        </w:tc>
        <w:tc>
          <w:tcPr>
            <w:tcW w:w="1059"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614" w:type="dxa"/>
            <w:tcBorders>
              <w:top w:val="nil" w:sz="6" w:space="0" w:color="auto"/>
              <w:left w:val="nil" w:sz="6" w:space="0" w:color="auto"/>
              <w:bottom w:val="nil" w:sz="6" w:space="0" w:color="auto"/>
              <w:right w:val="nil" w:sz="6" w:space="0" w:color="auto"/>
            </w:tcBorders>
          </w:tcPr>
          <w:p>
            <w:pPr/>
          </w:p>
        </w:tc>
        <w:tc>
          <w:tcPr>
            <w:tcW w:w="545" w:type="dxa"/>
            <w:tcBorders>
              <w:top w:val="nil" w:sz="6" w:space="0" w:color="auto"/>
              <w:left w:val="nil" w:sz="6" w:space="0" w:color="auto"/>
              <w:bottom w:val="nil" w:sz="6" w:space="0" w:color="auto"/>
              <w:right w:val="nil" w:sz="6" w:space="0" w:color="auto"/>
            </w:tcBorders>
          </w:tcPr>
          <w:p>
            <w:pPr/>
          </w:p>
        </w:tc>
        <w:tc>
          <w:tcPr>
            <w:tcW w:w="673" w:type="dxa"/>
            <w:tcBorders>
              <w:top w:val="nil" w:sz="6" w:space="0" w:color="auto"/>
              <w:left w:val="nil" w:sz="6" w:space="0" w:color="auto"/>
              <w:bottom w:val="nil" w:sz="6" w:space="0" w:color="auto"/>
              <w:right w:val="nil" w:sz="6" w:space="0" w:color="auto"/>
            </w:tcBorders>
          </w:tcPr>
          <w:p>
            <w:pPr/>
          </w:p>
        </w:tc>
        <w:tc>
          <w:tcPr>
            <w:tcW w:w="1189" w:type="dxa"/>
            <w:tcBorders>
              <w:top w:val="nil" w:sz="6" w:space="0" w:color="auto"/>
              <w:left w:val="nil" w:sz="6" w:space="0" w:color="auto"/>
              <w:bottom w:val="nil" w:sz="6" w:space="0" w:color="auto"/>
              <w:right w:val="nil" w:sz="6" w:space="0" w:color="auto"/>
            </w:tcBorders>
          </w:tcPr>
          <w:p>
            <w:pPr/>
          </w:p>
        </w:tc>
        <w:tc>
          <w:tcPr>
            <w:tcW w:w="2058" w:type="dxa"/>
            <w:tcBorders>
              <w:top w:val="nil" w:sz="6" w:space="0" w:color="auto"/>
              <w:left w:val="nil" w:sz="6" w:space="0" w:color="auto"/>
              <w:bottom w:val="nil" w:sz="6" w:space="0" w:color="auto"/>
              <w:right w:val="nil" w:sz="6" w:space="0" w:color="auto"/>
            </w:tcBorders>
          </w:tcPr>
          <w:p>
            <w:pPr/>
          </w:p>
        </w:tc>
      </w:tr>
      <w:tr>
        <w:trPr>
          <w:trHeight w:val="368"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70" w:right="0"/>
              <w:jc w:val="left"/>
              <w:rPr>
                <w:rFonts w:ascii="宋体" w:hAnsi="宋体" w:cs="宋体" w:eastAsia="宋体" w:hint="default"/>
                <w:sz w:val="13"/>
                <w:szCs w:val="13"/>
              </w:rPr>
            </w:pPr>
            <w:r>
              <w:rPr>
                <w:rFonts w:ascii="宋体" w:hAnsi="宋体" w:cs="宋体" w:eastAsia="宋体" w:hint="default"/>
                <w:sz w:val="13"/>
                <w:szCs w:val="13"/>
              </w:rPr>
              <w:t>术有限公司（注</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8</w:t>
            </w:r>
            <w:r>
              <w:rPr>
                <w:rFonts w:ascii="宋体" w:hAnsi="宋体" w:cs="宋体" w:eastAsia="宋体" w:hint="default"/>
                <w:sz w:val="13"/>
                <w:szCs w:val="13"/>
              </w:rPr>
              <w:t>）</w:t>
            </w:r>
          </w:p>
        </w:tc>
        <w:tc>
          <w:tcPr>
            <w:tcW w:w="545" w:type="dxa"/>
            <w:tcBorders>
              <w:top w:val="nil" w:sz="6" w:space="0" w:color="auto"/>
              <w:left w:val="nil" w:sz="6" w:space="0" w:color="auto"/>
              <w:bottom w:val="nil" w:sz="6" w:space="0" w:color="auto"/>
              <w:right w:val="nil" w:sz="6" w:space="0" w:color="auto"/>
            </w:tcBorders>
          </w:tcPr>
          <w:p>
            <w:pPr>
              <w:pStyle w:val="TableParagraph"/>
              <w:spacing w:line="140" w:lineRule="exact"/>
              <w:ind w:right="105"/>
              <w:jc w:val="center"/>
              <w:rPr>
                <w:rFonts w:ascii="宋体" w:hAnsi="宋体" w:cs="宋体" w:eastAsia="宋体" w:hint="default"/>
                <w:sz w:val="13"/>
                <w:szCs w:val="13"/>
              </w:rPr>
            </w:pPr>
            <w:r>
              <w:rPr>
                <w:rFonts w:ascii="宋体" w:hAnsi="宋体" w:cs="宋体" w:eastAsia="宋体" w:hint="default"/>
                <w:sz w:val="13"/>
                <w:szCs w:val="13"/>
              </w:rPr>
              <w:t>控股</w:t>
            </w:r>
          </w:p>
        </w:tc>
        <w:tc>
          <w:tcPr>
            <w:tcW w:w="655" w:type="dxa"/>
            <w:tcBorders>
              <w:top w:val="nil" w:sz="6" w:space="0" w:color="auto"/>
              <w:left w:val="nil" w:sz="6" w:space="0" w:color="auto"/>
              <w:bottom w:val="nil" w:sz="6" w:space="0" w:color="auto"/>
              <w:right w:val="nil" w:sz="6" w:space="0" w:color="auto"/>
            </w:tcBorders>
          </w:tcPr>
          <w:p>
            <w:pPr>
              <w:pStyle w:val="TableParagraph"/>
              <w:spacing w:line="140" w:lineRule="exact"/>
              <w:ind w:left="94" w:right="0"/>
              <w:jc w:val="left"/>
              <w:rPr>
                <w:rFonts w:ascii="宋体" w:hAnsi="宋体" w:cs="宋体" w:eastAsia="宋体" w:hint="default"/>
                <w:sz w:val="13"/>
                <w:szCs w:val="13"/>
              </w:rPr>
            </w:pPr>
            <w:r>
              <w:rPr>
                <w:rFonts w:ascii="宋体" w:hAnsi="宋体" w:cs="宋体" w:eastAsia="宋体" w:hint="default"/>
                <w:sz w:val="13"/>
                <w:szCs w:val="13"/>
              </w:rPr>
              <w:t>北京</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29"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Times New Roman" w:hAnsi="Times New Roman" w:cs="Times New Roman" w:eastAsia="Times New Roman" w:hint="default"/>
                <w:sz w:val="13"/>
                <w:szCs w:val="13"/>
              </w:rPr>
            </w:pPr>
            <w:r>
              <w:rPr>
                <w:rFonts w:ascii="Times New Roman"/>
                <w:w w:val="95"/>
                <w:sz w:val="13"/>
              </w:rPr>
              <w:t>22,500,000</w:t>
            </w:r>
            <w:r>
              <w:rPr>
                <w:rFonts w:ascii="Times New Roman"/>
                <w:sz w:val="13"/>
              </w:rPr>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08" w:right="0"/>
              <w:jc w:val="left"/>
              <w:rPr>
                <w:rFonts w:ascii="宋体" w:hAnsi="宋体" w:cs="宋体" w:eastAsia="宋体" w:hint="default"/>
                <w:sz w:val="13"/>
                <w:szCs w:val="13"/>
              </w:rPr>
            </w:pPr>
            <w:r>
              <w:rPr>
                <w:rFonts w:ascii="宋体" w:hAnsi="宋体" w:cs="宋体" w:eastAsia="宋体" w:hint="default"/>
                <w:sz w:val="13"/>
                <w:szCs w:val="13"/>
              </w:rPr>
              <w:t>服务</w:t>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1"/>
              <w:jc w:val="right"/>
              <w:rPr>
                <w:rFonts w:ascii="Times New Roman" w:hAnsi="Times New Roman" w:cs="Times New Roman" w:eastAsia="Times New Roman" w:hint="default"/>
                <w:sz w:val="13"/>
                <w:szCs w:val="13"/>
              </w:rPr>
            </w:pPr>
            <w:r>
              <w:rPr>
                <w:rFonts w:ascii="Times New Roman"/>
                <w:w w:val="95"/>
                <w:sz w:val="13"/>
              </w:rPr>
              <w:t>13,500,000</w:t>
            </w:r>
            <w:r>
              <w:rPr>
                <w:rFonts w:ascii="Times New Roman"/>
                <w:sz w:val="13"/>
              </w:rPr>
            </w:r>
          </w:p>
        </w:tc>
        <w:tc>
          <w:tcPr>
            <w:tcW w:w="1059"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614" w:type="dxa"/>
            <w:tcBorders>
              <w:top w:val="nil" w:sz="6" w:space="0" w:color="auto"/>
              <w:left w:val="nil" w:sz="6" w:space="0" w:color="auto"/>
              <w:bottom w:val="nil" w:sz="6" w:space="0" w:color="auto"/>
              <w:right w:val="nil" w:sz="6" w:space="0" w:color="auto"/>
            </w:tcBorders>
          </w:tcPr>
          <w:p>
            <w:pPr>
              <w:pStyle w:val="TableParagraph"/>
              <w:spacing w:line="240" w:lineRule="auto" w:before="8"/>
              <w:ind w:left="5" w:right="0"/>
              <w:jc w:val="center"/>
              <w:rPr>
                <w:rFonts w:ascii="Times New Roman" w:hAnsi="Times New Roman" w:cs="Times New Roman" w:eastAsia="Times New Roman" w:hint="default"/>
                <w:sz w:val="13"/>
                <w:szCs w:val="13"/>
              </w:rPr>
            </w:pPr>
            <w:r>
              <w:rPr>
                <w:rFonts w:ascii="Times New Roman"/>
                <w:sz w:val="13"/>
              </w:rPr>
              <w:t>60</w:t>
            </w:r>
          </w:p>
        </w:tc>
        <w:tc>
          <w:tcPr>
            <w:tcW w:w="545" w:type="dxa"/>
            <w:tcBorders>
              <w:top w:val="nil" w:sz="6" w:space="0" w:color="auto"/>
              <w:left w:val="nil" w:sz="6" w:space="0" w:color="auto"/>
              <w:bottom w:val="nil" w:sz="6" w:space="0" w:color="auto"/>
              <w:right w:val="nil" w:sz="6" w:space="0" w:color="auto"/>
            </w:tcBorders>
          </w:tcPr>
          <w:p>
            <w:pPr>
              <w:pStyle w:val="TableParagraph"/>
              <w:spacing w:line="140" w:lineRule="exact"/>
              <w:ind w:right="1"/>
              <w:jc w:val="center"/>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673" w:type="dxa"/>
            <w:tcBorders>
              <w:top w:val="nil" w:sz="6" w:space="0" w:color="auto"/>
              <w:left w:val="nil" w:sz="6" w:space="0" w:color="auto"/>
              <w:bottom w:val="nil" w:sz="6" w:space="0" w:color="auto"/>
              <w:right w:val="nil" w:sz="6" w:space="0" w:color="auto"/>
            </w:tcBorders>
          </w:tcPr>
          <w:p>
            <w:pPr>
              <w:pStyle w:val="TableParagraph"/>
              <w:spacing w:line="240" w:lineRule="auto" w:before="8"/>
              <w:ind w:left="5" w:right="0"/>
              <w:jc w:val="center"/>
              <w:rPr>
                <w:rFonts w:ascii="Times New Roman" w:hAnsi="Times New Roman" w:cs="Times New Roman" w:eastAsia="Times New Roman" w:hint="default"/>
                <w:sz w:val="13"/>
                <w:szCs w:val="13"/>
              </w:rPr>
            </w:pPr>
            <w:r>
              <w:rPr>
                <w:rFonts w:ascii="Times New Roman"/>
                <w:sz w:val="13"/>
              </w:rPr>
              <w:t>40</w:t>
            </w:r>
          </w:p>
        </w:tc>
        <w:tc>
          <w:tcPr>
            <w:tcW w:w="1189" w:type="dxa"/>
            <w:tcBorders>
              <w:top w:val="nil" w:sz="6" w:space="0" w:color="auto"/>
              <w:left w:val="nil" w:sz="6" w:space="0" w:color="auto"/>
              <w:bottom w:val="nil" w:sz="6" w:space="0" w:color="auto"/>
              <w:right w:val="nil" w:sz="6" w:space="0" w:color="auto"/>
            </w:tcBorders>
          </w:tcPr>
          <w:p>
            <w:pPr/>
          </w:p>
        </w:tc>
        <w:tc>
          <w:tcPr>
            <w:tcW w:w="2058" w:type="dxa"/>
            <w:tcBorders>
              <w:top w:val="nil" w:sz="6" w:space="0" w:color="auto"/>
              <w:left w:val="nil" w:sz="6" w:space="0" w:color="auto"/>
              <w:bottom w:val="nil" w:sz="6" w:space="0" w:color="auto"/>
              <w:right w:val="nil" w:sz="6" w:space="0" w:color="auto"/>
            </w:tcBorders>
          </w:tcPr>
          <w:p>
            <w:pPr/>
          </w:p>
        </w:tc>
      </w:tr>
    </w:tbl>
    <w:p>
      <w:pPr>
        <w:spacing w:line="240" w:lineRule="auto" w:before="2"/>
        <w:rPr>
          <w:rFonts w:ascii="宋体" w:hAnsi="宋体" w:cs="宋体" w:eastAsia="宋体" w:hint="default"/>
          <w:sz w:val="5"/>
          <w:szCs w:val="5"/>
        </w:rPr>
      </w:pPr>
    </w:p>
    <w:p>
      <w:pPr>
        <w:spacing w:before="35"/>
        <w:ind w:left="857" w:right="0" w:firstLine="0"/>
        <w:jc w:val="both"/>
        <w:rPr>
          <w:rFonts w:ascii="宋体" w:hAnsi="宋体" w:cs="宋体" w:eastAsia="宋体" w:hint="default"/>
          <w:sz w:val="21"/>
          <w:szCs w:val="21"/>
        </w:rPr>
      </w:pPr>
      <w:r>
        <w:rPr/>
        <w:pict>
          <v:group style="position:absolute;margin-left:101.270988pt;margin-top:-229.226334pt;width:672.45pt;height:226.35pt;mso-position-horizontal-relative:page;mso-position-vertical-relative:paragraph;z-index:-995488" coordorigin="2025,-4585" coordsize="13449,4527">
            <v:group style="position:absolute;left:2049;top:-4575;width:1491;height:2" coordorigin="2049,-4575" coordsize="1491,2">
              <v:shape style="position:absolute;left:2049;top:-4575;width:1491;height:2" coordorigin="2049,-4575" coordsize="1491,0" path="m2049,-4575l3540,-4575e" filled="false" stroked="true" strokeweight=".96001pt" strokecolor="#000000">
                <v:path arrowok="t"/>
              </v:shape>
            </v:group>
            <v:group style="position:absolute;left:3540;top:-4575;width:551;height:2" coordorigin="3540,-4575" coordsize="551,2">
              <v:shape style="position:absolute;left:3540;top:-4575;width:551;height:2" coordorigin="3540,-4575" coordsize="551,0" path="m3540,-4575l4091,-4575e" filled="false" stroked="true" strokeweight=".96001pt" strokecolor="#000000">
                <v:path arrowok="t"/>
              </v:shape>
            </v:group>
            <v:group style="position:absolute;left:4091;top:-4575;width:690;height:2" coordorigin="4091,-4575" coordsize="690,2">
              <v:shape style="position:absolute;left:4091;top:-4575;width:690;height:2" coordorigin="4091,-4575" coordsize="690,0" path="m4091,-4575l4781,-4575e" filled="false" stroked="true" strokeweight=".96001pt" strokecolor="#000000">
                <v:path arrowok="t"/>
              </v:shape>
            </v:group>
            <v:group style="position:absolute;left:4781;top:-4575;width:810;height:2" coordorigin="4781,-4575" coordsize="810,2">
              <v:shape style="position:absolute;left:4781;top:-4575;width:810;height:2" coordorigin="4781,-4575" coordsize="810,0" path="m4781,-4575l5591,-4575e" filled="false" stroked="true" strokeweight=".96001pt" strokecolor="#000000">
                <v:path arrowok="t"/>
              </v:shape>
            </v:group>
            <v:group style="position:absolute;left:5591;top:-4575;width:870;height:2" coordorigin="5591,-4575" coordsize="870,2">
              <v:shape style="position:absolute;left:5591;top:-4575;width:870;height:2" coordorigin="5591,-4575" coordsize="870,0" path="m5591,-4575l6461,-4575e" filled="false" stroked="true" strokeweight=".96001pt" strokecolor="#000000">
                <v:path arrowok="t"/>
              </v:shape>
            </v:group>
            <v:group style="position:absolute;left:6461;top:-4575;width:1434;height:2" coordorigin="6461,-4575" coordsize="1434,2">
              <v:shape style="position:absolute;left:6461;top:-4575;width:1434;height:2" coordorigin="6461,-4575" coordsize="1434,0" path="m6461,-4575l7895,-4575e" filled="false" stroked="true" strokeweight=".96001pt" strokecolor="#000000">
                <v:path arrowok="t"/>
              </v:shape>
            </v:group>
            <v:group style="position:absolute;left:7895;top:-4575;width:870;height:2" coordorigin="7895,-4575" coordsize="870,2">
              <v:shape style="position:absolute;left:7895;top:-4575;width:870;height:2" coordorigin="7895,-4575" coordsize="870,0" path="m7895,-4575l8765,-4575e" filled="false" stroked="true" strokeweight=".96001pt" strokecolor="#000000">
                <v:path arrowok="t"/>
              </v:shape>
            </v:group>
            <v:group style="position:absolute;left:8765;top:-4575;width:1011;height:2" coordorigin="8765,-4575" coordsize="1011,2">
              <v:shape style="position:absolute;left:8765;top:-4575;width:1011;height:2" coordorigin="8765,-4575" coordsize="1011,0" path="m8765,-4575l9775,-4575e" filled="false" stroked="true" strokeweight=".96001pt" strokecolor="#000000">
                <v:path arrowok="t"/>
              </v:shape>
            </v:group>
            <v:group style="position:absolute;left:9775;top:-4575;width:572;height:2" coordorigin="9775,-4575" coordsize="572,2">
              <v:shape style="position:absolute;left:9775;top:-4575;width:572;height:2" coordorigin="9775,-4575" coordsize="572,0" path="m9775,-4575l10346,-4575e" filled="false" stroked="true" strokeweight=".96001pt" strokecolor="#000000">
                <v:path arrowok="t"/>
              </v:shape>
            </v:group>
            <v:group style="position:absolute;left:10346;top:-4575;width:604;height:2" coordorigin="10346,-4575" coordsize="604,2">
              <v:shape style="position:absolute;left:10346;top:-4575;width:604;height:2" coordorigin="10346,-4575" coordsize="604,0" path="m10346,-4575l10950,-4575e" filled="false" stroked="true" strokeweight=".96001pt" strokecolor="#000000">
                <v:path arrowok="t"/>
              </v:shape>
            </v:group>
            <v:group style="position:absolute;left:10950;top:-4575;width:548;height:2" coordorigin="10950,-4575" coordsize="548,2">
              <v:shape style="position:absolute;left:10950;top:-4575;width:548;height:2" coordorigin="10950,-4575" coordsize="548,0" path="m10950,-4575l11497,-4575e" filled="false" stroked="true" strokeweight=".96001pt" strokecolor="#000000">
                <v:path arrowok="t"/>
              </v:shape>
            </v:group>
            <v:group style="position:absolute;left:11497;top:-4575;width:680;height:2" coordorigin="11497,-4575" coordsize="680,2">
              <v:shape style="position:absolute;left:11497;top:-4575;width:680;height:2" coordorigin="11497,-4575" coordsize="680,0" path="m11497,-4575l12176,-4575e" filled="false" stroked="true" strokeweight=".96001pt" strokecolor="#000000">
                <v:path arrowok="t"/>
              </v:shape>
            </v:group>
            <v:group style="position:absolute;left:12176;top:-4575;width:1180;height:2" coordorigin="12176,-4575" coordsize="1180,2">
              <v:shape style="position:absolute;left:12176;top:-4575;width:1180;height:2" coordorigin="12176,-4575" coordsize="1180,0" path="m12176,-4575l13356,-4575e" filled="false" stroked="true" strokeweight=".96001pt" strokecolor="#000000">
                <v:path arrowok="t"/>
              </v:shape>
            </v:group>
            <v:group style="position:absolute;left:13356;top:-4575;width:2102;height:2" coordorigin="13356,-4575" coordsize="2102,2">
              <v:shape style="position:absolute;left:13356;top:-4575;width:2102;height:2" coordorigin="13356,-4575" coordsize="2102,0" path="m13356,-4575l15457,-4575e" filled="false" stroked="true" strokeweight=".96001pt" strokecolor="#000000">
                <v:path arrowok="t"/>
              </v:shape>
            </v:group>
            <v:group style="position:absolute;left:2035;top:-68;width:1505;height:2" coordorigin="2035,-68" coordsize="1505,2">
              <v:shape style="position:absolute;left:2035;top:-68;width:1505;height:2" coordorigin="2035,-68" coordsize="1505,0" path="m2035,-68l3540,-68e" filled="false" stroked="true" strokeweight=".96002pt" strokecolor="#000000">
                <v:path arrowok="t"/>
              </v:shape>
            </v:group>
            <v:group style="position:absolute;left:3540;top:-68;width:551;height:2" coordorigin="3540,-68" coordsize="551,2">
              <v:shape style="position:absolute;left:3540;top:-68;width:551;height:2" coordorigin="3540,-68" coordsize="551,0" path="m3540,-68l4091,-68e" filled="false" stroked="true" strokeweight=".96002pt" strokecolor="#000000">
                <v:path arrowok="t"/>
              </v:shape>
            </v:group>
            <v:group style="position:absolute;left:4091;top:-68;width:690;height:2" coordorigin="4091,-68" coordsize="690,2">
              <v:shape style="position:absolute;left:4091;top:-68;width:690;height:2" coordorigin="4091,-68" coordsize="690,0" path="m4091,-68l4781,-68e" filled="false" stroked="true" strokeweight=".96002pt" strokecolor="#000000">
                <v:path arrowok="t"/>
              </v:shape>
            </v:group>
            <v:group style="position:absolute;left:4781;top:-68;width:810;height:2" coordorigin="4781,-68" coordsize="810,2">
              <v:shape style="position:absolute;left:4781;top:-68;width:810;height:2" coordorigin="4781,-68" coordsize="810,0" path="m4781,-68l5591,-68e" filled="false" stroked="true" strokeweight=".96002pt" strokecolor="#000000">
                <v:path arrowok="t"/>
              </v:shape>
            </v:group>
            <v:group style="position:absolute;left:5591;top:-68;width:870;height:2" coordorigin="5591,-68" coordsize="870,2">
              <v:shape style="position:absolute;left:5591;top:-68;width:870;height:2" coordorigin="5591,-68" coordsize="870,0" path="m5591,-68l6461,-68e" filled="false" stroked="true" strokeweight=".96002pt" strokecolor="#000000">
                <v:path arrowok="t"/>
              </v:shape>
            </v:group>
            <v:group style="position:absolute;left:6461;top:-68;width:1434;height:2" coordorigin="6461,-68" coordsize="1434,2">
              <v:shape style="position:absolute;left:6461;top:-68;width:1434;height:2" coordorigin="6461,-68" coordsize="1434,0" path="m6461,-68l7895,-68e" filled="false" stroked="true" strokeweight=".96002pt" strokecolor="#000000">
                <v:path arrowok="t"/>
              </v:shape>
            </v:group>
            <v:group style="position:absolute;left:7895;top:-68;width:870;height:2" coordorigin="7895,-68" coordsize="870,2">
              <v:shape style="position:absolute;left:7895;top:-68;width:870;height:2" coordorigin="7895,-68" coordsize="870,0" path="m7895,-68l8765,-68e" filled="false" stroked="true" strokeweight=".96002pt" strokecolor="#000000">
                <v:path arrowok="t"/>
              </v:shape>
            </v:group>
            <v:group style="position:absolute;left:8765;top:-68;width:1011;height:2" coordorigin="8765,-68" coordsize="1011,2">
              <v:shape style="position:absolute;left:8765;top:-68;width:1011;height:2" coordorigin="8765,-68" coordsize="1011,0" path="m8765,-68l9775,-68e" filled="false" stroked="true" strokeweight=".96002pt" strokecolor="#000000">
                <v:path arrowok="t"/>
              </v:shape>
            </v:group>
            <v:group style="position:absolute;left:9775;top:-68;width:572;height:2" coordorigin="9775,-68" coordsize="572,2">
              <v:shape style="position:absolute;left:9775;top:-68;width:572;height:2" coordorigin="9775,-68" coordsize="572,0" path="m9775,-68l10346,-68e" filled="false" stroked="true" strokeweight=".96002pt" strokecolor="#000000">
                <v:path arrowok="t"/>
              </v:shape>
            </v:group>
            <v:group style="position:absolute;left:10346;top:-68;width:604;height:2" coordorigin="10346,-68" coordsize="604,2">
              <v:shape style="position:absolute;left:10346;top:-68;width:604;height:2" coordorigin="10346,-68" coordsize="604,0" path="m10346,-68l10950,-68e" filled="false" stroked="true" strokeweight=".96002pt" strokecolor="#000000">
                <v:path arrowok="t"/>
              </v:shape>
            </v:group>
            <v:group style="position:absolute;left:10950;top:-68;width:548;height:2" coordorigin="10950,-68" coordsize="548,2">
              <v:shape style="position:absolute;left:10950;top:-68;width:548;height:2" coordorigin="10950,-68" coordsize="548,0" path="m10950,-68l11497,-68e" filled="false" stroked="true" strokeweight=".96002pt" strokecolor="#000000">
                <v:path arrowok="t"/>
              </v:shape>
            </v:group>
            <v:group style="position:absolute;left:11497;top:-68;width:680;height:2" coordorigin="11497,-68" coordsize="680,2">
              <v:shape style="position:absolute;left:11497;top:-68;width:680;height:2" coordorigin="11497,-68" coordsize="680,0" path="m11497,-68l12176,-68e" filled="false" stroked="true" strokeweight=".96002pt" strokecolor="#000000">
                <v:path arrowok="t"/>
              </v:shape>
            </v:group>
            <v:group style="position:absolute;left:12176;top:-68;width:1180;height:2" coordorigin="12176,-68" coordsize="1180,2">
              <v:shape style="position:absolute;left:12176;top:-68;width:1180;height:2" coordorigin="12176,-68" coordsize="1180,0" path="m12176,-68l13356,-68e" filled="false" stroked="true" strokeweight=".96002pt" strokecolor="#000000">
                <v:path arrowok="t"/>
              </v:shape>
              <v:shape style="position:absolute;left:2049;top:-4565;width:13418;height:4488" type="#_x0000_t75" stroked="false">
                <v:imagedata r:id="rId38" o:title=""/>
              </v:shape>
            </v:group>
            <v:group style="position:absolute;left:13356;top:-68;width:2109;height:2" coordorigin="13356,-68" coordsize="2109,2">
              <v:shape style="position:absolute;left:13356;top:-68;width:2109;height:2" coordorigin="13356,-68" coordsize="2109,0" path="m13356,-68l15464,-68e" filled="false" stroked="true" strokeweight=".96002pt" strokecolor="#000000">
                <v:path arrowok="t"/>
              </v:shape>
            </v:group>
            <w10:wrap type="none"/>
          </v:group>
        </w:pict>
      </w:r>
      <w:r>
        <w:rPr>
          <w:rFonts w:ascii="宋体" w:hAnsi="宋体" w:cs="宋体" w:eastAsia="宋体" w:hint="default"/>
          <w:sz w:val="21"/>
          <w:szCs w:val="21"/>
        </w:rPr>
        <w:t>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：天津东软软件技术有限公司为本公司之子公司北京东软超越软件技术有限公司出资设立，持股比例为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w:t>
      </w:r>
    </w:p>
    <w:p>
      <w:pPr>
        <w:spacing w:line="328" w:lineRule="auto" w:before="110"/>
        <w:ind w:left="857" w:right="2628"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w:t>
      </w:r>
      <w:r>
        <w:rPr>
          <w:rFonts w:ascii="宋体" w:hAnsi="宋体" w:cs="宋体" w:eastAsia="宋体" w:hint="default"/>
          <w:sz w:val="21"/>
          <w:szCs w:val="21"/>
        </w:rPr>
        <w:t>：沈阳东软医疗系统进出口有限公司为本公司之子公司沈阳东软医疗系统有限公司出资设立，持股比例为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 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：东软医疗（美国）有限公司为本公司之子公司沈阳东软医疗系统有限公司出资设立，持股比例为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w:t>
      </w:r>
    </w:p>
    <w:p>
      <w:pPr>
        <w:spacing w:line="331" w:lineRule="auto" w:before="23"/>
        <w:ind w:left="857" w:right="2745" w:firstLine="0"/>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w:t>
      </w:r>
      <w:r>
        <w:rPr>
          <w:rFonts w:ascii="宋体" w:hAnsi="宋体" w:cs="宋体" w:eastAsia="宋体" w:hint="default"/>
          <w:sz w:val="21"/>
          <w:szCs w:val="21"/>
        </w:rPr>
        <w:t>：沈阳东软波谱磁共振技术有限公司为本公司之子公司沈阳东软医疗系统有限公司出资设立，持股比例为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80%</w:t>
      </w:r>
      <w:r>
        <w:rPr>
          <w:rFonts w:ascii="宋体" w:hAnsi="宋体" w:cs="宋体" w:eastAsia="宋体" w:hint="default"/>
          <w:sz w:val="21"/>
          <w:szCs w:val="21"/>
        </w:rPr>
        <w:t>； 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：沈阳东软派斯通医疗系统有限公司为本公司之子公司沈阳东软医疗系统有限公司出资设立，持股比例为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99%</w:t>
      </w:r>
      <w:r>
        <w:rPr>
          <w:rFonts w:ascii="宋体" w:hAnsi="宋体" w:cs="宋体" w:eastAsia="宋体" w:hint="default"/>
          <w:sz w:val="21"/>
          <w:szCs w:val="21"/>
        </w:rPr>
        <w:t>； 注</w:t>
      </w:r>
      <w:r>
        <w:rPr>
          <w:rFonts w:ascii="宋体" w:hAnsi="宋体" w:cs="宋体" w:eastAsia="宋体" w:hint="default"/>
          <w:spacing w:val="-49"/>
          <w:sz w:val="21"/>
          <w:szCs w:val="21"/>
        </w:rPr>
        <w:t> </w:t>
      </w:r>
      <w:r>
        <w:rPr>
          <w:rFonts w:ascii="Times New Roman" w:hAnsi="Times New Roman" w:cs="Times New Roman" w:eastAsia="Times New Roman" w:hint="default"/>
          <w:spacing w:val="-8"/>
          <w:sz w:val="21"/>
          <w:szCs w:val="21"/>
        </w:rPr>
        <w:t>6</w:t>
      </w:r>
      <w:r>
        <w:rPr>
          <w:rFonts w:ascii="宋体" w:hAnsi="宋体" w:cs="宋体" w:eastAsia="宋体" w:hint="default"/>
          <w:spacing w:val="-8"/>
          <w:sz w:val="21"/>
          <w:szCs w:val="21"/>
        </w:rPr>
        <w:t>：参见本附注四（四）、</w:t>
      </w:r>
      <w:r>
        <w:rPr>
          <w:rFonts w:ascii="Times New Roman" w:hAnsi="Times New Roman" w:cs="Times New Roman" w:eastAsia="Times New Roman" w:hint="default"/>
          <w:spacing w:val="-8"/>
          <w:sz w:val="21"/>
          <w:szCs w:val="21"/>
        </w:rPr>
        <w:t>1</w:t>
      </w:r>
      <w:r>
        <w:rPr>
          <w:rFonts w:ascii="宋体" w:hAnsi="宋体" w:cs="宋体" w:eastAsia="宋体" w:hint="default"/>
          <w:spacing w:val="-8"/>
          <w:sz w:val="21"/>
          <w:szCs w:val="21"/>
        </w:rPr>
        <w:t>；</w:t>
      </w:r>
    </w:p>
    <w:p>
      <w:pPr>
        <w:spacing w:line="331" w:lineRule="auto" w:before="20"/>
        <w:ind w:left="857" w:right="2838"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7</w:t>
      </w:r>
      <w:r>
        <w:rPr>
          <w:rFonts w:ascii="宋体" w:hAnsi="宋体" w:cs="宋体" w:eastAsia="宋体" w:hint="default"/>
          <w:sz w:val="21"/>
          <w:szCs w:val="21"/>
        </w:rPr>
        <w:t>：合肥东软信息技术有限公司为本公司之子公司上海东软时代数码技术有限公司出资设立，持股比例为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 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8</w:t>
      </w:r>
      <w:r>
        <w:rPr>
          <w:rFonts w:ascii="宋体" w:hAnsi="宋体" w:cs="宋体" w:eastAsia="宋体" w:hint="default"/>
          <w:sz w:val="21"/>
          <w:szCs w:val="21"/>
        </w:rPr>
        <w:t>：北京东软慧聚信息技术有限公司为本公司之子公司辽宁东软创业投资有限公司出资设立，持股比例为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60%</w:t>
      </w:r>
      <w:r>
        <w:rPr>
          <w:rFonts w:ascii="宋体" w:hAnsi="宋体" w:cs="宋体" w:eastAsia="宋体" w:hint="default"/>
          <w:sz w:val="21"/>
          <w:szCs w:val="21"/>
        </w:rPr>
        <w:t>。</w:t>
      </w:r>
    </w:p>
    <w:p>
      <w:pPr>
        <w:spacing w:before="20"/>
        <w:ind w:left="857" w:right="0" w:firstLine="0"/>
        <w:jc w:val="both"/>
        <w:rPr>
          <w:rFonts w:ascii="宋体" w:hAnsi="宋体" w:cs="宋体" w:eastAsia="宋体" w:hint="default"/>
          <w:sz w:val="21"/>
          <w:szCs w:val="21"/>
        </w:rPr>
      </w:pPr>
      <w:r>
        <w:rPr>
          <w:rFonts w:ascii="宋体"/>
          <w:sz w:val="21"/>
        </w:rPr>
        <w:t> </w:t>
      </w:r>
    </w:p>
    <w:p>
      <w:pPr>
        <w:spacing w:after="0"/>
        <w:jc w:val="both"/>
        <w:rPr>
          <w:rFonts w:ascii="宋体" w:hAnsi="宋体" w:cs="宋体" w:eastAsia="宋体" w:hint="default"/>
          <w:sz w:val="21"/>
          <w:szCs w:val="21"/>
        </w:rPr>
        <w:sectPr>
          <w:pgSz w:w="16840" w:h="11900" w:orient="landscape"/>
          <w:pgMar w:header="883" w:footer="995" w:top="1600" w:bottom="1180" w:left="1300" w:right="1260"/>
        </w:sectPr>
      </w:pPr>
    </w:p>
    <w:p>
      <w:pPr>
        <w:spacing w:line="240" w:lineRule="auto" w:before="11"/>
        <w:rPr>
          <w:rFonts w:ascii="宋体" w:hAnsi="宋体" w:cs="宋体" w:eastAsia="宋体" w:hint="default"/>
          <w:sz w:val="24"/>
          <w:szCs w:val="24"/>
        </w:rPr>
      </w:pPr>
    </w:p>
    <w:p>
      <w:pPr>
        <w:spacing w:before="35"/>
        <w:ind w:left="857" w:right="0" w:firstLine="0"/>
        <w:jc w:val="left"/>
        <w:rPr>
          <w:rFonts w:ascii="宋体" w:hAnsi="宋体" w:cs="宋体" w:eastAsia="宋体" w:hint="default"/>
          <w:sz w:val="21"/>
          <w:szCs w:val="21"/>
        </w:rPr>
      </w:pPr>
      <w:r>
        <w:rPr>
          <w:rFonts w:ascii="宋体" w:hAnsi="宋体" w:cs="宋体" w:eastAsia="宋体" w:hint="default"/>
          <w:sz w:val="21"/>
          <w:szCs w:val="21"/>
        </w:rPr>
        <w:t>2、 </w:t>
      </w:r>
      <w:r>
        <w:rPr>
          <w:rFonts w:ascii="宋体" w:hAnsi="宋体" w:cs="宋体" w:eastAsia="宋体" w:hint="default"/>
          <w:spacing w:val="23"/>
          <w:sz w:val="21"/>
          <w:szCs w:val="21"/>
        </w:rPr>
        <w:t> </w:t>
      </w:r>
      <w:r>
        <w:rPr>
          <w:rFonts w:ascii="宋体" w:hAnsi="宋体" w:cs="宋体" w:eastAsia="宋体" w:hint="default"/>
          <w:sz w:val="21"/>
          <w:szCs w:val="21"/>
        </w:rPr>
        <w:t>通过同一控制下企业合并取得的子公司 </w:t>
      </w:r>
    </w:p>
    <w:p>
      <w:pPr>
        <w:spacing w:line="240" w:lineRule="auto" w:before="7"/>
        <w:rPr>
          <w:rFonts w:ascii="宋体" w:hAnsi="宋体" w:cs="宋体" w:eastAsia="宋体" w:hint="default"/>
          <w:sz w:val="8"/>
          <w:szCs w:val="8"/>
        </w:rPr>
      </w:pPr>
    </w:p>
    <w:p>
      <w:pPr>
        <w:spacing w:before="59"/>
        <w:ind w:left="0" w:right="183" w:firstLine="0"/>
        <w:jc w:val="right"/>
        <w:rPr>
          <w:rFonts w:ascii="宋体" w:hAnsi="宋体" w:cs="宋体" w:eastAsia="宋体" w:hint="default"/>
          <w:sz w:val="13"/>
          <w:szCs w:val="13"/>
        </w:rPr>
      </w:pPr>
      <w:r>
        <w:rPr>
          <w:rFonts w:ascii="宋体" w:hAnsi="宋体" w:cs="宋体" w:eastAsia="宋体" w:hint="default"/>
          <w:w w:val="95"/>
          <w:sz w:val="13"/>
          <w:szCs w:val="13"/>
        </w:rPr>
        <w:t>从母公司所有者权益冲减子</w:t>
      </w:r>
      <w:r>
        <w:rPr>
          <w:rFonts w:ascii="宋体" w:hAnsi="宋体" w:cs="宋体" w:eastAsia="宋体" w:hint="default"/>
          <w:sz w:val="13"/>
          <w:szCs w:val="13"/>
        </w:rPr>
      </w:r>
    </w:p>
    <w:p>
      <w:pPr>
        <w:spacing w:after="0"/>
        <w:jc w:val="right"/>
        <w:rPr>
          <w:rFonts w:ascii="宋体" w:hAnsi="宋体" w:cs="宋体" w:eastAsia="宋体" w:hint="default"/>
          <w:sz w:val="13"/>
          <w:szCs w:val="13"/>
        </w:rPr>
        <w:sectPr>
          <w:pgSz w:w="16840" w:h="11900" w:orient="landscape"/>
          <w:pgMar w:header="883" w:footer="995" w:top="1600" w:bottom="1180" w:left="1300" w:right="1260"/>
        </w:sectPr>
      </w:pPr>
    </w:p>
    <w:p>
      <w:pPr>
        <w:spacing w:line="240" w:lineRule="auto" w:before="0"/>
        <w:rPr>
          <w:rFonts w:ascii="宋体" w:hAnsi="宋体" w:cs="宋体" w:eastAsia="宋体" w:hint="default"/>
          <w:sz w:val="12"/>
          <w:szCs w:val="12"/>
        </w:rPr>
      </w:pPr>
    </w:p>
    <w:p>
      <w:pPr>
        <w:spacing w:line="240" w:lineRule="auto" w:before="0"/>
        <w:rPr>
          <w:rFonts w:ascii="宋体" w:hAnsi="宋体" w:cs="宋体" w:eastAsia="宋体" w:hint="default"/>
          <w:sz w:val="12"/>
          <w:szCs w:val="12"/>
        </w:rPr>
      </w:pPr>
    </w:p>
    <w:p>
      <w:pPr>
        <w:spacing w:line="240" w:lineRule="auto" w:before="4"/>
        <w:rPr>
          <w:rFonts w:ascii="宋体" w:hAnsi="宋体" w:cs="宋体" w:eastAsia="宋体" w:hint="default"/>
          <w:sz w:val="10"/>
          <w:szCs w:val="10"/>
        </w:rPr>
      </w:pPr>
    </w:p>
    <w:p>
      <w:pPr>
        <w:spacing w:before="0"/>
        <w:ind w:left="1182" w:right="0" w:firstLine="0"/>
        <w:jc w:val="left"/>
        <w:rPr>
          <w:rFonts w:ascii="宋体" w:hAnsi="宋体" w:cs="宋体" w:eastAsia="宋体" w:hint="default"/>
          <w:sz w:val="13"/>
          <w:szCs w:val="13"/>
        </w:rPr>
      </w:pPr>
      <w:r>
        <w:rPr>
          <w:rFonts w:ascii="宋体" w:hAnsi="宋体" w:cs="宋体" w:eastAsia="宋体" w:hint="default"/>
          <w:w w:val="95"/>
          <w:sz w:val="13"/>
          <w:szCs w:val="13"/>
        </w:rPr>
        <w:t>子公司全称</w:t>
      </w:r>
      <w:r>
        <w:rPr>
          <w:rFonts w:ascii="宋体" w:hAnsi="宋体" w:cs="宋体" w:eastAsia="宋体" w:hint="default"/>
          <w:sz w:val="13"/>
          <w:szCs w:val="13"/>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6"/>
        <w:rPr>
          <w:rFonts w:ascii="宋体" w:hAnsi="宋体" w:cs="宋体" w:eastAsia="宋体" w:hint="default"/>
          <w:sz w:val="10"/>
          <w:szCs w:val="10"/>
        </w:rPr>
      </w:pPr>
    </w:p>
    <w:p>
      <w:pPr>
        <w:spacing w:before="0"/>
        <w:ind w:left="427" w:right="0" w:firstLine="0"/>
        <w:jc w:val="left"/>
        <w:rPr>
          <w:rFonts w:ascii="宋体" w:hAnsi="宋体" w:cs="宋体" w:eastAsia="宋体" w:hint="default"/>
          <w:sz w:val="13"/>
          <w:szCs w:val="13"/>
        </w:rPr>
      </w:pPr>
      <w:r>
        <w:rPr>
          <w:rFonts w:ascii="宋体" w:hAnsi="宋体" w:cs="宋体" w:eastAsia="宋体" w:hint="default"/>
          <w:w w:val="95"/>
          <w:sz w:val="13"/>
          <w:szCs w:val="13"/>
        </w:rPr>
        <w:t>子公司类</w:t>
      </w:r>
      <w:r>
        <w:rPr>
          <w:rFonts w:ascii="宋体" w:hAnsi="宋体" w:cs="宋体" w:eastAsia="宋体" w:hint="default"/>
          <w:sz w:val="13"/>
          <w:szCs w:val="13"/>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0"/>
        <w:rPr>
          <w:rFonts w:ascii="宋体" w:hAnsi="宋体" w:cs="宋体" w:eastAsia="宋体" w:hint="default"/>
          <w:sz w:val="12"/>
          <w:szCs w:val="12"/>
        </w:rPr>
      </w:pPr>
    </w:p>
    <w:p>
      <w:pPr>
        <w:spacing w:line="240" w:lineRule="auto" w:before="4"/>
        <w:rPr>
          <w:rFonts w:ascii="宋体" w:hAnsi="宋体" w:cs="宋体" w:eastAsia="宋体" w:hint="default"/>
          <w:sz w:val="10"/>
          <w:szCs w:val="10"/>
        </w:rPr>
      </w:pPr>
    </w:p>
    <w:p>
      <w:pPr>
        <w:tabs>
          <w:tab w:pos="765" w:val="left" w:leader="none"/>
          <w:tab w:pos="1644" w:val="left" w:leader="none"/>
          <w:tab w:pos="3081" w:val="left" w:leader="none"/>
        </w:tabs>
        <w:spacing w:before="0"/>
        <w:ind w:left="89" w:right="0" w:firstLine="0"/>
        <w:jc w:val="left"/>
        <w:rPr>
          <w:rFonts w:ascii="宋体" w:hAnsi="宋体" w:cs="宋体" w:eastAsia="宋体" w:hint="default"/>
          <w:sz w:val="13"/>
          <w:szCs w:val="13"/>
        </w:rPr>
      </w:pPr>
      <w:r>
        <w:rPr>
          <w:rFonts w:ascii="宋体" w:hAnsi="宋体" w:cs="宋体" w:eastAsia="宋体" w:hint="default"/>
          <w:w w:val="95"/>
          <w:sz w:val="13"/>
          <w:szCs w:val="13"/>
        </w:rPr>
        <w:t>注册地</w:t>
        <w:tab/>
        <w:t>企业性质</w:t>
        <w:tab/>
        <w:t>注册资本</w:t>
        <w:tab/>
        <w:t>经营范围</w:t>
      </w:r>
      <w:r>
        <w:rPr>
          <w:rFonts w:ascii="宋体" w:hAnsi="宋体" w:cs="宋体" w:eastAsia="宋体" w:hint="default"/>
          <w:sz w:val="13"/>
          <w:szCs w:val="13"/>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6"/>
        <w:rPr>
          <w:rFonts w:ascii="宋体" w:hAnsi="宋体" w:cs="宋体" w:eastAsia="宋体" w:hint="default"/>
          <w:sz w:val="10"/>
          <w:szCs w:val="10"/>
        </w:rPr>
      </w:pPr>
    </w:p>
    <w:p>
      <w:pPr>
        <w:spacing w:before="0"/>
        <w:ind w:left="748" w:right="0" w:firstLine="0"/>
        <w:jc w:val="left"/>
        <w:rPr>
          <w:rFonts w:ascii="宋体" w:hAnsi="宋体" w:cs="宋体" w:eastAsia="宋体" w:hint="default"/>
          <w:sz w:val="13"/>
          <w:szCs w:val="13"/>
        </w:rPr>
      </w:pPr>
      <w:r>
        <w:rPr>
          <w:rFonts w:ascii="宋体" w:hAnsi="宋体" w:cs="宋体" w:eastAsia="宋体" w:hint="default"/>
          <w:w w:val="95"/>
          <w:sz w:val="13"/>
          <w:szCs w:val="13"/>
        </w:rPr>
        <w:t>期末实际投资</w:t>
      </w:r>
      <w:r>
        <w:rPr>
          <w:rFonts w:ascii="宋体" w:hAnsi="宋体" w:cs="宋体" w:eastAsia="宋体" w:hint="default"/>
          <w:sz w:val="13"/>
          <w:szCs w:val="13"/>
        </w:rPr>
      </w:r>
    </w:p>
    <w:p>
      <w:pPr>
        <w:spacing w:line="310" w:lineRule="atLeast" w:before="0"/>
        <w:ind w:left="30" w:right="0" w:firstLine="0"/>
        <w:jc w:val="left"/>
        <w:rPr>
          <w:rFonts w:ascii="宋体" w:hAnsi="宋体" w:cs="宋体" w:eastAsia="宋体" w:hint="default"/>
          <w:sz w:val="13"/>
          <w:szCs w:val="13"/>
        </w:rPr>
      </w:pPr>
      <w:r>
        <w:rPr>
          <w:w w:val="95"/>
        </w:rPr>
        <w:br w:type="column"/>
      </w:r>
      <w:r>
        <w:rPr>
          <w:rFonts w:ascii="宋体" w:hAnsi="宋体" w:cs="宋体" w:eastAsia="宋体" w:hint="default"/>
          <w:w w:val="95"/>
          <w:sz w:val="13"/>
          <w:szCs w:val="13"/>
        </w:rPr>
        <w:t>实质上构成对子</w:t>
      </w:r>
      <w:r>
        <w:rPr>
          <w:rFonts w:ascii="宋体" w:hAnsi="宋体" w:cs="宋体" w:eastAsia="宋体" w:hint="default"/>
          <w:spacing w:val="-19"/>
          <w:w w:val="95"/>
          <w:sz w:val="13"/>
          <w:szCs w:val="13"/>
        </w:rPr>
        <w:t> </w:t>
      </w:r>
      <w:r>
        <w:rPr>
          <w:rFonts w:ascii="宋体" w:hAnsi="宋体" w:cs="宋体" w:eastAsia="宋体" w:hint="default"/>
          <w:spacing w:val="-19"/>
          <w:w w:val="95"/>
          <w:sz w:val="13"/>
          <w:szCs w:val="13"/>
        </w:rPr>
      </w:r>
      <w:r>
        <w:rPr>
          <w:rFonts w:ascii="宋体" w:hAnsi="宋体" w:cs="宋体" w:eastAsia="宋体" w:hint="default"/>
          <w:w w:val="95"/>
          <w:sz w:val="13"/>
          <w:szCs w:val="13"/>
        </w:rPr>
        <w:t>公司净投资的其</w:t>
      </w:r>
      <w:r>
        <w:rPr>
          <w:rFonts w:ascii="宋体" w:hAnsi="宋体" w:cs="宋体" w:eastAsia="宋体" w:hint="default"/>
          <w:sz w:val="13"/>
          <w:szCs w:val="13"/>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6"/>
        <w:rPr>
          <w:rFonts w:ascii="宋体" w:hAnsi="宋体" w:cs="宋体" w:eastAsia="宋体" w:hint="default"/>
          <w:sz w:val="10"/>
          <w:szCs w:val="10"/>
        </w:rPr>
      </w:pPr>
    </w:p>
    <w:p>
      <w:pPr>
        <w:spacing w:before="0"/>
        <w:ind w:left="27" w:right="-19" w:firstLine="0"/>
        <w:jc w:val="left"/>
        <w:rPr>
          <w:rFonts w:ascii="宋体" w:hAnsi="宋体" w:cs="宋体" w:eastAsia="宋体" w:hint="default"/>
          <w:sz w:val="13"/>
          <w:szCs w:val="13"/>
        </w:rPr>
      </w:pPr>
      <w:r>
        <w:rPr>
          <w:rFonts w:ascii="宋体" w:hAnsi="宋体" w:cs="宋体" w:eastAsia="宋体" w:hint="default"/>
          <w:sz w:val="13"/>
          <w:szCs w:val="13"/>
        </w:rPr>
        <w:t>持股比例</w:t>
      </w:r>
      <w:r>
        <w:rPr>
          <w:rFonts w:ascii="宋体" w:hAnsi="宋体" w:cs="宋体" w:eastAsia="宋体" w:hint="default"/>
          <w:spacing w:val="23"/>
          <w:sz w:val="13"/>
          <w:szCs w:val="13"/>
        </w:rPr>
        <w:t> </w:t>
      </w:r>
      <w:r>
        <w:rPr>
          <w:rFonts w:ascii="宋体" w:hAnsi="宋体" w:cs="宋体" w:eastAsia="宋体" w:hint="default"/>
          <w:sz w:val="13"/>
          <w:szCs w:val="13"/>
        </w:rPr>
        <w:t>表决权比</w:t>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6"/>
        <w:rPr>
          <w:rFonts w:ascii="宋体" w:hAnsi="宋体" w:cs="宋体" w:eastAsia="宋体" w:hint="default"/>
          <w:sz w:val="10"/>
          <w:szCs w:val="10"/>
        </w:rPr>
      </w:pPr>
    </w:p>
    <w:p>
      <w:pPr>
        <w:spacing w:before="0"/>
        <w:ind w:left="106" w:right="-2" w:firstLine="0"/>
        <w:jc w:val="left"/>
        <w:rPr>
          <w:rFonts w:ascii="宋体" w:hAnsi="宋体" w:cs="宋体" w:eastAsia="宋体" w:hint="default"/>
          <w:sz w:val="13"/>
          <w:szCs w:val="13"/>
        </w:rPr>
      </w:pPr>
      <w:r>
        <w:rPr>
          <w:rFonts w:ascii="宋体" w:hAnsi="宋体" w:cs="宋体" w:eastAsia="宋体" w:hint="default"/>
          <w:w w:val="95"/>
          <w:sz w:val="13"/>
          <w:szCs w:val="13"/>
        </w:rPr>
        <w:t>是否合</w:t>
      </w:r>
      <w:r>
        <w:rPr>
          <w:rFonts w:ascii="宋体" w:hAnsi="宋体" w:cs="宋体" w:eastAsia="宋体" w:hint="default"/>
          <w:sz w:val="13"/>
          <w:szCs w:val="13"/>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6"/>
        <w:rPr>
          <w:rFonts w:ascii="宋体" w:hAnsi="宋体" w:cs="宋体" w:eastAsia="宋体" w:hint="default"/>
          <w:sz w:val="10"/>
          <w:szCs w:val="10"/>
        </w:rPr>
      </w:pPr>
    </w:p>
    <w:p>
      <w:pPr>
        <w:spacing w:before="0"/>
        <w:ind w:left="114" w:right="-1" w:firstLine="0"/>
        <w:jc w:val="left"/>
        <w:rPr>
          <w:rFonts w:ascii="宋体" w:hAnsi="宋体" w:cs="宋体" w:eastAsia="宋体" w:hint="default"/>
          <w:sz w:val="13"/>
          <w:szCs w:val="13"/>
        </w:rPr>
      </w:pPr>
      <w:r>
        <w:rPr>
          <w:rFonts w:ascii="宋体" w:hAnsi="宋体" w:cs="宋体" w:eastAsia="宋体" w:hint="default"/>
          <w:w w:val="95"/>
          <w:sz w:val="13"/>
          <w:szCs w:val="13"/>
        </w:rPr>
        <w:t>少数股</w:t>
      </w:r>
      <w:r>
        <w:rPr>
          <w:rFonts w:ascii="宋体" w:hAnsi="宋体" w:cs="宋体" w:eastAsia="宋体" w:hint="default"/>
          <w:sz w:val="13"/>
          <w:szCs w:val="13"/>
        </w:rPr>
      </w:r>
    </w:p>
    <w:p>
      <w:pPr>
        <w:spacing w:line="310" w:lineRule="atLeast" w:before="0"/>
        <w:ind w:left="69" w:right="0" w:firstLine="0"/>
        <w:jc w:val="left"/>
        <w:rPr>
          <w:rFonts w:ascii="宋体" w:hAnsi="宋体" w:cs="宋体" w:eastAsia="宋体" w:hint="default"/>
          <w:sz w:val="13"/>
          <w:szCs w:val="13"/>
        </w:rPr>
      </w:pPr>
      <w:r>
        <w:rPr>
          <w:w w:val="95"/>
        </w:rPr>
        <w:br w:type="column"/>
      </w:r>
      <w:r>
        <w:rPr>
          <w:rFonts w:ascii="宋体" w:hAnsi="宋体" w:cs="宋体" w:eastAsia="宋体" w:hint="default"/>
          <w:w w:val="95"/>
          <w:sz w:val="13"/>
          <w:szCs w:val="13"/>
        </w:rPr>
        <w:t>少数股东权益中用</w:t>
      </w:r>
      <w:r>
        <w:rPr>
          <w:rFonts w:ascii="宋体" w:hAnsi="宋体" w:cs="宋体" w:eastAsia="宋体" w:hint="default"/>
          <w:spacing w:val="-11"/>
          <w:w w:val="95"/>
          <w:sz w:val="13"/>
          <w:szCs w:val="13"/>
        </w:rPr>
        <w:t> </w:t>
      </w:r>
      <w:r>
        <w:rPr>
          <w:rFonts w:ascii="宋体" w:hAnsi="宋体" w:cs="宋体" w:eastAsia="宋体" w:hint="default"/>
          <w:spacing w:val="-11"/>
          <w:w w:val="95"/>
          <w:sz w:val="13"/>
          <w:szCs w:val="13"/>
        </w:rPr>
      </w:r>
      <w:r>
        <w:rPr>
          <w:rFonts w:ascii="宋体" w:hAnsi="宋体" w:cs="宋体" w:eastAsia="宋体" w:hint="default"/>
          <w:w w:val="95"/>
          <w:sz w:val="13"/>
          <w:szCs w:val="13"/>
        </w:rPr>
        <w:t>于冲减少数股东损</w:t>
      </w:r>
      <w:r>
        <w:rPr>
          <w:rFonts w:ascii="宋体" w:hAnsi="宋体" w:cs="宋体" w:eastAsia="宋体" w:hint="default"/>
          <w:sz w:val="13"/>
          <w:szCs w:val="13"/>
        </w:rPr>
      </w:r>
    </w:p>
    <w:p>
      <w:pPr>
        <w:spacing w:line="310" w:lineRule="atLeast" w:before="0"/>
        <w:ind w:left="67" w:right="166" w:firstLine="0"/>
        <w:jc w:val="left"/>
        <w:rPr>
          <w:rFonts w:ascii="宋体" w:hAnsi="宋体" w:cs="宋体" w:eastAsia="宋体" w:hint="default"/>
          <w:sz w:val="13"/>
          <w:szCs w:val="13"/>
        </w:rPr>
      </w:pPr>
      <w:r>
        <w:rPr/>
        <w:br w:type="column"/>
      </w:r>
      <w:r>
        <w:rPr>
          <w:rFonts w:ascii="宋体" w:hAnsi="宋体" w:cs="宋体" w:eastAsia="宋体" w:hint="default"/>
          <w:w w:val="99"/>
          <w:sz w:val="13"/>
          <w:szCs w:val="13"/>
        </w:rPr>
        <w:t>公司少</w:t>
      </w:r>
      <w:r>
        <w:rPr>
          <w:rFonts w:ascii="宋体" w:hAnsi="宋体" w:cs="宋体" w:eastAsia="宋体" w:hint="default"/>
          <w:spacing w:val="1"/>
          <w:w w:val="99"/>
          <w:sz w:val="13"/>
          <w:szCs w:val="13"/>
        </w:rPr>
        <w:t>数</w:t>
      </w:r>
      <w:r>
        <w:rPr>
          <w:rFonts w:ascii="宋体" w:hAnsi="宋体" w:cs="宋体" w:eastAsia="宋体" w:hint="default"/>
          <w:w w:val="99"/>
          <w:sz w:val="13"/>
          <w:szCs w:val="13"/>
        </w:rPr>
        <w:t>股东</w:t>
      </w:r>
      <w:r>
        <w:rPr>
          <w:rFonts w:ascii="宋体" w:hAnsi="宋体" w:cs="宋体" w:eastAsia="宋体" w:hint="default"/>
          <w:spacing w:val="1"/>
          <w:w w:val="99"/>
          <w:sz w:val="13"/>
          <w:szCs w:val="13"/>
        </w:rPr>
        <w:t>分</w:t>
      </w:r>
      <w:r>
        <w:rPr>
          <w:rFonts w:ascii="宋体" w:hAnsi="宋体" w:cs="宋体" w:eastAsia="宋体" w:hint="default"/>
          <w:w w:val="99"/>
          <w:sz w:val="13"/>
          <w:szCs w:val="13"/>
        </w:rPr>
        <w:t>担</w:t>
      </w:r>
      <w:r>
        <w:rPr>
          <w:rFonts w:ascii="宋体" w:hAnsi="宋体" w:cs="宋体" w:eastAsia="宋体" w:hint="default"/>
          <w:spacing w:val="1"/>
          <w:w w:val="99"/>
          <w:sz w:val="13"/>
          <w:szCs w:val="13"/>
        </w:rPr>
        <w:t>的</w:t>
      </w:r>
      <w:r>
        <w:rPr>
          <w:rFonts w:ascii="宋体" w:hAnsi="宋体" w:cs="宋体" w:eastAsia="宋体" w:hint="default"/>
          <w:w w:val="99"/>
          <w:sz w:val="13"/>
          <w:szCs w:val="13"/>
        </w:rPr>
        <w:t>本期亏</w:t>
      </w:r>
      <w:r>
        <w:rPr>
          <w:rFonts w:ascii="宋体" w:hAnsi="宋体" w:cs="宋体" w:eastAsia="宋体" w:hint="default"/>
          <w:w w:val="99"/>
          <w:sz w:val="13"/>
          <w:szCs w:val="13"/>
        </w:rPr>
        <w:t> 损超过</w:t>
      </w:r>
      <w:r>
        <w:rPr>
          <w:rFonts w:ascii="宋体" w:hAnsi="宋体" w:cs="宋体" w:eastAsia="宋体" w:hint="default"/>
          <w:spacing w:val="1"/>
          <w:w w:val="99"/>
          <w:sz w:val="13"/>
          <w:szCs w:val="13"/>
        </w:rPr>
        <w:t>少</w:t>
      </w:r>
      <w:r>
        <w:rPr>
          <w:rFonts w:ascii="宋体" w:hAnsi="宋体" w:cs="宋体" w:eastAsia="宋体" w:hint="default"/>
          <w:w w:val="99"/>
          <w:sz w:val="13"/>
          <w:szCs w:val="13"/>
        </w:rPr>
        <w:t>数股</w:t>
      </w:r>
      <w:r>
        <w:rPr>
          <w:rFonts w:ascii="宋体" w:hAnsi="宋体" w:cs="宋体" w:eastAsia="宋体" w:hint="default"/>
          <w:spacing w:val="1"/>
          <w:w w:val="99"/>
          <w:sz w:val="13"/>
          <w:szCs w:val="13"/>
        </w:rPr>
        <w:t>东</w:t>
      </w:r>
      <w:r>
        <w:rPr>
          <w:rFonts w:ascii="宋体" w:hAnsi="宋体" w:cs="宋体" w:eastAsia="宋体" w:hint="default"/>
          <w:w w:val="99"/>
          <w:sz w:val="13"/>
          <w:szCs w:val="13"/>
        </w:rPr>
        <w:t>在</w:t>
      </w:r>
      <w:r>
        <w:rPr>
          <w:rFonts w:ascii="宋体" w:hAnsi="宋体" w:cs="宋体" w:eastAsia="宋体" w:hint="default"/>
          <w:spacing w:val="1"/>
          <w:w w:val="99"/>
          <w:sz w:val="13"/>
          <w:szCs w:val="13"/>
        </w:rPr>
        <w:t>该</w:t>
      </w:r>
      <w:r>
        <w:rPr>
          <w:rFonts w:ascii="宋体" w:hAnsi="宋体" w:cs="宋体" w:eastAsia="宋体" w:hint="default"/>
          <w:w w:val="99"/>
          <w:sz w:val="13"/>
          <w:szCs w:val="13"/>
        </w:rPr>
        <w:t>子公司</w:t>
      </w:r>
      <w:r>
        <w:rPr>
          <w:rFonts w:ascii="宋体" w:hAnsi="宋体" w:cs="宋体" w:eastAsia="宋体" w:hint="default"/>
          <w:sz w:val="13"/>
          <w:szCs w:val="13"/>
        </w:rPr>
      </w:r>
    </w:p>
    <w:p>
      <w:pPr>
        <w:spacing w:after="0" w:line="310" w:lineRule="atLeast"/>
        <w:jc w:val="left"/>
        <w:rPr>
          <w:rFonts w:ascii="宋体" w:hAnsi="宋体" w:cs="宋体" w:eastAsia="宋体" w:hint="default"/>
          <w:sz w:val="13"/>
          <w:szCs w:val="13"/>
        </w:rPr>
        <w:sectPr>
          <w:type w:val="continuous"/>
          <w:pgSz w:w="16840" w:h="11900" w:orient="landscape"/>
          <w:pgMar w:top="1600" w:bottom="280" w:left="1300" w:right="1260"/>
          <w:cols w:num="10" w:equalWidth="0">
            <w:col w:w="1832" w:space="40"/>
            <w:col w:w="947" w:space="40"/>
            <w:col w:w="3600" w:space="40"/>
            <w:col w:w="1528" w:space="40"/>
            <w:col w:w="940" w:space="40"/>
            <w:col w:w="1157" w:space="40"/>
            <w:col w:w="496" w:space="40"/>
            <w:col w:w="504" w:space="40"/>
            <w:col w:w="1109" w:space="40"/>
            <w:col w:w="1807"/>
          </w:cols>
        </w:sectPr>
      </w:pPr>
    </w:p>
    <w:p>
      <w:pPr>
        <w:tabs>
          <w:tab w:pos="7571" w:val="left" w:leader="none"/>
        </w:tabs>
        <w:spacing w:line="147" w:lineRule="exact" w:before="0"/>
        <w:ind w:left="2495" w:right="0" w:firstLine="0"/>
        <w:jc w:val="left"/>
        <w:rPr>
          <w:rFonts w:ascii="宋体" w:hAnsi="宋体" w:cs="宋体" w:eastAsia="宋体" w:hint="default"/>
          <w:sz w:val="13"/>
          <w:szCs w:val="13"/>
        </w:rPr>
      </w:pPr>
      <w:r>
        <w:rPr>
          <w:rFonts w:ascii="宋体" w:hAnsi="宋体" w:cs="宋体" w:eastAsia="宋体" w:hint="default"/>
          <w:w w:val="95"/>
          <w:sz w:val="13"/>
          <w:szCs w:val="13"/>
        </w:rPr>
        <w:t>型</w:t>
        <w:tab/>
      </w:r>
      <w:r>
        <w:rPr>
          <w:rFonts w:ascii="宋体" w:hAnsi="宋体" w:cs="宋体" w:eastAsia="宋体" w:hint="default"/>
          <w:sz w:val="13"/>
          <w:szCs w:val="13"/>
        </w:rPr>
        <w:t>额</w:t>
      </w:r>
    </w:p>
    <w:p>
      <w:pPr>
        <w:spacing w:line="162" w:lineRule="exact" w:before="0"/>
        <w:ind w:left="0" w:right="0" w:firstLine="0"/>
        <w:jc w:val="right"/>
        <w:rPr>
          <w:rFonts w:ascii="宋体" w:hAnsi="宋体" w:cs="宋体" w:eastAsia="宋体" w:hint="default"/>
          <w:sz w:val="13"/>
          <w:szCs w:val="13"/>
        </w:rPr>
      </w:pPr>
      <w:r>
        <w:rPr>
          <w:rFonts w:ascii="宋体" w:hAnsi="宋体" w:cs="宋体" w:eastAsia="宋体" w:hint="default"/>
          <w:w w:val="95"/>
          <w:sz w:val="13"/>
          <w:szCs w:val="13"/>
        </w:rPr>
        <w:t>他项目余额</w:t>
      </w:r>
      <w:r>
        <w:rPr>
          <w:rFonts w:ascii="宋体" w:hAnsi="宋体" w:cs="宋体" w:eastAsia="宋体" w:hint="default"/>
          <w:sz w:val="13"/>
          <w:szCs w:val="13"/>
        </w:rPr>
      </w:r>
    </w:p>
    <w:p>
      <w:pPr>
        <w:spacing w:before="23"/>
        <w:ind w:left="317" w:right="-11" w:firstLine="0"/>
        <w:jc w:val="left"/>
        <w:rPr>
          <w:rFonts w:ascii="Times New Roman" w:hAnsi="Times New Roman" w:cs="Times New Roman" w:eastAsia="Times New Roman" w:hint="default"/>
          <w:sz w:val="13"/>
          <w:szCs w:val="13"/>
        </w:rPr>
      </w:pPr>
      <w:r>
        <w:rPr>
          <w:w w:val="95"/>
        </w:rPr>
        <w:br w:type="column"/>
      </w:r>
      <w:r>
        <w:rPr>
          <w:rFonts w:ascii="Times New Roman"/>
          <w:w w:val="95"/>
          <w:sz w:val="13"/>
        </w:rPr>
        <w:t>(%)</w:t>
      </w:r>
      <w:r>
        <w:rPr>
          <w:rFonts w:ascii="Times New Roman"/>
          <w:sz w:val="13"/>
        </w:rPr>
      </w:r>
    </w:p>
    <w:p>
      <w:pPr>
        <w:spacing w:line="165" w:lineRule="exact" w:before="0"/>
        <w:ind w:left="312" w:right="-4" w:firstLine="0"/>
        <w:jc w:val="left"/>
        <w:rPr>
          <w:rFonts w:ascii="Times New Roman" w:hAnsi="Times New Roman" w:cs="Times New Roman" w:eastAsia="Times New Roman" w:hint="default"/>
          <w:sz w:val="13"/>
          <w:szCs w:val="13"/>
        </w:rPr>
      </w:pPr>
      <w:r>
        <w:rPr>
          <w:w w:val="95"/>
        </w:rPr>
        <w:br w:type="column"/>
      </w:r>
      <w:r>
        <w:rPr>
          <w:rFonts w:ascii="宋体" w:hAnsi="宋体" w:cs="宋体" w:eastAsia="宋体" w:hint="default"/>
          <w:w w:val="95"/>
          <w:sz w:val="13"/>
          <w:szCs w:val="13"/>
        </w:rPr>
        <w:t>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p>
      <w:pPr>
        <w:spacing w:line="155" w:lineRule="exact" w:before="0"/>
        <w:ind w:left="202" w:right="-2" w:firstLine="0"/>
        <w:jc w:val="left"/>
        <w:rPr>
          <w:rFonts w:ascii="宋体" w:hAnsi="宋体" w:cs="宋体" w:eastAsia="宋体" w:hint="default"/>
          <w:sz w:val="13"/>
          <w:szCs w:val="13"/>
        </w:rPr>
      </w:pPr>
      <w:r>
        <w:rPr>
          <w:w w:val="95"/>
        </w:rPr>
        <w:br w:type="column"/>
      </w:r>
      <w:r>
        <w:rPr>
          <w:rFonts w:ascii="宋体" w:hAnsi="宋体" w:cs="宋体" w:eastAsia="宋体" w:hint="default"/>
          <w:w w:val="95"/>
          <w:sz w:val="13"/>
          <w:szCs w:val="13"/>
        </w:rPr>
        <w:t>并报表</w:t>
      </w:r>
      <w:r>
        <w:rPr>
          <w:rFonts w:ascii="宋体" w:hAnsi="宋体" w:cs="宋体" w:eastAsia="宋体" w:hint="default"/>
          <w:sz w:val="13"/>
          <w:szCs w:val="13"/>
        </w:rPr>
      </w:r>
    </w:p>
    <w:p>
      <w:pPr>
        <w:spacing w:line="155" w:lineRule="exact" w:before="0"/>
        <w:ind w:left="116" w:right="-2" w:firstLine="0"/>
        <w:jc w:val="left"/>
        <w:rPr>
          <w:rFonts w:ascii="宋体" w:hAnsi="宋体" w:cs="宋体" w:eastAsia="宋体" w:hint="default"/>
          <w:sz w:val="13"/>
          <w:szCs w:val="13"/>
        </w:rPr>
      </w:pPr>
      <w:r>
        <w:rPr>
          <w:w w:val="95"/>
        </w:rPr>
        <w:br w:type="column"/>
      </w:r>
      <w:r>
        <w:rPr>
          <w:rFonts w:ascii="宋体" w:hAnsi="宋体" w:cs="宋体" w:eastAsia="宋体" w:hint="default"/>
          <w:w w:val="95"/>
          <w:sz w:val="13"/>
          <w:szCs w:val="13"/>
        </w:rPr>
        <w:t>东权益</w:t>
      </w:r>
      <w:r>
        <w:rPr>
          <w:rFonts w:ascii="宋体" w:hAnsi="宋体" w:cs="宋体" w:eastAsia="宋体" w:hint="default"/>
          <w:sz w:val="13"/>
          <w:szCs w:val="13"/>
        </w:rPr>
      </w:r>
    </w:p>
    <w:p>
      <w:pPr>
        <w:spacing w:line="240" w:lineRule="auto" w:before="9"/>
        <w:rPr>
          <w:rFonts w:ascii="宋体" w:hAnsi="宋体" w:cs="宋体" w:eastAsia="宋体" w:hint="default"/>
          <w:sz w:val="10"/>
          <w:szCs w:val="10"/>
        </w:rPr>
      </w:pPr>
      <w:r>
        <w:rPr/>
        <w:br w:type="column"/>
      </w:r>
      <w:r>
        <w:rPr>
          <w:rFonts w:ascii="宋体"/>
          <w:sz w:val="10"/>
        </w:rPr>
      </w:r>
    </w:p>
    <w:p>
      <w:pPr>
        <w:spacing w:before="0"/>
        <w:ind w:left="329" w:right="0" w:firstLine="0"/>
        <w:jc w:val="left"/>
        <w:rPr>
          <w:rFonts w:ascii="宋体" w:hAnsi="宋体" w:cs="宋体" w:eastAsia="宋体" w:hint="default"/>
          <w:sz w:val="13"/>
          <w:szCs w:val="13"/>
        </w:rPr>
      </w:pPr>
      <w:r>
        <w:rPr>
          <w:rFonts w:ascii="宋体" w:hAnsi="宋体" w:cs="宋体" w:eastAsia="宋体" w:hint="default"/>
          <w:w w:val="95"/>
          <w:sz w:val="13"/>
          <w:szCs w:val="13"/>
        </w:rPr>
        <w:t>益的金额</w:t>
      </w:r>
      <w:r>
        <w:rPr>
          <w:rFonts w:ascii="宋体" w:hAnsi="宋体" w:cs="宋体" w:eastAsia="宋体" w:hint="default"/>
          <w:sz w:val="13"/>
          <w:szCs w:val="13"/>
        </w:rPr>
      </w:r>
    </w:p>
    <w:p>
      <w:pPr>
        <w:spacing w:line="240" w:lineRule="auto" w:before="10"/>
        <w:rPr>
          <w:rFonts w:ascii="宋体" w:hAnsi="宋体" w:cs="宋体" w:eastAsia="宋体" w:hint="default"/>
          <w:sz w:val="10"/>
          <w:szCs w:val="10"/>
        </w:rPr>
      </w:pPr>
      <w:r>
        <w:rPr/>
        <w:br w:type="column"/>
      </w:r>
      <w:r>
        <w:rPr>
          <w:rFonts w:ascii="宋体"/>
          <w:sz w:val="10"/>
        </w:rPr>
      </w:r>
    </w:p>
    <w:p>
      <w:pPr>
        <w:spacing w:line="436" w:lineRule="auto" w:before="0"/>
        <w:ind w:left="783" w:right="0" w:hanging="456"/>
        <w:jc w:val="left"/>
        <w:rPr>
          <w:rFonts w:ascii="宋体" w:hAnsi="宋体" w:cs="宋体" w:eastAsia="宋体" w:hint="default"/>
          <w:sz w:val="13"/>
          <w:szCs w:val="13"/>
        </w:rPr>
      </w:pPr>
      <w:r>
        <w:rPr>
          <w:rFonts w:ascii="宋体" w:hAnsi="宋体" w:cs="宋体" w:eastAsia="宋体" w:hint="default"/>
          <w:w w:val="95"/>
          <w:sz w:val="13"/>
          <w:szCs w:val="13"/>
        </w:rPr>
        <w:t>期初所有者权益中所享有份</w:t>
      </w:r>
      <w:r>
        <w:rPr>
          <w:rFonts w:ascii="宋体" w:hAnsi="宋体" w:cs="宋体" w:eastAsia="宋体" w:hint="default"/>
          <w:spacing w:val="14"/>
          <w:w w:val="95"/>
          <w:sz w:val="13"/>
          <w:szCs w:val="13"/>
        </w:rPr>
        <w:t> </w:t>
      </w:r>
      <w:r>
        <w:rPr>
          <w:rFonts w:ascii="宋体" w:hAnsi="宋体" w:cs="宋体" w:eastAsia="宋体" w:hint="default"/>
          <w:spacing w:val="14"/>
          <w:w w:val="95"/>
          <w:sz w:val="13"/>
          <w:szCs w:val="13"/>
        </w:rPr>
      </w:r>
      <w:r>
        <w:rPr>
          <w:rFonts w:ascii="宋体" w:hAnsi="宋体" w:cs="宋体" w:eastAsia="宋体" w:hint="default"/>
          <w:sz w:val="13"/>
          <w:szCs w:val="13"/>
        </w:rPr>
        <w:t>额后的余额</w:t>
      </w:r>
    </w:p>
    <w:p>
      <w:pPr>
        <w:spacing w:after="0" w:line="436" w:lineRule="auto"/>
        <w:jc w:val="left"/>
        <w:rPr>
          <w:rFonts w:ascii="宋体" w:hAnsi="宋体" w:cs="宋体" w:eastAsia="宋体" w:hint="default"/>
          <w:sz w:val="13"/>
          <w:szCs w:val="13"/>
        </w:rPr>
        <w:sectPr>
          <w:type w:val="continuous"/>
          <w:pgSz w:w="16840" w:h="11900" w:orient="landscape"/>
          <w:pgMar w:top="1600" w:bottom="280" w:left="1300" w:right="1260"/>
          <w:cols w:num="7" w:equalWidth="0">
            <w:col w:w="8876" w:space="40"/>
            <w:col w:w="512" w:space="40"/>
            <w:col w:w="637" w:space="40"/>
            <w:col w:w="592" w:space="40"/>
            <w:col w:w="505" w:space="40"/>
            <w:col w:w="848" w:space="40"/>
            <w:col w:w="2070"/>
          </w:cols>
        </w:sectPr>
      </w:pPr>
    </w:p>
    <w:p>
      <w:pPr>
        <w:spacing w:line="436" w:lineRule="auto" w:before="42"/>
        <w:ind w:left="771" w:right="-13" w:firstLine="0"/>
        <w:jc w:val="left"/>
        <w:rPr>
          <w:rFonts w:ascii="宋体" w:hAnsi="宋体" w:cs="宋体" w:eastAsia="宋体" w:hint="default"/>
          <w:sz w:val="13"/>
          <w:szCs w:val="13"/>
        </w:rPr>
      </w:pPr>
      <w:r>
        <w:rPr>
          <w:rFonts w:ascii="宋体" w:hAnsi="宋体" w:cs="宋体" w:eastAsia="宋体" w:hint="default"/>
          <w:spacing w:val="3"/>
          <w:sz w:val="13"/>
          <w:szCs w:val="13"/>
        </w:rPr>
        <w:t>沈阳东软物业管理有限公</w:t>
      </w:r>
      <w:r>
        <w:rPr>
          <w:rFonts w:ascii="宋体" w:hAnsi="宋体" w:cs="宋体" w:eastAsia="宋体" w:hint="default"/>
          <w:w w:val="99"/>
          <w:sz w:val="13"/>
          <w:szCs w:val="13"/>
        </w:rPr>
        <w:t> </w:t>
      </w:r>
      <w:r>
        <w:rPr>
          <w:rFonts w:ascii="宋体" w:hAnsi="宋体" w:cs="宋体" w:eastAsia="宋体" w:hint="default"/>
          <w:sz w:val="13"/>
          <w:szCs w:val="13"/>
        </w:rPr>
        <w:t>司</w:t>
      </w:r>
    </w:p>
    <w:p>
      <w:pPr>
        <w:spacing w:line="240" w:lineRule="auto" w:before="12"/>
        <w:rPr>
          <w:rFonts w:ascii="宋体" w:hAnsi="宋体" w:cs="宋体" w:eastAsia="宋体" w:hint="default"/>
          <w:sz w:val="14"/>
          <w:szCs w:val="14"/>
        </w:rPr>
      </w:pPr>
      <w:r>
        <w:rPr/>
        <w:br w:type="column"/>
      </w:r>
      <w:r>
        <w:rPr>
          <w:rFonts w:ascii="宋体"/>
          <w:sz w:val="14"/>
        </w:rPr>
      </w:r>
    </w:p>
    <w:p>
      <w:pPr>
        <w:tabs>
          <w:tab w:pos="594" w:val="left" w:leader="none"/>
          <w:tab w:pos="1171" w:val="left" w:leader="none"/>
          <w:tab w:pos="2369" w:val="left" w:leader="none"/>
          <w:tab w:pos="5243" w:val="left" w:leader="none"/>
          <w:tab w:pos="6952" w:val="left" w:leader="none"/>
          <w:tab w:pos="7564" w:val="left" w:leader="none"/>
          <w:tab w:pos="8003" w:val="left" w:leader="none"/>
        </w:tabs>
        <w:spacing w:before="0"/>
        <w:ind w:left="6" w:right="0" w:firstLine="0"/>
        <w:jc w:val="left"/>
        <w:rPr>
          <w:rFonts w:ascii="宋体" w:hAnsi="宋体" w:cs="宋体" w:eastAsia="宋体" w:hint="default"/>
          <w:sz w:val="13"/>
          <w:szCs w:val="13"/>
        </w:rPr>
      </w:pPr>
      <w:r>
        <w:rPr>
          <w:rFonts w:ascii="宋体" w:hAnsi="宋体" w:cs="宋体" w:eastAsia="宋体" w:hint="default"/>
          <w:w w:val="95"/>
          <w:position w:val="1"/>
          <w:sz w:val="13"/>
          <w:szCs w:val="13"/>
        </w:rPr>
        <w:t>全资</w:t>
        <w:tab/>
        <w:t>沈阳</w:t>
        <w:tab/>
        <w:t>有限责任公司</w:t>
        <w:tab/>
      </w:r>
      <w:r>
        <w:rPr>
          <w:rFonts w:ascii="Times New Roman" w:hAnsi="Times New Roman" w:cs="Times New Roman" w:eastAsia="Times New Roman" w:hint="default"/>
          <w:sz w:val="13"/>
          <w:szCs w:val="13"/>
        </w:rPr>
        <w:t>1,000,000</w:t>
      </w:r>
      <w:r>
        <w:rPr>
          <w:rFonts w:ascii="Times New Roman" w:hAnsi="Times New Roman" w:cs="Times New Roman" w:eastAsia="Times New Roman" w:hint="default"/>
          <w:spacing w:val="6"/>
          <w:sz w:val="13"/>
          <w:szCs w:val="13"/>
        </w:rPr>
        <w:t> </w:t>
      </w:r>
      <w:r>
        <w:rPr>
          <w:rFonts w:ascii="宋体" w:hAnsi="宋体" w:cs="宋体" w:eastAsia="宋体" w:hint="default"/>
          <w:position w:val="1"/>
          <w:sz w:val="13"/>
          <w:szCs w:val="13"/>
        </w:rPr>
        <w:t>物业管理及服务</w:t>
        <w:tab/>
      </w:r>
      <w:r>
        <w:rPr>
          <w:rFonts w:ascii="Times New Roman" w:hAnsi="Times New Roman" w:cs="Times New Roman" w:eastAsia="Times New Roman" w:hint="default"/>
          <w:w w:val="95"/>
          <w:sz w:val="13"/>
          <w:szCs w:val="13"/>
        </w:rPr>
        <w:t>1,000,000</w:t>
        <w:tab/>
        <w:t>100</w:t>
        <w:tab/>
        <w:t>100</w:t>
        <w:tab/>
      </w:r>
      <w:r>
        <w:rPr>
          <w:rFonts w:ascii="宋体" w:hAnsi="宋体" w:cs="宋体" w:eastAsia="宋体" w:hint="default"/>
          <w:position w:val="1"/>
          <w:sz w:val="13"/>
          <w:szCs w:val="13"/>
        </w:rPr>
        <w:t>是</w:t>
      </w:r>
      <w:r>
        <w:rPr>
          <w:rFonts w:ascii="宋体" w:hAnsi="宋体" w:cs="宋体" w:eastAsia="宋体" w:hint="default"/>
          <w:sz w:val="13"/>
          <w:szCs w:val="13"/>
        </w:rPr>
      </w:r>
    </w:p>
    <w:p>
      <w:pPr>
        <w:spacing w:after="0"/>
        <w:jc w:val="left"/>
        <w:rPr>
          <w:rFonts w:ascii="宋体" w:hAnsi="宋体" w:cs="宋体" w:eastAsia="宋体" w:hint="default"/>
          <w:sz w:val="13"/>
          <w:szCs w:val="13"/>
        </w:rPr>
        <w:sectPr>
          <w:type w:val="continuous"/>
          <w:pgSz w:w="16840" w:h="11900" w:orient="landscape"/>
          <w:pgMar w:top="1600" w:bottom="280" w:left="1300" w:right="1260"/>
          <w:cols w:num="2" w:equalWidth="0">
            <w:col w:w="2241" w:space="40"/>
            <w:col w:w="11999"/>
          </w:cols>
        </w:sectPr>
      </w:pPr>
    </w:p>
    <w:p>
      <w:pPr>
        <w:spacing w:line="436" w:lineRule="auto" w:before="43"/>
        <w:ind w:left="771" w:right="-13" w:firstLine="0"/>
        <w:jc w:val="left"/>
        <w:rPr>
          <w:rFonts w:ascii="宋体" w:hAnsi="宋体" w:cs="宋体" w:eastAsia="宋体" w:hint="default"/>
          <w:sz w:val="13"/>
          <w:szCs w:val="13"/>
        </w:rPr>
      </w:pPr>
      <w:r>
        <w:rPr>
          <w:rFonts w:ascii="宋体" w:hAnsi="宋体" w:cs="宋体" w:eastAsia="宋体" w:hint="default"/>
          <w:spacing w:val="3"/>
          <w:sz w:val="13"/>
          <w:szCs w:val="13"/>
        </w:rPr>
        <w:t>东软集团（成都）有限公</w:t>
      </w:r>
      <w:r>
        <w:rPr>
          <w:rFonts w:ascii="宋体" w:hAnsi="宋体" w:cs="宋体" w:eastAsia="宋体" w:hint="default"/>
          <w:w w:val="99"/>
          <w:sz w:val="13"/>
          <w:szCs w:val="13"/>
        </w:rPr>
        <w:t> </w:t>
      </w:r>
      <w:r>
        <w:rPr>
          <w:rFonts w:ascii="宋体" w:hAnsi="宋体" w:cs="宋体" w:eastAsia="宋体" w:hint="default"/>
          <w:sz w:val="13"/>
          <w:szCs w:val="13"/>
        </w:rPr>
        <w:t>司</w:t>
      </w:r>
    </w:p>
    <w:p>
      <w:pPr>
        <w:spacing w:line="240" w:lineRule="auto" w:before="1"/>
        <w:rPr>
          <w:rFonts w:ascii="宋体" w:hAnsi="宋体" w:cs="宋体" w:eastAsia="宋体" w:hint="default"/>
          <w:sz w:val="15"/>
          <w:szCs w:val="15"/>
        </w:rPr>
      </w:pPr>
      <w:r>
        <w:rPr/>
        <w:br w:type="column"/>
      </w:r>
      <w:r>
        <w:rPr>
          <w:rFonts w:ascii="宋体"/>
          <w:sz w:val="15"/>
        </w:rPr>
      </w:r>
    </w:p>
    <w:p>
      <w:pPr>
        <w:tabs>
          <w:tab w:pos="594" w:val="left" w:leader="none"/>
          <w:tab w:pos="1171" w:val="left" w:leader="none"/>
          <w:tab w:pos="2369" w:val="left" w:leader="none"/>
          <w:tab w:pos="5243" w:val="left" w:leader="none"/>
          <w:tab w:pos="6952" w:val="left" w:leader="none"/>
          <w:tab w:pos="7564" w:val="left" w:leader="none"/>
          <w:tab w:pos="8003" w:val="left" w:leader="none"/>
        </w:tabs>
        <w:spacing w:before="0"/>
        <w:ind w:left="6" w:right="0" w:firstLine="0"/>
        <w:jc w:val="left"/>
        <w:rPr>
          <w:rFonts w:ascii="宋体" w:hAnsi="宋体" w:cs="宋体" w:eastAsia="宋体" w:hint="default"/>
          <w:sz w:val="13"/>
          <w:szCs w:val="13"/>
        </w:rPr>
      </w:pPr>
      <w:r>
        <w:rPr>
          <w:rFonts w:ascii="宋体" w:hAnsi="宋体" w:cs="宋体" w:eastAsia="宋体" w:hint="default"/>
          <w:w w:val="95"/>
          <w:position w:val="1"/>
          <w:sz w:val="13"/>
          <w:szCs w:val="13"/>
        </w:rPr>
        <w:t>全资</w:t>
        <w:tab/>
        <w:t>成都</w:t>
        <w:tab/>
        <w:t>有限责任公司</w:t>
        <w:tab/>
      </w:r>
      <w:r>
        <w:rPr>
          <w:rFonts w:ascii="Times New Roman" w:hAnsi="Times New Roman" w:cs="Times New Roman" w:eastAsia="Times New Roman" w:hint="default"/>
          <w:sz w:val="13"/>
          <w:szCs w:val="13"/>
        </w:rPr>
        <w:t>1,000,000</w:t>
      </w:r>
      <w:r>
        <w:rPr>
          <w:rFonts w:ascii="Times New Roman" w:hAnsi="Times New Roman" w:cs="Times New Roman" w:eastAsia="Times New Roman" w:hint="default"/>
          <w:spacing w:val="7"/>
          <w:sz w:val="13"/>
          <w:szCs w:val="13"/>
        </w:rPr>
        <w:t> </w:t>
      </w:r>
      <w:r>
        <w:rPr>
          <w:rFonts w:ascii="宋体" w:hAnsi="宋体" w:cs="宋体" w:eastAsia="宋体" w:hint="default"/>
          <w:position w:val="1"/>
          <w:sz w:val="13"/>
          <w:szCs w:val="13"/>
        </w:rPr>
        <w:t>经营计算机软硬件</w:t>
        <w:tab/>
      </w:r>
      <w:r>
        <w:rPr>
          <w:rFonts w:ascii="Times New Roman" w:hAnsi="Times New Roman" w:cs="Times New Roman" w:eastAsia="Times New Roman" w:hint="default"/>
          <w:w w:val="95"/>
          <w:sz w:val="13"/>
          <w:szCs w:val="13"/>
        </w:rPr>
        <w:t>1,000,000</w:t>
        <w:tab/>
        <w:t>100</w:t>
        <w:tab/>
        <w:t>100</w:t>
        <w:tab/>
      </w:r>
      <w:r>
        <w:rPr>
          <w:rFonts w:ascii="宋体" w:hAnsi="宋体" w:cs="宋体" w:eastAsia="宋体" w:hint="default"/>
          <w:position w:val="1"/>
          <w:sz w:val="13"/>
          <w:szCs w:val="13"/>
        </w:rPr>
        <w:t>是</w:t>
      </w:r>
      <w:r>
        <w:rPr>
          <w:rFonts w:ascii="宋体" w:hAnsi="宋体" w:cs="宋体" w:eastAsia="宋体" w:hint="default"/>
          <w:sz w:val="13"/>
          <w:szCs w:val="13"/>
        </w:rPr>
      </w:r>
    </w:p>
    <w:p>
      <w:pPr>
        <w:spacing w:after="0"/>
        <w:jc w:val="left"/>
        <w:rPr>
          <w:rFonts w:ascii="宋体" w:hAnsi="宋体" w:cs="宋体" w:eastAsia="宋体" w:hint="default"/>
          <w:sz w:val="13"/>
          <w:szCs w:val="13"/>
        </w:rPr>
        <w:sectPr>
          <w:type w:val="continuous"/>
          <w:pgSz w:w="16840" w:h="11900" w:orient="landscape"/>
          <w:pgMar w:top="1600" w:bottom="280" w:left="1300" w:right="1260"/>
          <w:cols w:num="2" w:equalWidth="0">
            <w:col w:w="2241" w:space="40"/>
            <w:col w:w="11999"/>
          </w:cols>
        </w:sectPr>
      </w:pPr>
    </w:p>
    <w:p>
      <w:pPr>
        <w:spacing w:line="436" w:lineRule="auto" w:before="43"/>
        <w:ind w:left="771" w:right="-13" w:firstLine="0"/>
        <w:jc w:val="left"/>
        <w:rPr>
          <w:rFonts w:ascii="宋体" w:hAnsi="宋体" w:cs="宋体" w:eastAsia="宋体" w:hint="default"/>
          <w:sz w:val="13"/>
          <w:szCs w:val="13"/>
        </w:rPr>
      </w:pPr>
      <w:r>
        <w:rPr>
          <w:rFonts w:ascii="宋体" w:hAnsi="宋体" w:cs="宋体" w:eastAsia="宋体" w:hint="default"/>
          <w:spacing w:val="3"/>
          <w:sz w:val="13"/>
          <w:szCs w:val="13"/>
        </w:rPr>
        <w:t>沈阳东软信息技术服务有</w:t>
      </w:r>
      <w:r>
        <w:rPr>
          <w:rFonts w:ascii="宋体" w:hAnsi="宋体" w:cs="宋体" w:eastAsia="宋体" w:hint="default"/>
          <w:w w:val="99"/>
          <w:sz w:val="13"/>
          <w:szCs w:val="13"/>
        </w:rPr>
        <w:t> </w:t>
      </w:r>
      <w:r>
        <w:rPr>
          <w:rFonts w:ascii="宋体" w:hAnsi="宋体" w:cs="宋体" w:eastAsia="宋体" w:hint="default"/>
          <w:sz w:val="13"/>
          <w:szCs w:val="13"/>
        </w:rPr>
        <w:t>限公司</w:t>
      </w:r>
    </w:p>
    <w:p>
      <w:pPr>
        <w:spacing w:line="240" w:lineRule="auto" w:before="1"/>
        <w:rPr>
          <w:rFonts w:ascii="宋体" w:hAnsi="宋体" w:cs="宋体" w:eastAsia="宋体" w:hint="default"/>
          <w:sz w:val="15"/>
          <w:szCs w:val="15"/>
        </w:rPr>
      </w:pPr>
      <w:r>
        <w:rPr/>
        <w:br w:type="column"/>
      </w:r>
      <w:r>
        <w:rPr>
          <w:rFonts w:ascii="宋体"/>
          <w:sz w:val="15"/>
        </w:rPr>
      </w:r>
    </w:p>
    <w:p>
      <w:pPr>
        <w:tabs>
          <w:tab w:pos="594" w:val="left" w:leader="none"/>
          <w:tab w:pos="1171" w:val="left" w:leader="none"/>
          <w:tab w:pos="2238" w:val="left" w:leader="none"/>
          <w:tab w:pos="5112" w:val="left" w:leader="none"/>
          <w:tab w:pos="6952" w:val="left" w:leader="none"/>
          <w:tab w:pos="7564" w:val="left" w:leader="none"/>
          <w:tab w:pos="8003" w:val="left" w:leader="none"/>
        </w:tabs>
        <w:spacing w:before="0"/>
        <w:ind w:left="6" w:right="0" w:firstLine="0"/>
        <w:jc w:val="left"/>
        <w:rPr>
          <w:rFonts w:ascii="宋体" w:hAnsi="宋体" w:cs="宋体" w:eastAsia="宋体" w:hint="default"/>
          <w:sz w:val="13"/>
          <w:szCs w:val="13"/>
        </w:rPr>
      </w:pPr>
      <w:r>
        <w:rPr>
          <w:rFonts w:ascii="宋体" w:hAnsi="宋体" w:cs="宋体" w:eastAsia="宋体" w:hint="default"/>
          <w:w w:val="95"/>
          <w:position w:val="1"/>
          <w:sz w:val="13"/>
          <w:szCs w:val="13"/>
        </w:rPr>
        <w:t>全资</w:t>
        <w:tab/>
        <w:t>沈阳</w:t>
        <w:tab/>
        <w:t>有限责任公司</w:t>
        <w:tab/>
      </w:r>
      <w:r>
        <w:rPr>
          <w:rFonts w:ascii="Times New Roman" w:hAnsi="Times New Roman" w:cs="Times New Roman" w:eastAsia="Times New Roman" w:hint="default"/>
          <w:sz w:val="13"/>
          <w:szCs w:val="13"/>
        </w:rPr>
        <w:t>310,000,000</w:t>
      </w:r>
      <w:r>
        <w:rPr>
          <w:rFonts w:ascii="Times New Roman" w:hAnsi="Times New Roman" w:cs="Times New Roman" w:eastAsia="Times New Roman" w:hint="default"/>
          <w:spacing w:val="7"/>
          <w:sz w:val="13"/>
          <w:szCs w:val="13"/>
        </w:rPr>
        <w:t> </w:t>
      </w:r>
      <w:r>
        <w:rPr>
          <w:rFonts w:ascii="宋体" w:hAnsi="宋体" w:cs="宋体" w:eastAsia="宋体" w:hint="default"/>
          <w:position w:val="1"/>
          <w:sz w:val="13"/>
          <w:szCs w:val="13"/>
        </w:rPr>
        <w:t>经营计算机软硬件</w:t>
        <w:tab/>
      </w:r>
      <w:r>
        <w:rPr>
          <w:rFonts w:ascii="Times New Roman" w:hAnsi="Times New Roman" w:cs="Times New Roman" w:eastAsia="Times New Roman" w:hint="default"/>
          <w:w w:val="95"/>
          <w:sz w:val="13"/>
          <w:szCs w:val="13"/>
        </w:rPr>
        <w:t>310,000,000</w:t>
        <w:tab/>
        <w:t>100</w:t>
        <w:tab/>
        <w:t>100</w:t>
        <w:tab/>
      </w:r>
      <w:r>
        <w:rPr>
          <w:rFonts w:ascii="宋体" w:hAnsi="宋体" w:cs="宋体" w:eastAsia="宋体" w:hint="default"/>
          <w:position w:val="1"/>
          <w:sz w:val="13"/>
          <w:szCs w:val="13"/>
        </w:rPr>
        <w:t>是</w:t>
      </w:r>
      <w:r>
        <w:rPr>
          <w:rFonts w:ascii="宋体" w:hAnsi="宋体" w:cs="宋体" w:eastAsia="宋体" w:hint="default"/>
          <w:sz w:val="13"/>
          <w:szCs w:val="13"/>
        </w:rPr>
      </w:r>
    </w:p>
    <w:p>
      <w:pPr>
        <w:spacing w:after="0"/>
        <w:jc w:val="left"/>
        <w:rPr>
          <w:rFonts w:ascii="宋体" w:hAnsi="宋体" w:cs="宋体" w:eastAsia="宋体" w:hint="default"/>
          <w:sz w:val="13"/>
          <w:szCs w:val="13"/>
        </w:rPr>
        <w:sectPr>
          <w:type w:val="continuous"/>
          <w:pgSz w:w="16840" w:h="11900" w:orient="landscape"/>
          <w:pgMar w:top="1600" w:bottom="280" w:left="1300" w:right="1260"/>
          <w:cols w:num="2" w:equalWidth="0">
            <w:col w:w="2241" w:space="40"/>
            <w:col w:w="11999"/>
          </w:cols>
        </w:sectPr>
      </w:pPr>
    </w:p>
    <w:p>
      <w:pPr>
        <w:spacing w:line="436" w:lineRule="auto" w:before="43"/>
        <w:ind w:left="771" w:right="-13" w:firstLine="0"/>
        <w:jc w:val="left"/>
        <w:rPr>
          <w:rFonts w:ascii="宋体" w:hAnsi="宋体" w:cs="宋体" w:eastAsia="宋体" w:hint="default"/>
          <w:sz w:val="13"/>
          <w:szCs w:val="13"/>
        </w:rPr>
      </w:pPr>
      <w:r>
        <w:rPr>
          <w:rFonts w:ascii="宋体" w:hAnsi="宋体" w:cs="宋体" w:eastAsia="宋体" w:hint="default"/>
          <w:spacing w:val="3"/>
          <w:sz w:val="13"/>
          <w:szCs w:val="13"/>
        </w:rPr>
        <w:t>东软集团（大连）有限公</w:t>
      </w:r>
      <w:r>
        <w:rPr>
          <w:rFonts w:ascii="宋体" w:hAnsi="宋体" w:cs="宋体" w:eastAsia="宋体" w:hint="default"/>
          <w:w w:val="99"/>
          <w:sz w:val="13"/>
          <w:szCs w:val="13"/>
        </w:rPr>
        <w:t> </w:t>
      </w:r>
      <w:r>
        <w:rPr>
          <w:rFonts w:ascii="宋体" w:hAnsi="宋体" w:cs="宋体" w:eastAsia="宋体" w:hint="default"/>
          <w:sz w:val="13"/>
          <w:szCs w:val="13"/>
        </w:rPr>
        <w:t>司</w:t>
      </w:r>
    </w:p>
    <w:p>
      <w:pPr>
        <w:spacing w:line="240" w:lineRule="auto" w:before="1"/>
        <w:rPr>
          <w:rFonts w:ascii="宋体" w:hAnsi="宋体" w:cs="宋体" w:eastAsia="宋体" w:hint="default"/>
          <w:sz w:val="15"/>
          <w:szCs w:val="15"/>
        </w:rPr>
      </w:pPr>
      <w:r>
        <w:rPr/>
        <w:br w:type="column"/>
      </w:r>
      <w:r>
        <w:rPr>
          <w:rFonts w:ascii="宋体"/>
          <w:sz w:val="15"/>
        </w:rPr>
      </w:r>
    </w:p>
    <w:p>
      <w:pPr>
        <w:tabs>
          <w:tab w:pos="594" w:val="left" w:leader="none"/>
          <w:tab w:pos="1171" w:val="left" w:leader="none"/>
          <w:tab w:pos="2238" w:val="left" w:leader="none"/>
          <w:tab w:pos="5112" w:val="left" w:leader="none"/>
          <w:tab w:pos="6952" w:val="left" w:leader="none"/>
          <w:tab w:pos="7564" w:val="left" w:leader="none"/>
          <w:tab w:pos="8003" w:val="left" w:leader="none"/>
        </w:tabs>
        <w:spacing w:before="0"/>
        <w:ind w:left="6" w:right="0" w:firstLine="0"/>
        <w:jc w:val="left"/>
        <w:rPr>
          <w:rFonts w:ascii="宋体" w:hAnsi="宋体" w:cs="宋体" w:eastAsia="宋体" w:hint="default"/>
          <w:sz w:val="13"/>
          <w:szCs w:val="13"/>
        </w:rPr>
      </w:pPr>
      <w:r>
        <w:rPr>
          <w:rFonts w:ascii="宋体" w:hAnsi="宋体" w:cs="宋体" w:eastAsia="宋体" w:hint="default"/>
          <w:w w:val="95"/>
          <w:position w:val="1"/>
          <w:sz w:val="13"/>
          <w:szCs w:val="13"/>
        </w:rPr>
        <w:t>全资</w:t>
        <w:tab/>
        <w:t>大连</w:t>
        <w:tab/>
        <w:t>有限责任公司</w:t>
        <w:tab/>
      </w:r>
      <w:r>
        <w:rPr>
          <w:rFonts w:ascii="Times New Roman" w:hAnsi="Times New Roman" w:cs="Times New Roman" w:eastAsia="Times New Roman" w:hint="default"/>
          <w:sz w:val="13"/>
          <w:szCs w:val="13"/>
        </w:rPr>
        <w:t>100,000,000</w:t>
      </w:r>
      <w:r>
        <w:rPr>
          <w:rFonts w:ascii="Times New Roman" w:hAnsi="Times New Roman" w:cs="Times New Roman" w:eastAsia="Times New Roman" w:hint="default"/>
          <w:spacing w:val="7"/>
          <w:sz w:val="13"/>
          <w:szCs w:val="13"/>
        </w:rPr>
        <w:t> </w:t>
      </w:r>
      <w:r>
        <w:rPr>
          <w:rFonts w:ascii="宋体" w:hAnsi="宋体" w:cs="宋体" w:eastAsia="宋体" w:hint="default"/>
          <w:position w:val="1"/>
          <w:sz w:val="13"/>
          <w:szCs w:val="13"/>
        </w:rPr>
        <w:t>经营计算机软硬件</w:t>
        <w:tab/>
      </w:r>
      <w:r>
        <w:rPr>
          <w:rFonts w:ascii="Times New Roman" w:hAnsi="Times New Roman" w:cs="Times New Roman" w:eastAsia="Times New Roman" w:hint="default"/>
          <w:w w:val="95"/>
          <w:sz w:val="13"/>
          <w:szCs w:val="13"/>
        </w:rPr>
        <w:t>100,000,000</w:t>
        <w:tab/>
        <w:t>100</w:t>
        <w:tab/>
        <w:t>100</w:t>
        <w:tab/>
      </w:r>
      <w:r>
        <w:rPr>
          <w:rFonts w:ascii="宋体" w:hAnsi="宋体" w:cs="宋体" w:eastAsia="宋体" w:hint="default"/>
          <w:position w:val="1"/>
          <w:sz w:val="13"/>
          <w:szCs w:val="13"/>
        </w:rPr>
        <w:t>是</w:t>
      </w:r>
      <w:r>
        <w:rPr>
          <w:rFonts w:ascii="宋体" w:hAnsi="宋体" w:cs="宋体" w:eastAsia="宋体" w:hint="default"/>
          <w:sz w:val="13"/>
          <w:szCs w:val="13"/>
        </w:rPr>
      </w:r>
    </w:p>
    <w:p>
      <w:pPr>
        <w:spacing w:after="0"/>
        <w:jc w:val="left"/>
        <w:rPr>
          <w:rFonts w:ascii="宋体" w:hAnsi="宋体" w:cs="宋体" w:eastAsia="宋体" w:hint="default"/>
          <w:sz w:val="13"/>
          <w:szCs w:val="13"/>
        </w:rPr>
        <w:sectPr>
          <w:type w:val="continuous"/>
          <w:pgSz w:w="16840" w:h="11900" w:orient="landscape"/>
          <w:pgMar w:top="1600" w:bottom="280" w:left="1300" w:right="1260"/>
          <w:cols w:num="2" w:equalWidth="0">
            <w:col w:w="2241" w:space="40"/>
            <w:col w:w="11999"/>
          </w:cols>
        </w:sectPr>
      </w:pPr>
    </w:p>
    <w:p>
      <w:pPr>
        <w:spacing w:line="240" w:lineRule="auto" w:before="2"/>
        <w:rPr>
          <w:rFonts w:ascii="宋体" w:hAnsi="宋体" w:cs="宋体" w:eastAsia="宋体" w:hint="default"/>
          <w:sz w:val="15"/>
          <w:szCs w:val="15"/>
        </w:rPr>
      </w:pPr>
    </w:p>
    <w:p>
      <w:pPr>
        <w:tabs>
          <w:tab w:pos="2287" w:val="left" w:leader="none"/>
          <w:tab w:pos="2875" w:val="left" w:leader="none"/>
          <w:tab w:pos="3452" w:val="left" w:leader="none"/>
          <w:tab w:pos="4585" w:val="left" w:leader="none"/>
        </w:tabs>
        <w:spacing w:before="0"/>
        <w:ind w:left="771" w:right="-19" w:firstLine="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东软科技有限公司</w:t>
        <w:tab/>
        <w:t>全资</w:t>
        <w:tab/>
        <w:t>美国</w:t>
        <w:tab/>
        <w:t>有限责任公司</w:t>
        <w:tab/>
      </w:r>
      <w:r>
        <w:rPr>
          <w:rFonts w:ascii="宋体" w:hAnsi="宋体" w:cs="宋体" w:eastAsia="宋体" w:hint="default"/>
          <w:sz w:val="13"/>
          <w:szCs w:val="13"/>
        </w:rPr>
        <w:t>美元</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1,000</w:t>
      </w:r>
    </w:p>
    <w:p>
      <w:pPr>
        <w:spacing w:line="436" w:lineRule="auto" w:before="43"/>
        <w:ind w:left="3" w:right="0" w:firstLine="0"/>
        <w:jc w:val="left"/>
        <w:rPr>
          <w:rFonts w:ascii="宋体" w:hAnsi="宋体" w:cs="宋体" w:eastAsia="宋体" w:hint="default"/>
          <w:sz w:val="13"/>
          <w:szCs w:val="13"/>
        </w:rPr>
      </w:pPr>
      <w:r>
        <w:rPr/>
        <w:br w:type="column"/>
      </w:r>
      <w:r>
        <w:rPr>
          <w:rFonts w:ascii="宋体" w:hAnsi="宋体" w:cs="宋体" w:eastAsia="宋体" w:hint="default"/>
          <w:sz w:val="13"/>
          <w:szCs w:val="13"/>
        </w:rPr>
        <w:t>经营计算机软硬件，技术咨询、服</w:t>
      </w:r>
      <w:r>
        <w:rPr>
          <w:rFonts w:ascii="宋体" w:hAnsi="宋体" w:cs="宋体" w:eastAsia="宋体" w:hint="default"/>
          <w:spacing w:val="-48"/>
          <w:sz w:val="13"/>
          <w:szCs w:val="13"/>
        </w:rPr>
        <w:t> </w:t>
      </w:r>
      <w:r>
        <w:rPr>
          <w:rFonts w:ascii="宋体" w:hAnsi="宋体" w:cs="宋体" w:eastAsia="宋体" w:hint="default"/>
          <w:spacing w:val="-48"/>
          <w:sz w:val="13"/>
          <w:szCs w:val="13"/>
        </w:rPr>
      </w:r>
      <w:r>
        <w:rPr>
          <w:rFonts w:ascii="宋体" w:hAnsi="宋体" w:cs="宋体" w:eastAsia="宋体" w:hint="default"/>
          <w:sz w:val="13"/>
          <w:szCs w:val="13"/>
        </w:rPr>
        <w:t>务</w:t>
      </w:r>
    </w:p>
    <w:p>
      <w:pPr>
        <w:spacing w:line="240" w:lineRule="auto" w:before="1"/>
        <w:rPr>
          <w:rFonts w:ascii="宋体" w:hAnsi="宋体" w:cs="宋体" w:eastAsia="宋体" w:hint="default"/>
          <w:sz w:val="15"/>
          <w:szCs w:val="15"/>
        </w:rPr>
      </w:pPr>
      <w:r>
        <w:rPr/>
        <w:br w:type="column"/>
      </w:r>
      <w:r>
        <w:rPr>
          <w:rFonts w:ascii="宋体"/>
          <w:sz w:val="15"/>
        </w:rPr>
      </w:r>
    </w:p>
    <w:p>
      <w:pPr>
        <w:tabs>
          <w:tab w:pos="2008" w:val="left" w:leader="none"/>
          <w:tab w:pos="2620" w:val="left" w:leader="none"/>
          <w:tab w:pos="3059" w:val="left" w:leader="none"/>
        </w:tabs>
        <w:spacing w:before="0"/>
        <w:ind w:left="234" w:right="0" w:firstLine="0"/>
        <w:jc w:val="left"/>
        <w:rPr>
          <w:rFonts w:ascii="宋体" w:hAnsi="宋体" w:cs="宋体" w:eastAsia="宋体" w:hint="default"/>
          <w:sz w:val="13"/>
          <w:szCs w:val="13"/>
        </w:rPr>
      </w:pPr>
      <w:r>
        <w:rPr>
          <w:rFonts w:ascii="Times New Roman" w:hAnsi="Times New Roman" w:cs="Times New Roman" w:eastAsia="Times New Roman" w:hint="default"/>
          <w:w w:val="95"/>
          <w:sz w:val="13"/>
          <w:szCs w:val="13"/>
        </w:rPr>
        <w:t>63,329,610</w:t>
        <w:tab/>
        <w:t>100</w:t>
        <w:tab/>
        <w:t>100</w:t>
        <w:tab/>
      </w:r>
      <w:r>
        <w:rPr>
          <w:rFonts w:ascii="宋体" w:hAnsi="宋体" w:cs="宋体" w:eastAsia="宋体" w:hint="default"/>
          <w:position w:val="1"/>
          <w:sz w:val="13"/>
          <w:szCs w:val="13"/>
        </w:rPr>
        <w:t>是</w:t>
      </w:r>
      <w:r>
        <w:rPr>
          <w:rFonts w:ascii="宋体" w:hAnsi="宋体" w:cs="宋体" w:eastAsia="宋体" w:hint="default"/>
          <w:sz w:val="13"/>
          <w:szCs w:val="13"/>
        </w:rPr>
      </w:r>
    </w:p>
    <w:p>
      <w:pPr>
        <w:spacing w:after="0"/>
        <w:jc w:val="left"/>
        <w:rPr>
          <w:rFonts w:ascii="宋体" w:hAnsi="宋体" w:cs="宋体" w:eastAsia="宋体" w:hint="default"/>
          <w:sz w:val="13"/>
          <w:szCs w:val="13"/>
        </w:rPr>
        <w:sectPr>
          <w:type w:val="continuous"/>
          <w:pgSz w:w="16840" w:h="11900" w:orient="landscape"/>
          <w:pgMar w:top="1600" w:bottom="280" w:left="1300" w:right="1260"/>
          <w:cols w:num="3" w:equalWidth="0">
            <w:col w:w="5169" w:space="40"/>
            <w:col w:w="1976" w:space="40"/>
            <w:col w:w="7055"/>
          </w:cols>
        </w:sectPr>
      </w:pPr>
    </w:p>
    <w:p>
      <w:pPr>
        <w:spacing w:line="240" w:lineRule="auto" w:before="2"/>
        <w:rPr>
          <w:rFonts w:ascii="宋体" w:hAnsi="宋体" w:cs="宋体" w:eastAsia="宋体" w:hint="default"/>
          <w:sz w:val="15"/>
          <w:szCs w:val="15"/>
        </w:rPr>
      </w:pPr>
    </w:p>
    <w:p>
      <w:pPr>
        <w:spacing w:line="436" w:lineRule="auto" w:before="0"/>
        <w:ind w:left="771" w:right="-13" w:firstLine="0"/>
        <w:jc w:val="left"/>
        <w:rPr>
          <w:rFonts w:ascii="宋体" w:hAnsi="宋体" w:cs="宋体" w:eastAsia="宋体" w:hint="default"/>
          <w:sz w:val="13"/>
          <w:szCs w:val="13"/>
        </w:rPr>
      </w:pPr>
      <w:r>
        <w:rPr>
          <w:rFonts w:ascii="宋体" w:hAnsi="宋体" w:cs="宋体" w:eastAsia="宋体" w:hint="default"/>
          <w:spacing w:val="3"/>
          <w:sz w:val="13"/>
          <w:szCs w:val="13"/>
        </w:rPr>
        <w:t>大连东软软件园产业发展</w:t>
      </w:r>
      <w:r>
        <w:rPr>
          <w:rFonts w:ascii="宋体" w:hAnsi="宋体" w:cs="宋体" w:eastAsia="宋体" w:hint="default"/>
          <w:w w:val="99"/>
          <w:sz w:val="13"/>
          <w:szCs w:val="13"/>
        </w:rPr>
        <w:t> </w:t>
      </w:r>
      <w:r>
        <w:rPr>
          <w:rFonts w:ascii="宋体" w:hAnsi="宋体" w:cs="宋体" w:eastAsia="宋体" w:hint="default"/>
          <w:sz w:val="13"/>
          <w:szCs w:val="13"/>
        </w:rPr>
        <w:t>有限公司（注</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1</w:t>
      </w:r>
      <w:r>
        <w:rPr>
          <w:rFonts w:ascii="宋体" w:hAnsi="宋体" w:cs="宋体" w:eastAsia="宋体" w:hint="default"/>
          <w:sz w:val="13"/>
          <w:szCs w:val="13"/>
        </w:rPr>
        <w:t>）</w:t>
      </w:r>
    </w:p>
    <w:p>
      <w:pPr>
        <w:tabs>
          <w:tab w:pos="594" w:val="left" w:leader="none"/>
          <w:tab w:pos="1171" w:val="left" w:leader="none"/>
          <w:tab w:pos="2238" w:val="left" w:leader="none"/>
        </w:tabs>
        <w:spacing w:line="434" w:lineRule="auto" w:before="43"/>
        <w:ind w:left="6" w:right="0" w:firstLine="2924"/>
        <w:jc w:val="left"/>
        <w:rPr>
          <w:rFonts w:ascii="宋体" w:hAnsi="宋体" w:cs="宋体" w:eastAsia="宋体" w:hint="default"/>
          <w:sz w:val="13"/>
          <w:szCs w:val="13"/>
        </w:rPr>
      </w:pPr>
      <w:r>
        <w:rPr/>
        <w:br w:type="column"/>
      </w:r>
      <w:r>
        <w:rPr>
          <w:rFonts w:ascii="宋体" w:hAnsi="宋体" w:cs="宋体" w:eastAsia="宋体" w:hint="default"/>
          <w:sz w:val="13"/>
          <w:szCs w:val="13"/>
        </w:rPr>
        <w:t>计算机软件开发及技术咨询服务；</w:t>
      </w:r>
      <w:r>
        <w:rPr>
          <w:rFonts w:ascii="宋体" w:hAnsi="宋体" w:cs="宋体" w:eastAsia="宋体" w:hint="default"/>
          <w:w w:val="99"/>
          <w:sz w:val="13"/>
          <w:szCs w:val="13"/>
        </w:rPr>
        <w:t> </w:t>
      </w:r>
      <w:r>
        <w:rPr>
          <w:rFonts w:ascii="宋体" w:hAnsi="宋体" w:cs="宋体" w:eastAsia="宋体" w:hint="default"/>
          <w:w w:val="95"/>
          <w:position w:val="1"/>
          <w:sz w:val="13"/>
          <w:szCs w:val="13"/>
        </w:rPr>
        <w:t>控股</w:t>
        <w:tab/>
        <w:t>大连</w:t>
        <w:tab/>
        <w:t>有限责任公司</w:t>
        <w:tab/>
      </w:r>
      <w:r>
        <w:rPr>
          <w:rFonts w:ascii="Times New Roman" w:hAnsi="Times New Roman" w:cs="Times New Roman" w:eastAsia="Times New Roman" w:hint="default"/>
          <w:sz w:val="13"/>
          <w:szCs w:val="13"/>
        </w:rPr>
        <w:t>359,000,000</w:t>
      </w:r>
      <w:r>
        <w:rPr>
          <w:rFonts w:ascii="Times New Roman" w:hAnsi="Times New Roman" w:cs="Times New Roman" w:eastAsia="Times New Roman" w:hint="default"/>
          <w:spacing w:val="26"/>
          <w:sz w:val="13"/>
          <w:szCs w:val="13"/>
        </w:rPr>
        <w:t> </w:t>
      </w:r>
      <w:r>
        <w:rPr>
          <w:rFonts w:ascii="宋体" w:hAnsi="宋体" w:cs="宋体" w:eastAsia="宋体" w:hint="default"/>
          <w:position w:val="1"/>
          <w:sz w:val="13"/>
          <w:szCs w:val="13"/>
        </w:rPr>
        <w:t>房屋租赁；物业管理；国内一般贸</w:t>
      </w:r>
      <w:r>
        <w:rPr>
          <w:rFonts w:ascii="宋体" w:hAnsi="宋体" w:cs="宋体" w:eastAsia="宋体" w:hint="default"/>
          <w:sz w:val="13"/>
          <w:szCs w:val="13"/>
        </w:rPr>
      </w:r>
    </w:p>
    <w:p>
      <w:pPr>
        <w:spacing w:before="1"/>
        <w:ind w:left="2931" w:right="0" w:firstLine="0"/>
        <w:jc w:val="left"/>
        <w:rPr>
          <w:rFonts w:ascii="宋体" w:hAnsi="宋体" w:cs="宋体" w:eastAsia="宋体" w:hint="default"/>
          <w:sz w:val="13"/>
          <w:szCs w:val="13"/>
        </w:rPr>
      </w:pPr>
      <w:r>
        <w:rPr>
          <w:rFonts w:ascii="宋体" w:hAnsi="宋体" w:cs="宋体" w:eastAsia="宋体" w:hint="default"/>
          <w:sz w:val="13"/>
          <w:szCs w:val="13"/>
        </w:rPr>
        <w:t>易、货物及技术进出口</w:t>
      </w:r>
    </w:p>
    <w:p>
      <w:pPr>
        <w:tabs>
          <w:tab w:pos="2652" w:val="left" w:leader="none"/>
          <w:tab w:pos="3059" w:val="left" w:leader="none"/>
          <w:tab w:pos="3925" w:val="right" w:leader="none"/>
        </w:tabs>
        <w:spacing w:before="351"/>
        <w:ind w:left="168" w:right="0" w:firstLine="0"/>
        <w:jc w:val="left"/>
        <w:rPr>
          <w:rFonts w:ascii="Times New Roman" w:hAnsi="Times New Roman" w:cs="Times New Roman" w:eastAsia="Times New Roman" w:hint="default"/>
          <w:sz w:val="13"/>
          <w:szCs w:val="13"/>
        </w:rPr>
      </w:pPr>
      <w:r>
        <w:rPr>
          <w:w w:val="95"/>
        </w:rPr>
        <w:br w:type="column"/>
      </w:r>
      <w:r>
        <w:rPr>
          <w:rFonts w:ascii="Times New Roman" w:hAnsi="Times New Roman" w:cs="Times New Roman" w:eastAsia="Times New Roman" w:hint="default"/>
          <w:w w:val="95"/>
          <w:sz w:val="13"/>
          <w:szCs w:val="13"/>
        </w:rPr>
        <w:t>215,400,000</w:t>
        <w:tab/>
        <w:t>60</w:t>
        <w:tab/>
      </w:r>
      <w:r>
        <w:rPr>
          <w:rFonts w:ascii="宋体" w:hAnsi="宋体" w:cs="宋体" w:eastAsia="宋体" w:hint="default"/>
          <w:position w:val="1"/>
          <w:sz w:val="13"/>
          <w:szCs w:val="13"/>
        </w:rPr>
        <w:t>是</w:t>
      </w:r>
      <w:r>
        <w:rPr>
          <w:rFonts w:ascii="Times New Roman" w:hAnsi="Times New Roman" w:cs="Times New Roman" w:eastAsia="Times New Roman" w:hint="default"/>
          <w:sz w:val="13"/>
          <w:szCs w:val="13"/>
        </w:rPr>
        <w:tab/>
        <w:t>40</w:t>
      </w:r>
    </w:p>
    <w:p>
      <w:pPr>
        <w:spacing w:after="0"/>
        <w:jc w:val="left"/>
        <w:rPr>
          <w:rFonts w:ascii="Times New Roman" w:hAnsi="Times New Roman" w:cs="Times New Roman" w:eastAsia="Times New Roman" w:hint="default"/>
          <w:sz w:val="13"/>
          <w:szCs w:val="13"/>
        </w:rPr>
        <w:sectPr>
          <w:type w:val="continuous"/>
          <w:pgSz w:w="16840" w:h="11900" w:orient="landscape"/>
          <w:pgMar w:top="1600" w:bottom="280" w:left="1300" w:right="1260"/>
          <w:cols w:num="3" w:equalWidth="0">
            <w:col w:w="2241" w:space="40"/>
            <w:col w:w="4905" w:space="40"/>
            <w:col w:w="7054"/>
          </w:cols>
        </w:sectPr>
      </w:pPr>
    </w:p>
    <w:p>
      <w:pPr>
        <w:spacing w:line="439" w:lineRule="auto" w:before="304"/>
        <w:ind w:left="771" w:right="-13" w:firstLine="0"/>
        <w:jc w:val="left"/>
        <w:rPr>
          <w:rFonts w:ascii="宋体" w:hAnsi="宋体" w:cs="宋体" w:eastAsia="宋体" w:hint="default"/>
          <w:sz w:val="13"/>
          <w:szCs w:val="13"/>
        </w:rPr>
      </w:pPr>
      <w:r>
        <w:rPr>
          <w:rFonts w:ascii="宋体" w:hAnsi="宋体" w:cs="宋体" w:eastAsia="宋体" w:hint="default"/>
          <w:spacing w:val="3"/>
          <w:sz w:val="13"/>
          <w:szCs w:val="13"/>
        </w:rPr>
        <w:t>佛山市南海东软信息技术</w:t>
      </w:r>
      <w:r>
        <w:rPr>
          <w:rFonts w:ascii="宋体" w:hAnsi="宋体" w:cs="宋体" w:eastAsia="宋体" w:hint="default"/>
          <w:w w:val="99"/>
          <w:sz w:val="13"/>
          <w:szCs w:val="13"/>
        </w:rPr>
        <w:t> </w:t>
      </w:r>
      <w:r>
        <w:rPr>
          <w:rFonts w:ascii="宋体" w:hAnsi="宋体" w:cs="宋体" w:eastAsia="宋体" w:hint="default"/>
          <w:sz w:val="13"/>
          <w:szCs w:val="13"/>
        </w:rPr>
        <w:t>发展有限公司（注</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2</w:t>
      </w:r>
      <w:r>
        <w:rPr>
          <w:rFonts w:ascii="宋体" w:hAnsi="宋体" w:cs="宋体" w:eastAsia="宋体" w:hint="default"/>
          <w:sz w:val="13"/>
          <w:szCs w:val="13"/>
        </w:rPr>
        <w:t>）</w:t>
      </w:r>
    </w:p>
    <w:p>
      <w:pPr>
        <w:tabs>
          <w:tab w:pos="594" w:val="left" w:leader="none"/>
          <w:tab w:pos="1171" w:val="left" w:leader="none"/>
          <w:tab w:pos="2304" w:val="left" w:leader="none"/>
        </w:tabs>
        <w:spacing w:line="434" w:lineRule="auto" w:before="149"/>
        <w:ind w:left="6" w:right="0" w:firstLine="2924"/>
        <w:jc w:val="left"/>
        <w:rPr>
          <w:rFonts w:ascii="宋体" w:hAnsi="宋体" w:cs="宋体" w:eastAsia="宋体" w:hint="default"/>
          <w:sz w:val="13"/>
          <w:szCs w:val="13"/>
        </w:rPr>
      </w:pPr>
      <w:r>
        <w:rPr/>
        <w:br w:type="column"/>
      </w:r>
      <w:r>
        <w:rPr>
          <w:rFonts w:ascii="宋体" w:hAnsi="宋体" w:cs="宋体" w:eastAsia="宋体" w:hint="default"/>
          <w:sz w:val="13"/>
          <w:szCs w:val="13"/>
        </w:rPr>
        <w:t>对南海东软信息技术学院的投资、</w:t>
      </w:r>
      <w:r>
        <w:rPr>
          <w:rFonts w:ascii="宋体" w:hAnsi="宋体" w:cs="宋体" w:eastAsia="宋体" w:hint="default"/>
          <w:w w:val="99"/>
          <w:sz w:val="13"/>
          <w:szCs w:val="13"/>
        </w:rPr>
        <w:t> </w:t>
      </w:r>
      <w:r>
        <w:rPr>
          <w:rFonts w:ascii="宋体" w:hAnsi="宋体" w:cs="宋体" w:eastAsia="宋体" w:hint="default"/>
          <w:w w:val="95"/>
          <w:position w:val="1"/>
          <w:sz w:val="13"/>
          <w:szCs w:val="13"/>
        </w:rPr>
        <w:t>控股</w:t>
        <w:tab/>
        <w:t>佛山</w:t>
        <w:tab/>
        <w:t>有限责任公司</w:t>
        <w:tab/>
      </w:r>
      <w:r>
        <w:rPr>
          <w:rFonts w:ascii="Times New Roman" w:hAnsi="Times New Roman" w:cs="Times New Roman" w:eastAsia="Times New Roman" w:hint="default"/>
          <w:sz w:val="13"/>
          <w:szCs w:val="13"/>
        </w:rPr>
        <w:t>60,000,000</w:t>
      </w:r>
      <w:r>
        <w:rPr>
          <w:rFonts w:ascii="Times New Roman" w:hAnsi="Times New Roman" w:cs="Times New Roman" w:eastAsia="Times New Roman" w:hint="default"/>
          <w:spacing w:val="26"/>
          <w:sz w:val="13"/>
          <w:szCs w:val="13"/>
        </w:rPr>
        <w:t> </w:t>
      </w:r>
      <w:r>
        <w:rPr>
          <w:rFonts w:ascii="宋体" w:hAnsi="宋体" w:cs="宋体" w:eastAsia="宋体" w:hint="default"/>
          <w:position w:val="1"/>
          <w:sz w:val="13"/>
          <w:szCs w:val="13"/>
        </w:rPr>
        <w:t>建设与管理，信息技术、管理人才</w:t>
      </w:r>
      <w:r>
        <w:rPr>
          <w:rFonts w:ascii="宋体" w:hAnsi="宋体" w:cs="宋体" w:eastAsia="宋体" w:hint="default"/>
          <w:sz w:val="13"/>
          <w:szCs w:val="13"/>
        </w:rPr>
      </w:r>
    </w:p>
    <w:p>
      <w:pPr>
        <w:spacing w:before="1"/>
        <w:ind w:left="2931" w:right="0" w:firstLine="0"/>
        <w:jc w:val="left"/>
        <w:rPr>
          <w:rFonts w:ascii="宋体" w:hAnsi="宋体" w:cs="宋体" w:eastAsia="宋体" w:hint="default"/>
          <w:sz w:val="13"/>
          <w:szCs w:val="13"/>
        </w:rPr>
      </w:pPr>
      <w:r>
        <w:rPr>
          <w:rFonts w:ascii="宋体" w:hAnsi="宋体" w:cs="宋体" w:eastAsia="宋体" w:hint="default"/>
          <w:sz w:val="13"/>
          <w:szCs w:val="13"/>
        </w:rPr>
        <w:t>教育培训及咨询服务</w:t>
      </w:r>
    </w:p>
    <w:p>
      <w:pPr>
        <w:tabs>
          <w:tab w:pos="2652" w:val="left" w:leader="none"/>
          <w:tab w:pos="3059" w:val="left" w:leader="none"/>
          <w:tab w:pos="3893" w:val="right" w:leader="none"/>
        </w:tabs>
        <w:spacing w:before="457"/>
        <w:ind w:left="234" w:right="0" w:firstLine="0"/>
        <w:jc w:val="left"/>
        <w:rPr>
          <w:rFonts w:ascii="Times New Roman" w:hAnsi="Times New Roman" w:cs="Times New Roman" w:eastAsia="Times New Roman" w:hint="default"/>
          <w:sz w:val="13"/>
          <w:szCs w:val="13"/>
        </w:rPr>
      </w:pPr>
      <w:r>
        <w:rPr>
          <w:w w:val="95"/>
        </w:rPr>
        <w:br w:type="column"/>
      </w:r>
      <w:r>
        <w:rPr>
          <w:rFonts w:ascii="Times New Roman" w:hAnsi="Times New Roman" w:cs="Times New Roman" w:eastAsia="Times New Roman" w:hint="default"/>
          <w:w w:val="95"/>
          <w:sz w:val="13"/>
          <w:szCs w:val="13"/>
        </w:rPr>
        <w:t>59,400,000</w:t>
        <w:tab/>
        <w:t>99</w:t>
        <w:tab/>
      </w:r>
      <w:r>
        <w:rPr>
          <w:rFonts w:ascii="宋体" w:hAnsi="宋体" w:cs="宋体" w:eastAsia="宋体" w:hint="default"/>
          <w:position w:val="1"/>
          <w:sz w:val="13"/>
          <w:szCs w:val="13"/>
        </w:rPr>
        <w:t>是</w:t>
      </w:r>
      <w:r>
        <w:rPr>
          <w:rFonts w:ascii="Times New Roman" w:hAnsi="Times New Roman" w:cs="Times New Roman" w:eastAsia="Times New Roman" w:hint="default"/>
          <w:sz w:val="13"/>
          <w:szCs w:val="13"/>
        </w:rPr>
        <w:tab/>
        <w:t>1</w:t>
      </w:r>
    </w:p>
    <w:p>
      <w:pPr>
        <w:spacing w:after="0"/>
        <w:jc w:val="left"/>
        <w:rPr>
          <w:rFonts w:ascii="Times New Roman" w:hAnsi="Times New Roman" w:cs="Times New Roman" w:eastAsia="Times New Roman" w:hint="default"/>
          <w:sz w:val="13"/>
          <w:szCs w:val="13"/>
        </w:rPr>
        <w:sectPr>
          <w:type w:val="continuous"/>
          <w:pgSz w:w="16840" w:h="11900" w:orient="landscape"/>
          <w:pgMar w:top="1600" w:bottom="280" w:left="1300" w:right="1260"/>
          <w:cols w:num="3" w:equalWidth="0">
            <w:col w:w="2241" w:space="40"/>
            <w:col w:w="4905" w:space="40"/>
            <w:col w:w="7054"/>
          </w:cols>
        </w:sectPr>
      </w:pPr>
    </w:p>
    <w:p>
      <w:pPr>
        <w:spacing w:before="150"/>
        <w:ind w:left="3186" w:right="5066" w:firstLine="0"/>
        <w:jc w:val="center"/>
        <w:rPr>
          <w:rFonts w:ascii="宋体" w:hAnsi="宋体" w:cs="宋体" w:eastAsia="宋体" w:hint="default"/>
          <w:sz w:val="13"/>
          <w:szCs w:val="13"/>
        </w:rPr>
      </w:pPr>
      <w:r>
        <w:rPr>
          <w:rFonts w:ascii="宋体" w:hAnsi="宋体" w:cs="宋体" w:eastAsia="宋体" w:hint="default"/>
          <w:sz w:val="13"/>
          <w:szCs w:val="13"/>
        </w:rPr>
        <w:t>计算机软硬件、教育课件开发、租</w:t>
      </w:r>
    </w:p>
    <w:p>
      <w:pPr>
        <w:spacing w:after="0"/>
        <w:jc w:val="center"/>
        <w:rPr>
          <w:rFonts w:ascii="宋体" w:hAnsi="宋体" w:cs="宋体" w:eastAsia="宋体" w:hint="default"/>
          <w:sz w:val="13"/>
          <w:szCs w:val="13"/>
        </w:rPr>
        <w:sectPr>
          <w:type w:val="continuous"/>
          <w:pgSz w:w="16840" w:h="11900" w:orient="landscape"/>
          <w:pgMar w:top="1600" w:bottom="280" w:left="1300" w:right="1260"/>
        </w:sectPr>
      </w:pPr>
    </w:p>
    <w:p>
      <w:pPr>
        <w:spacing w:line="436" w:lineRule="auto" w:before="139"/>
        <w:ind w:left="771" w:right="-13" w:firstLine="0"/>
        <w:jc w:val="left"/>
        <w:rPr>
          <w:rFonts w:ascii="宋体" w:hAnsi="宋体" w:cs="宋体" w:eastAsia="宋体" w:hint="default"/>
          <w:sz w:val="13"/>
          <w:szCs w:val="13"/>
        </w:rPr>
      </w:pPr>
      <w:r>
        <w:rPr/>
        <w:pict>
          <v:group style="position:absolute;margin-left:101.271019pt;margin-top:113.459999pt;width:672.55pt;height:393.5pt;mso-position-horizontal-relative:page;mso-position-vertical-relative:page;z-index:-995464" coordorigin="2025,2269" coordsize="13451,7870">
            <v:group style="position:absolute;left:2049;top:2279;width:1512;height:2" coordorigin="2049,2279" coordsize="1512,2">
              <v:shape style="position:absolute;left:2049;top:2279;width:1512;height:2" coordorigin="2049,2279" coordsize="1512,0" path="m2049,2279l3561,2279e" filled="false" stroked="true" strokeweight=".95999pt" strokecolor="#000000">
                <v:path arrowok="t"/>
              </v:shape>
            </v:group>
            <v:group style="position:absolute;left:3561;top:2279;width:588;height:2" coordorigin="3561,2279" coordsize="588,2">
              <v:shape style="position:absolute;left:3561;top:2279;width:588;height:2" coordorigin="3561,2279" coordsize="588,0" path="m3561,2279l4149,2279e" filled="false" stroked="true" strokeweight=".95999pt" strokecolor="#000000">
                <v:path arrowok="t"/>
              </v:shape>
            </v:group>
            <v:group style="position:absolute;left:4149;top:2279;width:578;height:2" coordorigin="4149,2279" coordsize="578,2">
              <v:shape style="position:absolute;left:4149;top:2279;width:578;height:2" coordorigin="4149,2279" coordsize="578,0" path="m4149,2279l4727,2279e" filled="false" stroked="true" strokeweight=".95999pt" strokecolor="#000000">
                <v:path arrowok="t"/>
              </v:shape>
            </v:group>
            <v:group style="position:absolute;left:4727;top:2279;width:904;height:2" coordorigin="4727,2279" coordsize="904,2">
              <v:shape style="position:absolute;left:4727;top:2279;width:904;height:2" coordorigin="4727,2279" coordsize="904,0" path="m4727,2279l5630,2279e" filled="false" stroked="true" strokeweight=".95999pt" strokecolor="#000000">
                <v:path arrowok="t"/>
              </v:shape>
            </v:group>
            <v:group style="position:absolute;left:5630;top:2279;width:856;height:2" coordorigin="5630,2279" coordsize="856,2">
              <v:shape style="position:absolute;left:5630;top:2279;width:856;height:2" coordorigin="5630,2279" coordsize="856,0" path="m5630,2279l6486,2279e" filled="false" stroked="true" strokeweight=".95999pt" strokecolor="#000000">
                <v:path arrowok="t"/>
              </v:shape>
            </v:group>
            <v:group style="position:absolute;left:6486;top:2279;width:2019;height:2" coordorigin="6486,2279" coordsize="2019,2">
              <v:shape style="position:absolute;left:6486;top:2279;width:2019;height:2" coordorigin="6486,2279" coordsize="2019,0" path="m6486,2279l8504,2279e" filled="false" stroked="true" strokeweight=".95999pt" strokecolor="#000000">
                <v:path arrowok="t"/>
              </v:shape>
            </v:group>
            <v:group style="position:absolute;left:8504;top:2279;width:856;height:2" coordorigin="8504,2279" coordsize="856,2">
              <v:shape style="position:absolute;left:8504;top:2279;width:856;height:2" coordorigin="8504,2279" coordsize="856,0" path="m8504,2279l9360,2279e" filled="false" stroked="true" strokeweight=".95999pt" strokecolor="#000000">
                <v:path arrowok="t"/>
              </v:shape>
            </v:group>
            <v:group style="position:absolute;left:9360;top:2279;width:975;height:2" coordorigin="9360,2279" coordsize="975,2">
              <v:shape style="position:absolute;left:9360;top:2279;width:975;height:2" coordorigin="9360,2279" coordsize="975,0" path="m9360,2279l10334,2279e" filled="false" stroked="true" strokeweight=".95999pt" strokecolor="#000000">
                <v:path arrowok="t"/>
              </v:shape>
            </v:group>
            <v:group style="position:absolute;left:10334;top:2279;width:585;height:2" coordorigin="10334,2279" coordsize="585,2">
              <v:shape style="position:absolute;left:10334;top:2279;width:585;height:2" coordorigin="10334,2279" coordsize="585,0" path="m10334,2279l10919,2279e" filled="false" stroked="true" strokeweight=".95999pt" strokecolor="#000000">
                <v:path arrowok="t"/>
              </v:shape>
            </v:group>
            <v:group style="position:absolute;left:10919;top:2279;width:640;height:2" coordorigin="10919,2279" coordsize="640,2">
              <v:shape style="position:absolute;left:10919;top:2279;width:640;height:2" coordorigin="10919,2279" coordsize="640,0" path="m10919,2279l11558,2279e" filled="false" stroked="true" strokeweight=".95999pt" strokecolor="#000000">
                <v:path arrowok="t"/>
              </v:shape>
            </v:group>
            <v:group style="position:absolute;left:11558;top:2279;width:558;height:2" coordorigin="11558,2279" coordsize="558,2">
              <v:shape style="position:absolute;left:11558;top:2279;width:558;height:2" coordorigin="11558,2279" coordsize="558,0" path="m11558,2279l12116,2279e" filled="false" stroked="true" strokeweight=".95999pt" strokecolor="#000000">
                <v:path arrowok="t"/>
              </v:shape>
            </v:group>
            <v:group style="position:absolute;left:12116;top:2279;width:531;height:2" coordorigin="12116,2279" coordsize="531,2">
              <v:shape style="position:absolute;left:12116;top:2279;width:531;height:2" coordorigin="12116,2279" coordsize="531,0" path="m12116,2279l12647,2279e" filled="false" stroked="true" strokeweight=".95999pt" strokecolor="#000000">
                <v:path arrowok="t"/>
              </v:shape>
            </v:group>
            <v:group style="position:absolute;left:12647;top:2279;width:1116;height:2" coordorigin="12647,2279" coordsize="1116,2">
              <v:shape style="position:absolute;left:12647;top:2279;width:1116;height:2" coordorigin="12647,2279" coordsize="1116,0" path="m12647,2279l13763,2279e" filled="false" stroked="true" strokeweight=".95999pt" strokecolor="#000000">
                <v:path arrowok="t"/>
              </v:shape>
            </v:group>
            <v:group style="position:absolute;left:13763;top:2279;width:1697;height:2" coordorigin="13763,2279" coordsize="1697,2">
              <v:shape style="position:absolute;left:13763;top:2279;width:1697;height:2" coordorigin="13763,2279" coordsize="1697,0" path="m13763,2279l15459,2279e" filled="false" stroked="true" strokeweight=".95999pt" strokecolor="#000000">
                <v:path arrowok="t"/>
              </v:shape>
            </v:group>
            <v:group style="position:absolute;left:2035;top:10129;width:1527;height:2" coordorigin="2035,10129" coordsize="1527,2">
              <v:shape style="position:absolute;left:2035;top:10129;width:1527;height:2" coordorigin="2035,10129" coordsize="1527,0" path="m2035,10129l3561,10129e" filled="false" stroked="true" strokeweight=".95996pt" strokecolor="#000000">
                <v:path arrowok="t"/>
              </v:shape>
            </v:group>
            <v:group style="position:absolute;left:3561;top:10129;width:588;height:2" coordorigin="3561,10129" coordsize="588,2">
              <v:shape style="position:absolute;left:3561;top:10129;width:588;height:2" coordorigin="3561,10129" coordsize="588,0" path="m3561,10129l4149,10129e" filled="false" stroked="true" strokeweight=".95996pt" strokecolor="#000000">
                <v:path arrowok="t"/>
              </v:shape>
            </v:group>
            <v:group style="position:absolute;left:4149;top:10129;width:578;height:2" coordorigin="4149,10129" coordsize="578,2">
              <v:shape style="position:absolute;left:4149;top:10129;width:578;height:2" coordorigin="4149,10129" coordsize="578,0" path="m4149,10129l4727,10129e" filled="false" stroked="true" strokeweight=".95996pt" strokecolor="#000000">
                <v:path arrowok="t"/>
              </v:shape>
            </v:group>
            <v:group style="position:absolute;left:4727;top:10129;width:904;height:2" coordorigin="4727,10129" coordsize="904,2">
              <v:shape style="position:absolute;left:4727;top:10129;width:904;height:2" coordorigin="4727,10129" coordsize="904,0" path="m4727,10129l5630,10129e" filled="false" stroked="true" strokeweight=".95996pt" strokecolor="#000000">
                <v:path arrowok="t"/>
              </v:shape>
            </v:group>
            <v:group style="position:absolute;left:5630;top:10129;width:856;height:2" coordorigin="5630,10129" coordsize="856,2">
              <v:shape style="position:absolute;left:5630;top:10129;width:856;height:2" coordorigin="5630,10129" coordsize="856,0" path="m5630,10129l6486,10129e" filled="false" stroked="true" strokeweight=".95996pt" strokecolor="#000000">
                <v:path arrowok="t"/>
              </v:shape>
            </v:group>
            <v:group style="position:absolute;left:6486;top:10129;width:2019;height:2" coordorigin="6486,10129" coordsize="2019,2">
              <v:shape style="position:absolute;left:6486;top:10129;width:2019;height:2" coordorigin="6486,10129" coordsize="2019,0" path="m6486,10129l8504,10129e" filled="false" stroked="true" strokeweight=".95996pt" strokecolor="#000000">
                <v:path arrowok="t"/>
              </v:shape>
            </v:group>
            <v:group style="position:absolute;left:8504;top:10129;width:856;height:2" coordorigin="8504,10129" coordsize="856,2">
              <v:shape style="position:absolute;left:8504;top:10129;width:856;height:2" coordorigin="8504,10129" coordsize="856,0" path="m8504,10129l9360,10129e" filled="false" stroked="true" strokeweight=".95996pt" strokecolor="#000000">
                <v:path arrowok="t"/>
              </v:shape>
            </v:group>
            <v:group style="position:absolute;left:9360;top:10129;width:975;height:2" coordorigin="9360,10129" coordsize="975,2">
              <v:shape style="position:absolute;left:9360;top:10129;width:975;height:2" coordorigin="9360,10129" coordsize="975,0" path="m9360,10129l10334,10129e" filled="false" stroked="true" strokeweight=".95996pt" strokecolor="#000000">
                <v:path arrowok="t"/>
              </v:shape>
            </v:group>
            <v:group style="position:absolute;left:10334;top:10129;width:585;height:2" coordorigin="10334,10129" coordsize="585,2">
              <v:shape style="position:absolute;left:10334;top:10129;width:585;height:2" coordorigin="10334,10129" coordsize="585,0" path="m10334,10129l10919,10129e" filled="false" stroked="true" strokeweight=".95996pt" strokecolor="#000000">
                <v:path arrowok="t"/>
              </v:shape>
            </v:group>
            <v:group style="position:absolute;left:10919;top:10129;width:640;height:2" coordorigin="10919,10129" coordsize="640,2">
              <v:shape style="position:absolute;left:10919;top:10129;width:640;height:2" coordorigin="10919,10129" coordsize="640,0" path="m10919,10129l11558,10129e" filled="false" stroked="true" strokeweight=".95996pt" strokecolor="#000000">
                <v:path arrowok="t"/>
              </v:shape>
            </v:group>
            <v:group style="position:absolute;left:11558;top:10129;width:558;height:2" coordorigin="11558,10129" coordsize="558,2">
              <v:shape style="position:absolute;left:11558;top:10129;width:558;height:2" coordorigin="11558,10129" coordsize="558,0" path="m11558,10129l12116,10129e" filled="false" stroked="true" strokeweight=".95996pt" strokecolor="#000000">
                <v:path arrowok="t"/>
              </v:shape>
            </v:group>
            <v:group style="position:absolute;left:12116;top:10129;width:531;height:2" coordorigin="12116,10129" coordsize="531,2">
              <v:shape style="position:absolute;left:12116;top:10129;width:531;height:2" coordorigin="12116,10129" coordsize="531,0" path="m12116,10129l12647,10129e" filled="false" stroked="true" strokeweight=".95996pt" strokecolor="#000000">
                <v:path arrowok="t"/>
              </v:shape>
            </v:group>
            <v:group style="position:absolute;left:12647;top:10129;width:1116;height:2" coordorigin="12647,10129" coordsize="1116,2">
              <v:shape style="position:absolute;left:12647;top:10129;width:1116;height:2" coordorigin="12647,10129" coordsize="1116,0" path="m12647,10129l13763,10129e" filled="false" stroked="true" strokeweight=".95996pt" strokecolor="#000000">
                <v:path arrowok="t"/>
              </v:shape>
              <v:shape style="position:absolute;left:2049;top:2288;width:13422;height:7831" type="#_x0000_t75" stroked="false">
                <v:imagedata r:id="rId39" o:title=""/>
              </v:shape>
            </v:group>
            <v:group style="position:absolute;left:13763;top:10129;width:1704;height:2" coordorigin="13763,10129" coordsize="1704,2">
              <v:shape style="position:absolute;left:13763;top:10129;width:1704;height:2" coordorigin="13763,10129" coordsize="1704,0" path="m13763,10129l15467,10129e" filled="false" stroked="true" strokeweight=".95996pt" strokecolor="#000000">
                <v:path arrowok="t"/>
              </v:shape>
            </v:group>
            <w10:wrap type="none"/>
          </v:group>
        </w:pict>
      </w:r>
      <w:r>
        <w:rPr>
          <w:rFonts w:ascii="宋体" w:hAnsi="宋体" w:cs="宋体" w:eastAsia="宋体" w:hint="default"/>
          <w:spacing w:val="3"/>
          <w:sz w:val="13"/>
          <w:szCs w:val="13"/>
        </w:rPr>
        <w:t>成都东软信息技术发展有</w:t>
      </w:r>
      <w:r>
        <w:rPr>
          <w:rFonts w:ascii="宋体" w:hAnsi="宋体" w:cs="宋体" w:eastAsia="宋体" w:hint="default"/>
          <w:w w:val="99"/>
          <w:sz w:val="13"/>
          <w:szCs w:val="13"/>
        </w:rPr>
        <w:t> </w:t>
      </w:r>
      <w:r>
        <w:rPr>
          <w:rFonts w:ascii="宋体" w:hAnsi="宋体" w:cs="宋体" w:eastAsia="宋体" w:hint="default"/>
          <w:sz w:val="13"/>
          <w:szCs w:val="13"/>
        </w:rPr>
        <w:t>限公司（注</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3</w:t>
      </w:r>
      <w:r>
        <w:rPr>
          <w:rFonts w:ascii="宋体" w:hAnsi="宋体" w:cs="宋体" w:eastAsia="宋体" w:hint="default"/>
          <w:sz w:val="13"/>
          <w:szCs w:val="13"/>
        </w:rPr>
        <w:t>）</w:t>
      </w:r>
    </w:p>
    <w:p>
      <w:pPr>
        <w:tabs>
          <w:tab w:pos="594" w:val="left" w:leader="none"/>
          <w:tab w:pos="1171" w:val="left" w:leader="none"/>
          <w:tab w:pos="2304" w:val="left" w:leader="none"/>
        </w:tabs>
        <w:spacing w:before="294"/>
        <w:ind w:left="6" w:right="0" w:firstLine="0"/>
        <w:jc w:val="left"/>
        <w:rPr>
          <w:rFonts w:ascii="Times New Roman" w:hAnsi="Times New Roman" w:cs="Times New Roman" w:eastAsia="Times New Roman" w:hint="default"/>
          <w:sz w:val="13"/>
          <w:szCs w:val="13"/>
        </w:rPr>
      </w:pPr>
      <w:r>
        <w:rPr>
          <w:w w:val="95"/>
        </w:rPr>
        <w:br w:type="column"/>
      </w:r>
      <w:r>
        <w:rPr>
          <w:rFonts w:ascii="宋体" w:hAnsi="宋体" w:cs="宋体" w:eastAsia="宋体" w:hint="default"/>
          <w:w w:val="95"/>
          <w:position w:val="1"/>
          <w:sz w:val="13"/>
          <w:szCs w:val="13"/>
        </w:rPr>
        <w:t>控股</w:t>
        <w:tab/>
        <w:t>成都</w:t>
        <w:tab/>
        <w:t>有限责任公司</w:t>
        <w:tab/>
      </w:r>
      <w:r>
        <w:rPr>
          <w:rFonts w:ascii="Times New Roman" w:hAnsi="Times New Roman" w:cs="Times New Roman" w:eastAsia="Times New Roman" w:hint="default"/>
          <w:w w:val="95"/>
          <w:sz w:val="13"/>
          <w:szCs w:val="13"/>
        </w:rPr>
        <w:t>60,000,000</w:t>
      </w:r>
      <w:r>
        <w:rPr>
          <w:rFonts w:ascii="Times New Roman" w:hAnsi="Times New Roman" w:cs="Times New Roman" w:eastAsia="Times New Roman" w:hint="default"/>
          <w:sz w:val="13"/>
          <w:szCs w:val="13"/>
        </w:rPr>
      </w:r>
    </w:p>
    <w:p>
      <w:pPr>
        <w:spacing w:line="436" w:lineRule="auto" w:before="139"/>
        <w:ind w:left="3" w:right="0" w:firstLine="0"/>
        <w:jc w:val="both"/>
        <w:rPr>
          <w:rFonts w:ascii="宋体" w:hAnsi="宋体" w:cs="宋体" w:eastAsia="宋体" w:hint="default"/>
          <w:sz w:val="13"/>
          <w:szCs w:val="13"/>
        </w:rPr>
      </w:pPr>
      <w:r>
        <w:rPr/>
        <w:br w:type="column"/>
      </w:r>
      <w:r>
        <w:rPr>
          <w:rFonts w:ascii="宋体" w:hAnsi="宋体" w:cs="宋体" w:eastAsia="宋体" w:hint="default"/>
          <w:sz w:val="13"/>
          <w:szCs w:val="13"/>
        </w:rPr>
        <w:t>赁、销售；房地产开发、销售；物</w:t>
      </w:r>
      <w:r>
        <w:rPr>
          <w:rFonts w:ascii="宋体" w:hAnsi="宋体" w:cs="宋体" w:eastAsia="宋体" w:hint="default"/>
          <w:spacing w:val="-48"/>
          <w:sz w:val="13"/>
          <w:szCs w:val="13"/>
        </w:rPr>
        <w:t> </w:t>
      </w:r>
      <w:r>
        <w:rPr>
          <w:rFonts w:ascii="宋体" w:hAnsi="宋体" w:cs="宋体" w:eastAsia="宋体" w:hint="default"/>
          <w:spacing w:val="-48"/>
          <w:sz w:val="13"/>
          <w:szCs w:val="13"/>
        </w:rPr>
      </w:r>
      <w:r>
        <w:rPr>
          <w:rFonts w:ascii="宋体" w:hAnsi="宋体" w:cs="宋体" w:eastAsia="宋体" w:hint="default"/>
          <w:sz w:val="13"/>
          <w:szCs w:val="13"/>
        </w:rPr>
        <w:t>业管理、场地租赁；信息技术、管</w:t>
      </w:r>
      <w:r>
        <w:rPr>
          <w:rFonts w:ascii="宋体" w:hAnsi="宋体" w:cs="宋体" w:eastAsia="宋体" w:hint="default"/>
          <w:spacing w:val="-48"/>
          <w:sz w:val="13"/>
          <w:szCs w:val="13"/>
        </w:rPr>
        <w:t> </w:t>
      </w:r>
      <w:r>
        <w:rPr>
          <w:rFonts w:ascii="宋体" w:hAnsi="宋体" w:cs="宋体" w:eastAsia="宋体" w:hint="default"/>
          <w:spacing w:val="-48"/>
          <w:sz w:val="13"/>
          <w:szCs w:val="13"/>
        </w:rPr>
      </w:r>
      <w:r>
        <w:rPr>
          <w:rFonts w:ascii="宋体" w:hAnsi="宋体" w:cs="宋体" w:eastAsia="宋体" w:hint="default"/>
          <w:sz w:val="13"/>
          <w:szCs w:val="13"/>
        </w:rPr>
        <w:t>理人才培训及顾问、咨询服务</w:t>
      </w:r>
    </w:p>
    <w:p>
      <w:pPr>
        <w:tabs>
          <w:tab w:pos="2652" w:val="left" w:leader="none"/>
          <w:tab w:pos="3059" w:val="left" w:leader="none"/>
          <w:tab w:pos="3893" w:val="right" w:leader="none"/>
        </w:tabs>
        <w:spacing w:before="294"/>
        <w:ind w:left="234" w:right="0" w:firstLine="0"/>
        <w:jc w:val="left"/>
        <w:rPr>
          <w:rFonts w:ascii="Times New Roman" w:hAnsi="Times New Roman" w:cs="Times New Roman" w:eastAsia="Times New Roman" w:hint="default"/>
          <w:sz w:val="13"/>
          <w:szCs w:val="13"/>
        </w:rPr>
      </w:pPr>
      <w:r>
        <w:rPr>
          <w:w w:val="95"/>
        </w:rPr>
        <w:br w:type="column"/>
      </w:r>
      <w:r>
        <w:rPr>
          <w:rFonts w:ascii="Times New Roman" w:hAnsi="Times New Roman" w:cs="Times New Roman" w:eastAsia="Times New Roman" w:hint="default"/>
          <w:w w:val="95"/>
          <w:sz w:val="13"/>
          <w:szCs w:val="13"/>
        </w:rPr>
        <w:t>59,400,000</w:t>
        <w:tab/>
        <w:t>99</w:t>
        <w:tab/>
      </w:r>
      <w:r>
        <w:rPr>
          <w:rFonts w:ascii="宋体" w:hAnsi="宋体" w:cs="宋体" w:eastAsia="宋体" w:hint="default"/>
          <w:position w:val="1"/>
          <w:sz w:val="13"/>
          <w:szCs w:val="13"/>
        </w:rPr>
        <w:t>是</w:t>
      </w:r>
      <w:r>
        <w:rPr>
          <w:rFonts w:ascii="Times New Roman" w:hAnsi="Times New Roman" w:cs="Times New Roman" w:eastAsia="Times New Roman" w:hint="default"/>
          <w:sz w:val="13"/>
          <w:szCs w:val="13"/>
        </w:rPr>
        <w:tab/>
        <w:t>1</w:t>
      </w:r>
    </w:p>
    <w:p>
      <w:pPr>
        <w:spacing w:after="0"/>
        <w:jc w:val="left"/>
        <w:rPr>
          <w:rFonts w:ascii="Times New Roman" w:hAnsi="Times New Roman" w:cs="Times New Roman" w:eastAsia="Times New Roman" w:hint="default"/>
          <w:sz w:val="13"/>
          <w:szCs w:val="13"/>
        </w:rPr>
        <w:sectPr>
          <w:type w:val="continuous"/>
          <w:pgSz w:w="16840" w:h="11900" w:orient="landscape"/>
          <w:pgMar w:top="1600" w:bottom="280" w:left="1300" w:right="1260"/>
          <w:cols w:num="4" w:equalWidth="0">
            <w:col w:w="2241" w:space="40"/>
            <w:col w:w="2889" w:space="40"/>
            <w:col w:w="1976" w:space="40"/>
            <w:col w:w="7054"/>
          </w:cols>
        </w:sectPr>
      </w:pPr>
    </w:p>
    <w:p>
      <w:pPr>
        <w:spacing w:line="240" w:lineRule="auto" w:before="4"/>
        <w:rPr>
          <w:rFonts w:ascii="Times New Roman" w:hAnsi="Times New Roman" w:cs="Times New Roman" w:eastAsia="Times New Roman" w:hint="default"/>
          <w:sz w:val="31"/>
          <w:szCs w:val="31"/>
        </w:rPr>
      </w:pPr>
    </w:p>
    <w:p>
      <w:pPr>
        <w:spacing w:before="0"/>
        <w:ind w:left="857" w:right="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：大连东软软件园产业发展有限公司为本公司之子公司沈阳东软信息技术服务有限公司出资设立，持股比例为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60%</w:t>
      </w:r>
      <w:r>
        <w:rPr>
          <w:rFonts w:ascii="宋体" w:hAnsi="宋体" w:cs="宋体" w:eastAsia="宋体" w:hint="default"/>
          <w:sz w:val="21"/>
          <w:szCs w:val="21"/>
        </w:rPr>
        <w:t>；</w:t>
      </w:r>
    </w:p>
    <w:p>
      <w:pPr>
        <w:spacing w:line="328" w:lineRule="auto" w:before="110"/>
        <w:ind w:left="857" w:right="1893"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w:t>
      </w:r>
      <w:r>
        <w:rPr>
          <w:rFonts w:ascii="宋体" w:hAnsi="宋体" w:cs="宋体" w:eastAsia="宋体" w:hint="default"/>
          <w:sz w:val="21"/>
          <w:szCs w:val="21"/>
        </w:rPr>
        <w:t>：佛山市南海东软信息技术发展有限公司为本集团之子公司大连东软软件园产业发展有限公司出资设立，持股比例</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99%</w:t>
      </w:r>
      <w:r>
        <w:rPr>
          <w:rFonts w:ascii="宋体" w:hAnsi="宋体" w:cs="宋体" w:eastAsia="宋体" w:hint="default"/>
          <w:sz w:val="21"/>
          <w:szCs w:val="21"/>
        </w:rPr>
        <w:t>； 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：成都东软信息技术发展有限公司为本集团之子公司大连东软软件园产业发展有限公司出资设立，持股比例</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99%</w:t>
      </w:r>
      <w:r>
        <w:rPr>
          <w:rFonts w:ascii="宋体" w:hAnsi="宋体" w:cs="宋体" w:eastAsia="宋体" w:hint="default"/>
          <w:sz w:val="21"/>
          <w:szCs w:val="21"/>
        </w:rPr>
        <w:t>。</w:t>
      </w:r>
    </w:p>
    <w:p>
      <w:pPr>
        <w:spacing w:before="23"/>
        <w:ind w:left="857" w:right="0" w:firstLine="0"/>
        <w:jc w:val="left"/>
        <w:rPr>
          <w:rFonts w:ascii="宋体" w:hAnsi="宋体" w:cs="宋体" w:eastAsia="宋体" w:hint="default"/>
          <w:sz w:val="21"/>
          <w:szCs w:val="21"/>
        </w:rPr>
      </w:pPr>
      <w:r>
        <w:rPr/>
        <w:pict>
          <v:group style="position:absolute;margin-left:101.991005pt;margin-top:16.532486pt;width:670.8pt;height:289.5pt;mso-position-horizontal-relative:page;mso-position-vertical-relative:paragraph;z-index:-994648" coordorigin="2040,331" coordsize="13416,5790">
            <v:group style="position:absolute;left:2049;top:340;width:1530;height:2" coordorigin="2049,340" coordsize="1530,2">
              <v:shape style="position:absolute;left:2049;top:340;width:1530;height:2" coordorigin="2049,340" coordsize="1530,0" path="m2049,340l3579,340e" filled="false" stroked="true" strokeweight=".95999pt" strokecolor="#000000">
                <v:path arrowok="t"/>
              </v:shape>
            </v:group>
            <v:group style="position:absolute;left:3579;top:340;width:580;height:2" coordorigin="3579,340" coordsize="580,2">
              <v:shape style="position:absolute;left:3579;top:340;width:580;height:2" coordorigin="3579,340" coordsize="580,0" path="m3579,340l4159,340e" filled="false" stroked="true" strokeweight=".95999pt" strokecolor="#000000">
                <v:path arrowok="t"/>
              </v:shape>
            </v:group>
            <v:group style="position:absolute;left:4159;top:340;width:586;height:2" coordorigin="4159,340" coordsize="586,2">
              <v:shape style="position:absolute;left:4159;top:340;width:586;height:2" coordorigin="4159,340" coordsize="586,0" path="m4159,340l4745,340e" filled="false" stroked="true" strokeweight=".95999pt" strokecolor="#000000">
                <v:path arrowok="t"/>
              </v:shape>
            </v:group>
            <v:group style="position:absolute;left:4745;top:340;width:880;height:2" coordorigin="4745,340" coordsize="880,2">
              <v:shape style="position:absolute;left:4745;top:340;width:880;height:2" coordorigin="4745,340" coordsize="880,0" path="m4745,340l5624,340e" filled="false" stroked="true" strokeweight=".95999pt" strokecolor="#000000">
                <v:path arrowok="t"/>
              </v:shape>
            </v:group>
            <v:group style="position:absolute;left:5624;top:340;width:867;height:2" coordorigin="5624,340" coordsize="867,2">
              <v:shape style="position:absolute;left:5624;top:340;width:867;height:2" coordorigin="5624,340" coordsize="867,0" path="m5624,340l6491,340e" filled="false" stroked="true" strokeweight=".95999pt" strokecolor="#000000">
                <v:path arrowok="t"/>
              </v:shape>
            </v:group>
            <v:group style="position:absolute;left:6491;top:340;width:1425;height:2" coordorigin="6491,340" coordsize="1425,2">
              <v:shape style="position:absolute;left:6491;top:340;width:1425;height:2" coordorigin="6491,340" coordsize="1425,0" path="m6491,340l7915,340e" filled="false" stroked="true" strokeweight=".95999pt" strokecolor="#000000">
                <v:path arrowok="t"/>
              </v:shape>
            </v:group>
            <v:group style="position:absolute;left:7915;top:340;width:880;height:2" coordorigin="7915,340" coordsize="880,2">
              <v:shape style="position:absolute;left:7915;top:340;width:880;height:2" coordorigin="7915,340" coordsize="880,0" path="m7915,340l8795,340e" filled="false" stroked="true" strokeweight=".95999pt" strokecolor="#000000">
                <v:path arrowok="t"/>
              </v:shape>
            </v:group>
            <v:group style="position:absolute;left:8795;top:340;width:942;height:2" coordorigin="8795,340" coordsize="942,2">
              <v:shape style="position:absolute;left:8795;top:340;width:942;height:2" coordorigin="8795,340" coordsize="942,0" path="m8795,340l9737,340e" filled="false" stroked="true" strokeweight=".95999pt" strokecolor="#000000">
                <v:path arrowok="t"/>
              </v:shape>
            </v:group>
            <v:group style="position:absolute;left:9737;top:340;width:600;height:2" coordorigin="9737,340" coordsize="600,2">
              <v:shape style="position:absolute;left:9737;top:340;width:600;height:2" coordorigin="9737,340" coordsize="600,0" path="m9737,340l10337,340e" filled="false" stroked="true" strokeweight=".95999pt" strokecolor="#000000">
                <v:path arrowok="t"/>
              </v:shape>
            </v:group>
            <v:group style="position:absolute;left:10337;top:340;width:630;height:2" coordorigin="10337,340" coordsize="630,2">
              <v:shape style="position:absolute;left:10337;top:340;width:630;height:2" coordorigin="10337,340" coordsize="630,0" path="m10337,340l10967,340e" filled="false" stroked="true" strokeweight=".95999pt" strokecolor="#000000">
                <v:path arrowok="t"/>
              </v:shape>
            </v:group>
            <v:group style="position:absolute;left:10967;top:340;width:568;height:2" coordorigin="10967,340" coordsize="568,2">
              <v:shape style="position:absolute;left:10967;top:340;width:568;height:2" coordorigin="10967,340" coordsize="568,0" path="m10967,340l11534,340e" filled="false" stroked="true" strokeweight=".95999pt" strokecolor="#000000">
                <v:path arrowok="t"/>
              </v:shape>
            </v:group>
            <v:group style="position:absolute;left:11534;top:340;width:681;height:2" coordorigin="11534,340" coordsize="681,2">
              <v:shape style="position:absolute;left:11534;top:340;width:681;height:2" coordorigin="11534,340" coordsize="681,0" path="m11534,340l12215,340e" filled="false" stroked="true" strokeweight=".95999pt" strokecolor="#000000">
                <v:path arrowok="t"/>
              </v:shape>
            </v:group>
            <v:group style="position:absolute;left:12215;top:340;width:1124;height:2" coordorigin="12215,340" coordsize="1124,2">
              <v:shape style="position:absolute;left:12215;top:340;width:1124;height:2" coordorigin="12215,340" coordsize="1124,0" path="m12215,340l13338,340e" filled="false" stroked="true" strokeweight=".95999pt" strokecolor="#000000">
                <v:path arrowok="t"/>
              </v:shape>
            </v:group>
            <v:group style="position:absolute;left:13338;top:340;width:2109;height:2" coordorigin="13338,340" coordsize="2109,2">
              <v:shape style="position:absolute;left:13338;top:340;width:2109;height:2" coordorigin="13338,340" coordsize="2109,0" path="m13338,340l15446,340e" filled="false" stroked="true" strokeweight=".95999pt" strokecolor="#000000">
                <v:path arrowok="t"/>
              </v:shape>
              <v:shape style="position:absolute;left:2049;top:350;width:13405;height:5771" type="#_x0000_t75" stroked="false">
                <v:imagedata r:id="rId40" o:title=""/>
              </v:shape>
              <v:shape style="position:absolute;left:13413;top:530;width:194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从母公司所有者权益冲减子公司少</w:t>
                      </w:r>
                      <w:r>
                        <w:rPr>
                          <w:rFonts w:ascii="宋体" w:hAnsi="宋体" w:cs="宋体" w:eastAsia="宋体" w:hint="default"/>
                          <w:sz w:val="13"/>
                          <w:szCs w:val="13"/>
                        </w:rPr>
                      </w:r>
                    </w:p>
                  </w:txbxContent>
                </v:textbox>
                <w10:wrap type="none"/>
              </v:shape>
              <v:shape style="position:absolute;left:8804;top:694;width:90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实质上构成对子</w:t>
                      </w:r>
                      <w:r>
                        <w:rPr>
                          <w:rFonts w:ascii="宋体" w:hAnsi="宋体" w:cs="宋体" w:eastAsia="宋体" w:hint="default"/>
                          <w:sz w:val="13"/>
                          <w:szCs w:val="13"/>
                        </w:rPr>
                      </w:r>
                    </w:p>
                  </w:txbxContent>
                </v:textbox>
                <w10:wrap type="none"/>
              </v:shape>
              <v:shape style="position:absolute;left:12252;top:694;width:104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少数股东权益中用</w:t>
                      </w:r>
                      <w:r>
                        <w:rPr>
                          <w:rFonts w:ascii="宋体" w:hAnsi="宋体" w:cs="宋体" w:eastAsia="宋体" w:hint="default"/>
                          <w:sz w:val="13"/>
                          <w:szCs w:val="13"/>
                        </w:rPr>
                      </w:r>
                    </w:p>
                  </w:txbxContent>
                </v:textbox>
                <w10:wrap type="none"/>
              </v:shape>
              <v:shape style="position:absolute;left:3671;top:860;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子公司</w:t>
                      </w:r>
                      <w:r>
                        <w:rPr>
                          <w:rFonts w:ascii="宋体" w:hAnsi="宋体" w:cs="宋体" w:eastAsia="宋体" w:hint="default"/>
                          <w:sz w:val="13"/>
                          <w:szCs w:val="13"/>
                        </w:rPr>
                      </w:r>
                    </w:p>
                  </w:txbxContent>
                </v:textbox>
                <w10:wrap type="none"/>
              </v:shape>
              <v:shape style="position:absolute;left:7961;top:860;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期末实际投资</w:t>
                      </w:r>
                      <w:r>
                        <w:rPr>
                          <w:rFonts w:ascii="宋体" w:hAnsi="宋体" w:cs="宋体" w:eastAsia="宋体" w:hint="default"/>
                          <w:sz w:val="13"/>
                          <w:szCs w:val="13"/>
                        </w:rPr>
                      </w:r>
                    </w:p>
                  </w:txbxContent>
                </v:textbox>
                <w10:wrap type="none"/>
              </v:shape>
              <v:shape style="position:absolute;left:9773;top:860;width:2357;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持股比例 表决权比  是否合  </w:t>
                      </w:r>
                      <w:r>
                        <w:rPr>
                          <w:rFonts w:ascii="宋体" w:hAnsi="宋体" w:cs="宋体" w:eastAsia="宋体" w:hint="default"/>
                          <w:spacing w:val="15"/>
                          <w:sz w:val="13"/>
                          <w:szCs w:val="13"/>
                        </w:rPr>
                        <w:t> </w:t>
                      </w:r>
                      <w:r>
                        <w:rPr>
                          <w:rFonts w:ascii="宋体" w:hAnsi="宋体" w:cs="宋体" w:eastAsia="宋体" w:hint="default"/>
                          <w:sz w:val="13"/>
                          <w:szCs w:val="13"/>
                        </w:rPr>
                        <w:t>少数股东</w:t>
                      </w:r>
                    </w:p>
                  </w:txbxContent>
                </v:textbox>
                <w10:wrap type="none"/>
              </v:shape>
              <v:shape style="position:absolute;left:13413;top:860;width:194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数股东分担的本期亏损超过少数股</w:t>
                      </w:r>
                      <w:r>
                        <w:rPr>
                          <w:rFonts w:ascii="宋体" w:hAnsi="宋体" w:cs="宋体" w:eastAsia="宋体" w:hint="default"/>
                          <w:sz w:val="13"/>
                          <w:szCs w:val="13"/>
                        </w:rPr>
                      </w:r>
                    </w:p>
                  </w:txbxContent>
                </v:textbox>
                <w10:wrap type="none"/>
              </v:shape>
              <v:shape style="position:absolute;left:2483;top:1024;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子公司全称</w:t>
                      </w:r>
                      <w:r>
                        <w:rPr>
                          <w:rFonts w:ascii="宋体" w:hAnsi="宋体" w:cs="宋体" w:eastAsia="宋体" w:hint="default"/>
                          <w:sz w:val="13"/>
                          <w:szCs w:val="13"/>
                        </w:rPr>
                      </w:r>
                    </w:p>
                  </w:txbxContent>
                </v:textbox>
                <w10:wrap type="none"/>
              </v:shape>
              <v:shape style="position:absolute;left:4253;top:1024;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注册地</w:t>
                      </w:r>
                      <w:r>
                        <w:rPr>
                          <w:rFonts w:ascii="宋体" w:hAnsi="宋体" w:cs="宋体" w:eastAsia="宋体" w:hint="default"/>
                          <w:sz w:val="13"/>
                          <w:szCs w:val="13"/>
                        </w:rPr>
                      </w:r>
                    </w:p>
                  </w:txbxContent>
                </v:textbox>
                <w10:wrap type="none"/>
              </v:shape>
              <v:shape style="position:absolute;left:4921;top:1024;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企业性质</w:t>
                      </w:r>
                      <w:r>
                        <w:rPr>
                          <w:rFonts w:ascii="宋体" w:hAnsi="宋体" w:cs="宋体" w:eastAsia="宋体" w:hint="default"/>
                          <w:sz w:val="13"/>
                          <w:szCs w:val="13"/>
                        </w:rPr>
                      </w:r>
                    </w:p>
                  </w:txbxContent>
                </v:textbox>
                <w10:wrap type="none"/>
              </v:shape>
              <v:shape style="position:absolute;left:5795;top:1024;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注册资本</w:t>
                      </w:r>
                      <w:r>
                        <w:rPr>
                          <w:rFonts w:ascii="宋体" w:hAnsi="宋体" w:cs="宋体" w:eastAsia="宋体" w:hint="default"/>
                          <w:sz w:val="13"/>
                          <w:szCs w:val="13"/>
                        </w:rPr>
                      </w:r>
                    </w:p>
                  </w:txbxContent>
                </v:textbox>
                <w10:wrap type="none"/>
              </v:shape>
              <v:shape style="position:absolute;left:6939;top:1024;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经营范围</w:t>
                      </w:r>
                      <w:r>
                        <w:rPr>
                          <w:rFonts w:ascii="宋体" w:hAnsi="宋体" w:cs="宋体" w:eastAsia="宋体" w:hint="default"/>
                          <w:sz w:val="13"/>
                          <w:szCs w:val="13"/>
                        </w:rPr>
                      </w:r>
                    </w:p>
                  </w:txbxContent>
                </v:textbox>
                <w10:wrap type="none"/>
              </v:shape>
              <v:shape style="position:absolute;left:8804;top:1024;width:90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公司净投资的其</w:t>
                      </w:r>
                      <w:r>
                        <w:rPr>
                          <w:rFonts w:ascii="宋体" w:hAnsi="宋体" w:cs="宋体" w:eastAsia="宋体" w:hint="default"/>
                          <w:sz w:val="13"/>
                          <w:szCs w:val="13"/>
                        </w:rPr>
                      </w:r>
                    </w:p>
                  </w:txbxContent>
                </v:textbox>
                <w10:wrap type="none"/>
              </v:shape>
              <v:shape style="position:absolute;left:12252;top:1024;width:104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于冲减少数股东损</w:t>
                      </w:r>
                      <w:r>
                        <w:rPr>
                          <w:rFonts w:ascii="宋体" w:hAnsi="宋体" w:cs="宋体" w:eastAsia="宋体" w:hint="default"/>
                          <w:sz w:val="13"/>
                          <w:szCs w:val="13"/>
                        </w:rPr>
                      </w:r>
                    </w:p>
                  </w:txbxContent>
                </v:textbox>
                <w10:wrap type="none"/>
              </v:shape>
              <v:shape style="position:absolute;left:3735;top:1190;width:11627;height:798" type="#_x0000_t202" filled="false" stroked="false">
                <v:textbox inset="0,0,0,0">
                  <w:txbxContent>
                    <w:p>
                      <w:pPr>
                        <w:tabs>
                          <w:tab w:pos="4550" w:val="left" w:leader="none"/>
                          <w:tab w:pos="6199" w:val="left" w:leader="none"/>
                          <w:tab w:pos="6749" w:val="left" w:leader="none"/>
                          <w:tab w:pos="7316" w:val="left" w:leader="none"/>
                          <w:tab w:pos="8005" w:val="left" w:leader="none"/>
                          <w:tab w:pos="9677" w:val="left" w:leader="none"/>
                        </w:tabs>
                        <w:spacing w:line="136" w:lineRule="exact" w:before="0"/>
                        <w:ind w:left="0" w:right="0" w:firstLine="0"/>
                        <w:jc w:val="left"/>
                        <w:rPr>
                          <w:rFonts w:ascii="宋体" w:hAnsi="宋体" w:cs="宋体" w:eastAsia="宋体" w:hint="default"/>
                          <w:sz w:val="13"/>
                          <w:szCs w:val="13"/>
                        </w:rPr>
                      </w:pPr>
                      <w:r>
                        <w:rPr>
                          <w:rFonts w:ascii="宋体" w:hAnsi="宋体" w:cs="宋体" w:eastAsia="宋体" w:hint="default"/>
                          <w:w w:val="95"/>
                          <w:position w:val="1"/>
                          <w:sz w:val="13"/>
                          <w:szCs w:val="13"/>
                        </w:rPr>
                        <w:t>类型</w:t>
                        <w:tab/>
                        <w:t>额</w:t>
                        <w:tab/>
                      </w:r>
                      <w:r>
                        <w:rPr>
                          <w:rFonts w:ascii="Times New Roman" w:hAnsi="Times New Roman" w:cs="Times New Roman" w:eastAsia="Times New Roman" w:hint="default"/>
                          <w:w w:val="95"/>
                          <w:sz w:val="13"/>
                          <w:szCs w:val="13"/>
                        </w:rPr>
                        <w:t>(%)</w:t>
                        <w:tab/>
                      </w:r>
                      <w:r>
                        <w:rPr>
                          <w:rFonts w:ascii="宋体" w:hAnsi="宋体" w:cs="宋体" w:eastAsia="宋体" w:hint="default"/>
                          <w:w w:val="95"/>
                          <w:position w:val="1"/>
                          <w:sz w:val="13"/>
                          <w:szCs w:val="13"/>
                        </w:rPr>
                        <w:t>例</w:t>
                      </w:r>
                      <w:r>
                        <w:rPr>
                          <w:rFonts w:ascii="Times New Roman" w:hAnsi="Times New Roman" w:cs="Times New Roman" w:eastAsia="Times New Roman" w:hint="default"/>
                          <w:w w:val="95"/>
                          <w:position w:val="1"/>
                          <w:sz w:val="13"/>
                          <w:szCs w:val="13"/>
                        </w:rPr>
                        <w:t>(%)</w:t>
                        <w:tab/>
                      </w:r>
                      <w:r>
                        <w:rPr>
                          <w:rFonts w:ascii="宋体" w:hAnsi="宋体" w:cs="宋体" w:eastAsia="宋体" w:hint="default"/>
                          <w:w w:val="95"/>
                          <w:position w:val="1"/>
                          <w:sz w:val="13"/>
                          <w:szCs w:val="13"/>
                        </w:rPr>
                        <w:t>并报表</w:t>
                        <w:tab/>
                        <w:t>权益</w:t>
                        <w:tab/>
                        <w:t>东在该子公司期初所有者权益中所</w:t>
                      </w:r>
                      <w:r>
                        <w:rPr>
                          <w:rFonts w:ascii="宋体" w:hAnsi="宋体" w:cs="宋体" w:eastAsia="宋体" w:hint="default"/>
                          <w:sz w:val="13"/>
                          <w:szCs w:val="13"/>
                        </w:rPr>
                      </w:r>
                    </w:p>
                    <w:p>
                      <w:pPr>
                        <w:tabs>
                          <w:tab w:pos="8776" w:val="left" w:leader="none"/>
                        </w:tabs>
                        <w:spacing w:line="156" w:lineRule="exact" w:before="0"/>
                        <w:ind w:left="5198" w:right="0" w:firstLine="0"/>
                        <w:jc w:val="left"/>
                        <w:rPr>
                          <w:rFonts w:ascii="宋体" w:hAnsi="宋体" w:cs="宋体" w:eastAsia="宋体" w:hint="default"/>
                          <w:sz w:val="13"/>
                          <w:szCs w:val="13"/>
                        </w:rPr>
                      </w:pPr>
                      <w:r>
                        <w:rPr>
                          <w:rFonts w:ascii="宋体" w:hAnsi="宋体" w:cs="宋体" w:eastAsia="宋体" w:hint="default"/>
                          <w:w w:val="95"/>
                          <w:sz w:val="13"/>
                          <w:szCs w:val="13"/>
                        </w:rPr>
                        <w:t>他项目余额</w:t>
                        <w:tab/>
                      </w:r>
                      <w:r>
                        <w:rPr>
                          <w:rFonts w:ascii="宋体" w:hAnsi="宋体" w:cs="宋体" w:eastAsia="宋体" w:hint="default"/>
                          <w:sz w:val="13"/>
                          <w:szCs w:val="13"/>
                        </w:rPr>
                        <w:t>益的金额</w:t>
                      </w:r>
                    </w:p>
                    <w:p>
                      <w:pPr>
                        <w:spacing w:line="168" w:lineRule="exact" w:before="0"/>
                        <w:ind w:left="10133" w:right="0" w:firstLine="0"/>
                        <w:jc w:val="left"/>
                        <w:rPr>
                          <w:rFonts w:ascii="宋体" w:hAnsi="宋体" w:cs="宋体" w:eastAsia="宋体" w:hint="default"/>
                          <w:sz w:val="13"/>
                          <w:szCs w:val="13"/>
                        </w:rPr>
                      </w:pPr>
                      <w:r>
                        <w:rPr>
                          <w:rFonts w:ascii="宋体" w:hAnsi="宋体" w:cs="宋体" w:eastAsia="宋体" w:hint="default"/>
                          <w:sz w:val="13"/>
                          <w:szCs w:val="13"/>
                        </w:rPr>
                        <w:t>享有份额后的余额</w:t>
                      </w:r>
                    </w:p>
                    <w:p>
                      <w:pPr>
                        <w:spacing w:line="240" w:lineRule="auto" w:before="11"/>
                        <w:rPr>
                          <w:rFonts w:ascii="宋体" w:hAnsi="宋体" w:cs="宋体" w:eastAsia="宋体" w:hint="default"/>
                          <w:sz w:val="12"/>
                          <w:szCs w:val="12"/>
                        </w:rPr>
                      </w:pPr>
                    </w:p>
                    <w:p>
                      <w:pPr>
                        <w:spacing w:before="0"/>
                        <w:ind w:left="2428" w:right="0" w:firstLine="0"/>
                        <w:jc w:val="left"/>
                        <w:rPr>
                          <w:rFonts w:ascii="宋体" w:hAnsi="宋体" w:cs="宋体" w:eastAsia="宋体" w:hint="default"/>
                          <w:sz w:val="13"/>
                          <w:szCs w:val="13"/>
                        </w:rPr>
                      </w:pPr>
                      <w:r>
                        <w:rPr>
                          <w:rFonts w:ascii="宋体" w:hAnsi="宋体" w:cs="宋体" w:eastAsia="宋体" w:hint="default"/>
                          <w:sz w:val="13"/>
                          <w:szCs w:val="13"/>
                        </w:rPr>
                        <w:t>日元</w:t>
                      </w:r>
                    </w:p>
                  </w:txbxContent>
                </v:textbox>
                <w10:wrap type="none"/>
              </v:shape>
              <v:shape style="position:absolute;left:2071;top:2023;width:1794;height:130" type="#_x0000_t202" filled="false" stroked="false">
                <v:textbox inset="0,0,0,0">
                  <w:txbxContent>
                    <w:p>
                      <w:pPr>
                        <w:tabs>
                          <w:tab w:pos="1534"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东软（日本）有限公司</w:t>
                        <w:tab/>
                        <w:t>全资</w:t>
                      </w:r>
                      <w:r>
                        <w:rPr>
                          <w:rFonts w:ascii="宋体" w:hAnsi="宋体" w:cs="宋体" w:eastAsia="宋体" w:hint="default"/>
                          <w:sz w:val="13"/>
                          <w:szCs w:val="13"/>
                        </w:rPr>
                      </w:r>
                    </w:p>
                  </w:txbxContent>
                </v:textbox>
                <w10:wrap type="none"/>
              </v:shape>
              <v:shape style="position:absolute;left:4185;top:2023;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日本</w:t>
                      </w:r>
                      <w:r>
                        <w:rPr>
                          <w:rFonts w:ascii="宋体" w:hAnsi="宋体" w:cs="宋体" w:eastAsia="宋体" w:hint="default"/>
                          <w:sz w:val="13"/>
                          <w:szCs w:val="13"/>
                        </w:rPr>
                      </w:r>
                    </w:p>
                  </w:txbxContent>
                </v:textbox>
                <w10:wrap type="none"/>
              </v:shape>
              <v:shape style="position:absolute;left:4771;top:2023;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有限责任公司</w:t>
                      </w:r>
                      <w:r>
                        <w:rPr>
                          <w:rFonts w:ascii="宋体" w:hAnsi="宋体" w:cs="宋体" w:eastAsia="宋体" w:hint="default"/>
                          <w:sz w:val="13"/>
                          <w:szCs w:val="13"/>
                        </w:rPr>
                      </w:r>
                    </w:p>
                  </w:txbxContent>
                </v:textbox>
                <w10:wrap type="none"/>
              </v:shape>
              <v:shape style="position:absolute;left:6517;top:2023;width:104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经营计算机软硬件</w:t>
                      </w:r>
                      <w:r>
                        <w:rPr>
                          <w:rFonts w:ascii="宋体" w:hAnsi="宋体" w:cs="宋体" w:eastAsia="宋体" w:hint="default"/>
                          <w:sz w:val="13"/>
                          <w:szCs w:val="13"/>
                        </w:rPr>
                      </w:r>
                    </w:p>
                  </w:txbxContent>
                </v:textbox>
                <w10:wrap type="none"/>
              </v:shape>
              <v:shape style="position:absolute;left:8183;top:2038;width:579;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spacing w:val="-1"/>
                          <w:sz w:val="13"/>
                        </w:rPr>
                        <w:t>11,826,901</w:t>
                      </w:r>
                    </w:p>
                  </w:txbxContent>
                </v:textbox>
                <w10:wrap type="none"/>
              </v:shape>
              <v:shape style="position:absolute;left:9944;top:1951;width:195;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xbxContent>
                </v:textbox>
                <w10:wrap type="none"/>
              </v:shape>
              <v:shape style="position:absolute;left:10559;top:1951;width:195;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xbxContent>
                </v:textbox>
                <w10:wrap type="none"/>
              </v:shape>
              <v:shape style="position:absolute;left:10993;top:2023;width:13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xbxContent>
                </v:textbox>
                <w10:wrap type="none"/>
              </v:shape>
              <v:shape style="position:absolute;left:5808;top:2204;width:650;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187,750,000</w:t>
                      </w:r>
                      <w:r>
                        <w:rPr>
                          <w:rFonts w:ascii="Times New Roman"/>
                          <w:sz w:val="13"/>
                        </w:rPr>
                      </w:r>
                    </w:p>
                  </w:txbxContent>
                </v:textbox>
                <w10:wrap type="none"/>
              </v:shape>
              <v:shape style="position:absolute;left:2071;top:2529;width:143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北京兰瑞科创信息技术有</w:t>
                      </w:r>
                      <w:r>
                        <w:rPr>
                          <w:rFonts w:ascii="宋体" w:hAnsi="宋体" w:cs="宋体" w:eastAsia="宋体" w:hint="default"/>
                          <w:sz w:val="13"/>
                          <w:szCs w:val="13"/>
                        </w:rPr>
                      </w:r>
                    </w:p>
                  </w:txbxContent>
                </v:textbox>
                <w10:wrap type="none"/>
              </v:shape>
              <v:shape style="position:absolute;left:6517;top:2529;width:1427;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计算机软件开发、设计、</w:t>
                      </w:r>
                      <w:r>
                        <w:rPr>
                          <w:rFonts w:ascii="宋体" w:hAnsi="宋体" w:cs="宋体" w:eastAsia="宋体" w:hint="default"/>
                          <w:sz w:val="13"/>
                          <w:szCs w:val="13"/>
                        </w:rPr>
                      </w:r>
                    </w:p>
                  </w:txbxContent>
                </v:textbox>
                <w10:wrap type="none"/>
              </v:shape>
              <v:shape style="position:absolute;left:3606;top:2694;width:2852;height:146" type="#_x0000_t202" filled="false" stroked="false">
                <v:textbox inset="0,0,0,0">
                  <w:txbxContent>
                    <w:p>
                      <w:pPr>
                        <w:tabs>
                          <w:tab w:pos="579" w:val="left" w:leader="none"/>
                          <w:tab w:pos="1165" w:val="left" w:leader="none"/>
                          <w:tab w:pos="2267" w:val="left" w:leader="none"/>
                        </w:tabs>
                        <w:spacing w:line="145" w:lineRule="exact" w:before="0"/>
                        <w:ind w:left="0" w:right="0" w:firstLine="0"/>
                        <w:jc w:val="left"/>
                        <w:rPr>
                          <w:rFonts w:ascii="Times New Roman" w:hAnsi="Times New Roman" w:cs="Times New Roman" w:eastAsia="Times New Roman" w:hint="default"/>
                          <w:sz w:val="13"/>
                          <w:szCs w:val="13"/>
                        </w:rPr>
                      </w:pPr>
                      <w:r>
                        <w:rPr>
                          <w:rFonts w:ascii="宋体" w:hAnsi="宋体" w:cs="宋体" w:eastAsia="宋体" w:hint="default"/>
                          <w:w w:val="95"/>
                          <w:position w:val="1"/>
                          <w:sz w:val="13"/>
                          <w:szCs w:val="13"/>
                        </w:rPr>
                        <w:t>全资</w:t>
                        <w:tab/>
                        <w:t>北京</w:t>
                        <w:tab/>
                        <w:t>有限责任公司</w:t>
                        <w:tab/>
                      </w:r>
                      <w:r>
                        <w:rPr>
                          <w:rFonts w:ascii="Times New Roman" w:hAnsi="Times New Roman" w:cs="Times New Roman" w:eastAsia="Times New Roman" w:hint="default"/>
                          <w:w w:val="95"/>
                          <w:sz w:val="13"/>
                          <w:szCs w:val="13"/>
                        </w:rPr>
                        <w:t>10,000,000</w:t>
                      </w:r>
                      <w:r>
                        <w:rPr>
                          <w:rFonts w:ascii="Times New Roman" w:hAnsi="Times New Roman" w:cs="Times New Roman" w:eastAsia="Times New Roman" w:hint="default"/>
                          <w:sz w:val="13"/>
                          <w:szCs w:val="13"/>
                        </w:rPr>
                      </w:r>
                    </w:p>
                  </w:txbxContent>
                </v:textbox>
                <w10:wrap type="none"/>
              </v:shape>
              <v:shape style="position:absolute;left:8243;top:2709;width:519;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9,454,820</w:t>
                      </w:r>
                      <w:r>
                        <w:rPr>
                          <w:rFonts w:ascii="Times New Roman"/>
                          <w:sz w:val="13"/>
                        </w:rPr>
                      </w:r>
                    </w:p>
                  </w:txbxContent>
                </v:textbox>
                <w10:wrap type="none"/>
              </v:shape>
              <v:shape style="position:absolute;left:9944;top:2622;width:195;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xbxContent>
                </v:textbox>
                <w10:wrap type="none"/>
              </v:shape>
              <v:shape style="position:absolute;left:10559;top:2622;width:195;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xbxContent>
                </v:textbox>
                <w10:wrap type="none"/>
              </v:shape>
              <v:shape style="position:absolute;left:10993;top:2694;width:13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xbxContent>
                </v:textbox>
                <w10:wrap type="none"/>
              </v:shape>
              <v:shape style="position:absolute;left:2071;top:2859;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限公司</w:t>
                      </w:r>
                      <w:r>
                        <w:rPr>
                          <w:rFonts w:ascii="宋体" w:hAnsi="宋体" w:cs="宋体" w:eastAsia="宋体" w:hint="default"/>
                          <w:sz w:val="13"/>
                          <w:szCs w:val="13"/>
                        </w:rPr>
                      </w:r>
                    </w:p>
                  </w:txbxContent>
                </v:textbox>
                <w10:wrap type="none"/>
              </v:shape>
              <v:shape style="position:absolute;left:6517;top:2859;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制作与销售</w:t>
                      </w:r>
                      <w:r>
                        <w:rPr>
                          <w:rFonts w:ascii="宋体" w:hAnsi="宋体" w:cs="宋体" w:eastAsia="宋体" w:hint="default"/>
                          <w:sz w:val="13"/>
                          <w:szCs w:val="13"/>
                        </w:rPr>
                      </w:r>
                    </w:p>
                  </w:txbxContent>
                </v:textbox>
                <w10:wrap type="none"/>
              </v:shape>
            </v:group>
            <w10:wrap type="none"/>
          </v:group>
        </w:pict>
      </w:r>
      <w:r>
        <w:rPr>
          <w:rFonts w:ascii="宋体" w:hAnsi="宋体" w:cs="宋体" w:eastAsia="宋体" w:hint="default"/>
          <w:sz w:val="21"/>
          <w:szCs w:val="21"/>
        </w:rPr>
        <w:t>3、 </w:t>
      </w:r>
      <w:r>
        <w:rPr>
          <w:rFonts w:ascii="宋体" w:hAnsi="宋体" w:cs="宋体" w:eastAsia="宋体" w:hint="default"/>
          <w:spacing w:val="24"/>
          <w:sz w:val="21"/>
          <w:szCs w:val="21"/>
        </w:rPr>
        <w:t> </w:t>
      </w:r>
      <w:r>
        <w:rPr>
          <w:rFonts w:ascii="宋体" w:hAnsi="宋体" w:cs="宋体" w:eastAsia="宋体" w:hint="default"/>
          <w:sz w:val="21"/>
          <w:szCs w:val="21"/>
        </w:rPr>
        <w:t>通过非同一控制下企业合并取得的子公司 </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735" w:type="dxa"/>
        <w:tblLayout w:type="fixed"/>
        <w:tblCellMar>
          <w:top w:w="0" w:type="dxa"/>
          <w:left w:w="0" w:type="dxa"/>
          <w:bottom w:w="0" w:type="dxa"/>
          <w:right w:w="0" w:type="dxa"/>
        </w:tblCellMar>
        <w:tblLook w:val="01E0"/>
      </w:tblPr>
      <w:tblGrid>
        <w:gridCol w:w="1518"/>
        <w:gridCol w:w="472"/>
        <w:gridCol w:w="712"/>
        <w:gridCol w:w="877"/>
        <w:gridCol w:w="2304"/>
        <w:gridCol w:w="1406"/>
        <w:gridCol w:w="1016"/>
        <w:gridCol w:w="553"/>
        <w:gridCol w:w="531"/>
        <w:gridCol w:w="4030"/>
      </w:tblGrid>
      <w:tr>
        <w:trPr>
          <w:trHeight w:val="420" w:hRule="exact"/>
        </w:trPr>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3"/>
                <w:szCs w:val="13"/>
              </w:rPr>
            </w:pPr>
            <w:r>
              <w:rPr>
                <w:rFonts w:ascii="宋体" w:hAnsi="宋体" w:cs="宋体" w:eastAsia="宋体" w:hint="default"/>
                <w:sz w:val="13"/>
                <w:szCs w:val="13"/>
              </w:rPr>
              <w:t>辽宁东软创业投资有限公</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52" w:right="0"/>
              <w:jc w:val="left"/>
              <w:rPr>
                <w:rFonts w:ascii="宋体" w:hAnsi="宋体" w:cs="宋体" w:eastAsia="宋体" w:hint="default"/>
                <w:sz w:val="13"/>
                <w:szCs w:val="13"/>
              </w:rPr>
            </w:pPr>
            <w:r>
              <w:rPr>
                <w:rFonts w:ascii="宋体" w:hAnsi="宋体" w:cs="宋体" w:eastAsia="宋体" w:hint="default"/>
                <w:sz w:val="13"/>
                <w:szCs w:val="13"/>
              </w:rPr>
              <w:t>控股</w:t>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60" w:right="0"/>
              <w:jc w:val="left"/>
              <w:rPr>
                <w:rFonts w:ascii="宋体" w:hAnsi="宋体" w:cs="宋体" w:eastAsia="宋体" w:hint="default"/>
                <w:sz w:val="13"/>
                <w:szCs w:val="13"/>
              </w:rPr>
            </w:pPr>
            <w:r>
              <w:rPr>
                <w:rFonts w:ascii="宋体" w:hAnsi="宋体" w:cs="宋体" w:eastAsia="宋体" w:hint="default"/>
                <w:sz w:val="13"/>
                <w:szCs w:val="13"/>
              </w:rPr>
              <w:t>大连</w:t>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33"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230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6"/>
                <w:szCs w:val="16"/>
              </w:rPr>
            </w:pPr>
          </w:p>
          <w:p>
            <w:pPr>
              <w:pStyle w:val="TableParagraph"/>
              <w:spacing w:line="240" w:lineRule="auto"/>
              <w:ind w:left="193"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105,000,000</w:t>
            </w:r>
            <w:r>
              <w:rPr>
                <w:rFonts w:ascii="Times New Roman" w:hAnsi="Times New Roman" w:cs="Times New Roman" w:eastAsia="Times New Roman" w:hint="default"/>
                <w:spacing w:val="25"/>
                <w:sz w:val="13"/>
                <w:szCs w:val="13"/>
              </w:rPr>
              <w:t> </w:t>
            </w:r>
            <w:r>
              <w:rPr>
                <w:rFonts w:ascii="宋体" w:hAnsi="宋体" w:cs="宋体" w:eastAsia="宋体" w:hint="default"/>
                <w:position w:val="1"/>
                <w:sz w:val="13"/>
                <w:szCs w:val="13"/>
              </w:rPr>
              <w:t>对中小企业投资及管理</w:t>
            </w:r>
            <w:r>
              <w:rPr>
                <w:rFonts w:ascii="宋体" w:hAnsi="宋体" w:cs="宋体" w:eastAsia="宋体" w:hint="default"/>
                <w:sz w:val="13"/>
                <w:szCs w:val="13"/>
              </w:rPr>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5"/>
              <w:ind w:right="560"/>
              <w:jc w:val="right"/>
              <w:rPr>
                <w:rFonts w:ascii="Times New Roman" w:hAnsi="Times New Roman" w:cs="Times New Roman" w:eastAsia="Times New Roman" w:hint="default"/>
                <w:sz w:val="13"/>
                <w:szCs w:val="13"/>
              </w:rPr>
            </w:pPr>
            <w:r>
              <w:rPr>
                <w:rFonts w:ascii="Times New Roman"/>
                <w:w w:val="95"/>
                <w:sz w:val="13"/>
              </w:rPr>
              <w:t>80,552,833</w:t>
            </w:r>
            <w:r>
              <w:rPr>
                <w:rFonts w:ascii="Times New Roman"/>
                <w:sz w:val="13"/>
              </w:rPr>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5"/>
              <w:ind w:right="159"/>
              <w:jc w:val="right"/>
              <w:rPr>
                <w:rFonts w:ascii="Times New Roman" w:hAnsi="Times New Roman" w:cs="Times New Roman" w:eastAsia="Times New Roman" w:hint="default"/>
                <w:sz w:val="13"/>
                <w:szCs w:val="13"/>
              </w:rPr>
            </w:pPr>
            <w:r>
              <w:rPr>
                <w:rFonts w:ascii="Times New Roman"/>
                <w:w w:val="95"/>
                <w:sz w:val="13"/>
              </w:rPr>
              <w:t>71.43</w:t>
            </w:r>
            <w:r>
              <w:rPr>
                <w:rFonts w:ascii="Times New Roman"/>
                <w:sz w:val="13"/>
              </w:rPr>
            </w:r>
          </w:p>
        </w:tc>
        <w:tc>
          <w:tcPr>
            <w:tcW w:w="5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5"/>
              <w:ind w:left="61" w:right="0"/>
              <w:jc w:val="center"/>
              <w:rPr>
                <w:rFonts w:ascii="Times New Roman" w:hAnsi="Times New Roman" w:cs="Times New Roman" w:eastAsia="Times New Roman" w:hint="default"/>
                <w:sz w:val="13"/>
                <w:szCs w:val="13"/>
              </w:rPr>
            </w:pPr>
            <w:r>
              <w:rPr>
                <w:rFonts w:ascii="Times New Roman"/>
                <w:sz w:val="13"/>
              </w:rPr>
              <w:t>71.43</w:t>
            </w:r>
          </w:p>
        </w:tc>
        <w:tc>
          <w:tcPr>
            <w:tcW w:w="53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403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5"/>
              <w:ind w:left="301" w:right="0"/>
              <w:jc w:val="left"/>
              <w:rPr>
                <w:rFonts w:ascii="Times New Roman" w:hAnsi="Times New Roman" w:cs="Times New Roman" w:eastAsia="Times New Roman" w:hint="default"/>
                <w:sz w:val="13"/>
                <w:szCs w:val="13"/>
              </w:rPr>
            </w:pPr>
            <w:r>
              <w:rPr>
                <w:rFonts w:ascii="Times New Roman"/>
                <w:sz w:val="13"/>
              </w:rPr>
              <w:t>28.57</w:t>
            </w:r>
          </w:p>
        </w:tc>
      </w:tr>
      <w:tr>
        <w:trPr>
          <w:trHeight w:val="230" w:hRule="exact"/>
        </w:trPr>
        <w:tc>
          <w:tcPr>
            <w:tcW w:w="1518" w:type="dxa"/>
            <w:tcBorders>
              <w:top w:val="nil" w:sz="6" w:space="0" w:color="auto"/>
              <w:left w:val="nil" w:sz="6" w:space="0" w:color="auto"/>
              <w:bottom w:val="nil" w:sz="6" w:space="0" w:color="auto"/>
              <w:right w:val="nil" w:sz="6" w:space="0" w:color="auto"/>
            </w:tcBorders>
          </w:tcPr>
          <w:p>
            <w:pPr>
              <w:pStyle w:val="TableParagraph"/>
              <w:spacing w:line="140" w:lineRule="exact"/>
              <w:ind w:left="35" w:right="0"/>
              <w:jc w:val="left"/>
              <w:rPr>
                <w:rFonts w:ascii="宋体" w:hAnsi="宋体" w:cs="宋体" w:eastAsia="宋体" w:hint="default"/>
                <w:sz w:val="13"/>
                <w:szCs w:val="13"/>
              </w:rPr>
            </w:pPr>
            <w:r>
              <w:rPr>
                <w:rFonts w:ascii="宋体" w:hAnsi="宋体" w:cs="宋体" w:eastAsia="宋体" w:hint="default"/>
                <w:w w:val="99"/>
                <w:sz w:val="13"/>
                <w:szCs w:val="13"/>
              </w:rPr>
              <w:t>司</w:t>
            </w:r>
            <w:r>
              <w:rPr>
                <w:rFonts w:ascii="宋体" w:hAnsi="宋体" w:cs="宋体" w:eastAsia="宋体" w:hint="default"/>
                <w:sz w:val="13"/>
                <w:szCs w:val="13"/>
              </w:rPr>
            </w:r>
          </w:p>
        </w:tc>
        <w:tc>
          <w:tcPr>
            <w:tcW w:w="472" w:type="dxa"/>
            <w:tcBorders>
              <w:top w:val="nil" w:sz="6" w:space="0" w:color="auto"/>
              <w:left w:val="nil" w:sz="6" w:space="0" w:color="auto"/>
              <w:bottom w:val="nil" w:sz="6" w:space="0" w:color="auto"/>
              <w:right w:val="nil" w:sz="6" w:space="0" w:color="auto"/>
            </w:tcBorders>
          </w:tcPr>
          <w:p>
            <w:pPr/>
          </w:p>
        </w:tc>
        <w:tc>
          <w:tcPr>
            <w:tcW w:w="712"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2304"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
        </w:tc>
        <w:tc>
          <w:tcPr>
            <w:tcW w:w="1016" w:type="dxa"/>
            <w:tcBorders>
              <w:top w:val="nil" w:sz="6" w:space="0" w:color="auto"/>
              <w:left w:val="nil" w:sz="6" w:space="0" w:color="auto"/>
              <w:bottom w:val="nil" w:sz="6" w:space="0" w:color="auto"/>
              <w:right w:val="nil" w:sz="6" w:space="0" w:color="auto"/>
            </w:tcBorders>
          </w:tcPr>
          <w:p>
            <w:pPr/>
          </w:p>
        </w:tc>
        <w:tc>
          <w:tcPr>
            <w:tcW w:w="553" w:type="dxa"/>
            <w:tcBorders>
              <w:top w:val="nil" w:sz="6" w:space="0" w:color="auto"/>
              <w:left w:val="nil" w:sz="6" w:space="0" w:color="auto"/>
              <w:bottom w:val="nil" w:sz="6" w:space="0" w:color="auto"/>
              <w:right w:val="nil" w:sz="6" w:space="0" w:color="auto"/>
            </w:tcBorders>
          </w:tcPr>
          <w:p>
            <w:pPr/>
          </w:p>
        </w:tc>
        <w:tc>
          <w:tcPr>
            <w:tcW w:w="531" w:type="dxa"/>
            <w:tcBorders>
              <w:top w:val="nil" w:sz="6" w:space="0" w:color="auto"/>
              <w:left w:val="nil" w:sz="6" w:space="0" w:color="auto"/>
              <w:bottom w:val="nil" w:sz="6" w:space="0" w:color="auto"/>
              <w:right w:val="nil" w:sz="6" w:space="0" w:color="auto"/>
            </w:tcBorders>
          </w:tcPr>
          <w:p>
            <w:pPr/>
          </w:p>
        </w:tc>
        <w:tc>
          <w:tcPr>
            <w:tcW w:w="4030" w:type="dxa"/>
            <w:tcBorders>
              <w:top w:val="nil" w:sz="6" w:space="0" w:color="auto"/>
              <w:left w:val="nil" w:sz="6" w:space="0" w:color="auto"/>
              <w:bottom w:val="nil" w:sz="6" w:space="0" w:color="auto"/>
              <w:right w:val="nil" w:sz="6" w:space="0" w:color="auto"/>
            </w:tcBorders>
          </w:tcPr>
          <w:p>
            <w:pPr/>
          </w:p>
        </w:tc>
      </w:tr>
      <w:tr>
        <w:trPr>
          <w:trHeight w:val="230" w:hRule="exact"/>
        </w:trPr>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3"/>
                <w:szCs w:val="13"/>
              </w:rPr>
            </w:pPr>
            <w:r>
              <w:rPr>
                <w:rFonts w:ascii="宋体" w:hAnsi="宋体" w:cs="宋体" w:eastAsia="宋体" w:hint="default"/>
                <w:sz w:val="13"/>
                <w:szCs w:val="13"/>
              </w:rPr>
              <w:t>北京源越通软件技术有限</w:t>
            </w:r>
          </w:p>
        </w:tc>
        <w:tc>
          <w:tcPr>
            <w:tcW w:w="472" w:type="dxa"/>
            <w:tcBorders>
              <w:top w:val="nil" w:sz="6" w:space="0" w:color="auto"/>
              <w:left w:val="nil" w:sz="6" w:space="0" w:color="auto"/>
              <w:bottom w:val="nil" w:sz="6" w:space="0" w:color="auto"/>
              <w:right w:val="nil" w:sz="6" w:space="0" w:color="auto"/>
            </w:tcBorders>
          </w:tcPr>
          <w:p>
            <w:pPr/>
          </w:p>
        </w:tc>
        <w:tc>
          <w:tcPr>
            <w:tcW w:w="712"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2304" w:type="dxa"/>
            <w:tcBorders>
              <w:top w:val="nil" w:sz="6" w:space="0" w:color="auto"/>
              <w:left w:val="nil" w:sz="6" w:space="0" w:color="auto"/>
              <w:bottom w:val="nil" w:sz="6" w:space="0" w:color="auto"/>
              <w:right w:val="nil" w:sz="6" w:space="0" w:color="auto"/>
            </w:tcBorders>
          </w:tcPr>
          <w:p>
            <w:pPr/>
          </w:p>
        </w:tc>
        <w:tc>
          <w:tcPr>
            <w:tcW w:w="1406" w:type="dxa"/>
            <w:tcBorders>
              <w:top w:val="nil" w:sz="6" w:space="0" w:color="auto"/>
              <w:left w:val="nil" w:sz="6" w:space="0" w:color="auto"/>
              <w:bottom w:val="nil" w:sz="6" w:space="0" w:color="auto"/>
              <w:right w:val="nil" w:sz="6" w:space="0" w:color="auto"/>
            </w:tcBorders>
          </w:tcPr>
          <w:p>
            <w:pPr/>
          </w:p>
        </w:tc>
        <w:tc>
          <w:tcPr>
            <w:tcW w:w="1016" w:type="dxa"/>
            <w:tcBorders>
              <w:top w:val="nil" w:sz="6" w:space="0" w:color="auto"/>
              <w:left w:val="nil" w:sz="6" w:space="0" w:color="auto"/>
              <w:bottom w:val="nil" w:sz="6" w:space="0" w:color="auto"/>
              <w:right w:val="nil" w:sz="6" w:space="0" w:color="auto"/>
            </w:tcBorders>
          </w:tcPr>
          <w:p>
            <w:pPr/>
          </w:p>
        </w:tc>
        <w:tc>
          <w:tcPr>
            <w:tcW w:w="553" w:type="dxa"/>
            <w:tcBorders>
              <w:top w:val="nil" w:sz="6" w:space="0" w:color="auto"/>
              <w:left w:val="nil" w:sz="6" w:space="0" w:color="auto"/>
              <w:bottom w:val="nil" w:sz="6" w:space="0" w:color="auto"/>
              <w:right w:val="nil" w:sz="6" w:space="0" w:color="auto"/>
            </w:tcBorders>
          </w:tcPr>
          <w:p>
            <w:pPr/>
          </w:p>
        </w:tc>
        <w:tc>
          <w:tcPr>
            <w:tcW w:w="531" w:type="dxa"/>
            <w:tcBorders>
              <w:top w:val="nil" w:sz="6" w:space="0" w:color="auto"/>
              <w:left w:val="nil" w:sz="6" w:space="0" w:color="auto"/>
              <w:bottom w:val="nil" w:sz="6" w:space="0" w:color="auto"/>
              <w:right w:val="nil" w:sz="6" w:space="0" w:color="auto"/>
            </w:tcBorders>
          </w:tcPr>
          <w:p>
            <w:pPr/>
          </w:p>
        </w:tc>
        <w:tc>
          <w:tcPr>
            <w:tcW w:w="4030" w:type="dxa"/>
            <w:tcBorders>
              <w:top w:val="nil" w:sz="6" w:space="0" w:color="auto"/>
              <w:left w:val="nil" w:sz="6" w:space="0" w:color="auto"/>
              <w:bottom w:val="nil" w:sz="6" w:space="0" w:color="auto"/>
              <w:right w:val="nil" w:sz="6" w:space="0" w:color="auto"/>
            </w:tcBorders>
          </w:tcPr>
          <w:p>
            <w:pPr/>
          </w:p>
        </w:tc>
      </w:tr>
      <w:tr>
        <w:trPr>
          <w:trHeight w:val="384" w:hRule="exact"/>
        </w:trPr>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35" w:right="0"/>
              <w:jc w:val="left"/>
              <w:rPr>
                <w:rFonts w:ascii="宋体" w:hAnsi="宋体" w:cs="宋体" w:eastAsia="宋体" w:hint="default"/>
                <w:sz w:val="13"/>
                <w:szCs w:val="13"/>
              </w:rPr>
            </w:pPr>
            <w:r>
              <w:rPr>
                <w:rFonts w:ascii="宋体" w:hAnsi="宋体" w:cs="宋体" w:eastAsia="宋体" w:hint="default"/>
                <w:sz w:val="13"/>
                <w:szCs w:val="13"/>
              </w:rPr>
              <w:t>公司（注</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1</w:t>
            </w:r>
            <w:r>
              <w:rPr>
                <w:rFonts w:ascii="宋体" w:hAnsi="宋体" w:cs="宋体" w:eastAsia="宋体" w:hint="default"/>
                <w:sz w:val="13"/>
                <w:szCs w:val="13"/>
              </w:rPr>
              <w:t>）</w:t>
            </w:r>
          </w:p>
        </w:tc>
        <w:tc>
          <w:tcPr>
            <w:tcW w:w="472" w:type="dxa"/>
            <w:tcBorders>
              <w:top w:val="nil" w:sz="6" w:space="0" w:color="auto"/>
              <w:left w:val="nil" w:sz="6" w:space="0" w:color="auto"/>
              <w:bottom w:val="nil" w:sz="6" w:space="0" w:color="auto"/>
              <w:right w:val="nil" w:sz="6" w:space="0" w:color="auto"/>
            </w:tcBorders>
          </w:tcPr>
          <w:p>
            <w:pPr>
              <w:pStyle w:val="TableParagraph"/>
              <w:spacing w:line="140" w:lineRule="exact"/>
              <w:ind w:left="52" w:right="0"/>
              <w:jc w:val="left"/>
              <w:rPr>
                <w:rFonts w:ascii="宋体" w:hAnsi="宋体" w:cs="宋体" w:eastAsia="宋体" w:hint="default"/>
                <w:sz w:val="13"/>
                <w:szCs w:val="13"/>
              </w:rPr>
            </w:pPr>
            <w:r>
              <w:rPr>
                <w:rFonts w:ascii="宋体" w:hAnsi="宋体" w:cs="宋体" w:eastAsia="宋体" w:hint="default"/>
                <w:sz w:val="13"/>
                <w:szCs w:val="13"/>
              </w:rPr>
              <w:t>控股</w:t>
            </w:r>
          </w:p>
        </w:tc>
        <w:tc>
          <w:tcPr>
            <w:tcW w:w="712" w:type="dxa"/>
            <w:tcBorders>
              <w:top w:val="nil" w:sz="6" w:space="0" w:color="auto"/>
              <w:left w:val="nil" w:sz="6" w:space="0" w:color="auto"/>
              <w:bottom w:val="nil" w:sz="6" w:space="0" w:color="auto"/>
              <w:right w:val="nil" w:sz="6" w:space="0" w:color="auto"/>
            </w:tcBorders>
          </w:tcPr>
          <w:p>
            <w:pPr>
              <w:pStyle w:val="TableParagraph"/>
              <w:spacing w:line="140" w:lineRule="exact"/>
              <w:ind w:left="160" w:right="0"/>
              <w:jc w:val="left"/>
              <w:rPr>
                <w:rFonts w:ascii="宋体" w:hAnsi="宋体" w:cs="宋体" w:eastAsia="宋体" w:hint="default"/>
                <w:sz w:val="13"/>
                <w:szCs w:val="13"/>
              </w:rPr>
            </w:pPr>
            <w:r>
              <w:rPr>
                <w:rFonts w:ascii="宋体" w:hAnsi="宋体" w:cs="宋体" w:eastAsia="宋体" w:hint="default"/>
                <w:sz w:val="13"/>
                <w:szCs w:val="13"/>
              </w:rPr>
              <w:t>北京</w:t>
            </w:r>
          </w:p>
        </w:tc>
        <w:tc>
          <w:tcPr>
            <w:tcW w:w="877" w:type="dxa"/>
            <w:tcBorders>
              <w:top w:val="nil" w:sz="6" w:space="0" w:color="auto"/>
              <w:left w:val="nil" w:sz="6" w:space="0" w:color="auto"/>
              <w:bottom w:val="nil" w:sz="6" w:space="0" w:color="auto"/>
              <w:right w:val="nil" w:sz="6" w:space="0" w:color="auto"/>
            </w:tcBorders>
          </w:tcPr>
          <w:p>
            <w:pPr>
              <w:pStyle w:val="TableParagraph"/>
              <w:spacing w:line="140" w:lineRule="exact"/>
              <w:ind w:left="33"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2304" w:type="dxa"/>
            <w:tcBorders>
              <w:top w:val="nil" w:sz="6" w:space="0" w:color="auto"/>
              <w:left w:val="nil" w:sz="6" w:space="0" w:color="auto"/>
              <w:bottom w:val="nil" w:sz="6" w:space="0" w:color="auto"/>
              <w:right w:val="nil" w:sz="6" w:space="0" w:color="auto"/>
            </w:tcBorders>
          </w:tcPr>
          <w:p>
            <w:pPr>
              <w:pStyle w:val="TableParagraph"/>
              <w:spacing w:line="158" w:lineRule="exact"/>
              <w:ind w:left="324"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1,000,000</w:t>
            </w:r>
            <w:r>
              <w:rPr>
                <w:rFonts w:ascii="Times New Roman" w:hAnsi="Times New Roman" w:cs="Times New Roman" w:eastAsia="Times New Roman" w:hint="default"/>
                <w:spacing w:val="24"/>
                <w:sz w:val="13"/>
                <w:szCs w:val="13"/>
              </w:rPr>
              <w:t> </w:t>
            </w:r>
            <w:r>
              <w:rPr>
                <w:rFonts w:ascii="宋体" w:hAnsi="宋体" w:cs="宋体" w:eastAsia="宋体" w:hint="default"/>
                <w:position w:val="1"/>
                <w:sz w:val="13"/>
                <w:szCs w:val="13"/>
              </w:rPr>
              <w:t>计算机软件开发、服务</w:t>
            </w:r>
            <w:r>
              <w:rPr>
                <w:rFonts w:ascii="宋体" w:hAnsi="宋体" w:cs="宋体" w:eastAsia="宋体" w:hint="default"/>
                <w:sz w:val="13"/>
                <w:szCs w:val="13"/>
              </w:rPr>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60"/>
              <w:jc w:val="right"/>
              <w:rPr>
                <w:rFonts w:ascii="Times New Roman" w:hAnsi="Times New Roman" w:cs="Times New Roman" w:eastAsia="Times New Roman" w:hint="default"/>
                <w:sz w:val="13"/>
                <w:szCs w:val="13"/>
              </w:rPr>
            </w:pPr>
            <w:r>
              <w:rPr>
                <w:rFonts w:ascii="Times New Roman"/>
                <w:w w:val="95"/>
                <w:sz w:val="13"/>
              </w:rPr>
              <w:t>2,989,600</w:t>
            </w:r>
            <w:r>
              <w:rPr>
                <w:rFonts w:ascii="Times New Roman"/>
                <w:sz w:val="13"/>
              </w:rPr>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42"/>
              <w:jc w:val="right"/>
              <w:rPr>
                <w:rFonts w:ascii="Times New Roman" w:hAnsi="Times New Roman" w:cs="Times New Roman" w:eastAsia="Times New Roman" w:hint="default"/>
                <w:sz w:val="13"/>
                <w:szCs w:val="13"/>
              </w:rPr>
            </w:pPr>
            <w:r>
              <w:rPr>
                <w:rFonts w:ascii="Times New Roman"/>
                <w:w w:val="95"/>
                <w:sz w:val="13"/>
              </w:rPr>
              <w:t>74</w:t>
            </w:r>
            <w:r>
              <w:rPr>
                <w:rFonts w:ascii="Times New Roman"/>
                <w:sz w:val="13"/>
              </w:rPr>
            </w:r>
          </w:p>
        </w:tc>
        <w:tc>
          <w:tcPr>
            <w:tcW w:w="5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62" w:right="0"/>
              <w:jc w:val="center"/>
              <w:rPr>
                <w:rFonts w:ascii="Times New Roman" w:hAnsi="Times New Roman" w:cs="Times New Roman" w:eastAsia="Times New Roman" w:hint="default"/>
                <w:sz w:val="13"/>
                <w:szCs w:val="13"/>
              </w:rPr>
            </w:pPr>
            <w:r>
              <w:rPr>
                <w:rFonts w:ascii="Times New Roman"/>
                <w:sz w:val="13"/>
              </w:rPr>
              <w:t>74</w:t>
            </w:r>
          </w:p>
        </w:tc>
        <w:tc>
          <w:tcPr>
            <w:tcW w:w="531" w:type="dxa"/>
            <w:tcBorders>
              <w:top w:val="nil" w:sz="6" w:space="0" w:color="auto"/>
              <w:left w:val="nil" w:sz="6" w:space="0" w:color="auto"/>
              <w:bottom w:val="nil" w:sz="6" w:space="0" w:color="auto"/>
              <w:right w:val="nil" w:sz="6" w:space="0" w:color="auto"/>
            </w:tcBorders>
          </w:tcPr>
          <w:p>
            <w:pPr>
              <w:pStyle w:val="TableParagraph"/>
              <w:spacing w:line="140" w:lineRule="exact"/>
              <w:ind w:left="100" w:right="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4030" w:type="dxa"/>
            <w:tcBorders>
              <w:top w:val="nil" w:sz="6" w:space="0" w:color="auto"/>
              <w:left w:val="nil" w:sz="6" w:space="0" w:color="auto"/>
              <w:bottom w:val="nil" w:sz="6" w:space="0" w:color="auto"/>
              <w:right w:val="nil" w:sz="6" w:space="0" w:color="auto"/>
            </w:tcBorders>
          </w:tcPr>
          <w:p>
            <w:pPr>
              <w:pStyle w:val="TableParagraph"/>
              <w:spacing w:line="240" w:lineRule="auto" w:before="8"/>
              <w:ind w:left="381" w:right="0"/>
              <w:jc w:val="left"/>
              <w:rPr>
                <w:rFonts w:ascii="Times New Roman" w:hAnsi="Times New Roman" w:cs="Times New Roman" w:eastAsia="Times New Roman" w:hint="default"/>
                <w:sz w:val="13"/>
                <w:szCs w:val="13"/>
              </w:rPr>
            </w:pPr>
            <w:r>
              <w:rPr>
                <w:rFonts w:ascii="Times New Roman"/>
                <w:sz w:val="13"/>
              </w:rPr>
              <w:t>26</w:t>
            </w:r>
          </w:p>
        </w:tc>
      </w:tr>
      <w:tr>
        <w:trPr>
          <w:trHeight w:val="385" w:hRule="exact"/>
        </w:trPr>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Times New Roman" w:hAnsi="Times New Roman" w:cs="Times New Roman" w:eastAsia="Times New Roman" w:hint="default"/>
                <w:sz w:val="13"/>
                <w:szCs w:val="13"/>
              </w:rPr>
            </w:pPr>
            <w:r>
              <w:rPr>
                <w:rFonts w:ascii="Times New Roman"/>
                <w:sz w:val="13"/>
              </w:rPr>
              <w:t>Neusoft  </w:t>
            </w:r>
            <w:r>
              <w:rPr>
                <w:rFonts w:ascii="Times New Roman"/>
                <w:spacing w:val="30"/>
                <w:sz w:val="13"/>
              </w:rPr>
              <w:t> </w:t>
            </w:r>
            <w:r>
              <w:rPr>
                <w:rFonts w:ascii="Times New Roman"/>
                <w:sz w:val="13"/>
              </w:rPr>
              <w:t>Mobile</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52"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60" w:right="0"/>
              <w:jc w:val="left"/>
              <w:rPr>
                <w:rFonts w:ascii="宋体" w:hAnsi="宋体" w:cs="宋体" w:eastAsia="宋体" w:hint="default"/>
                <w:sz w:val="13"/>
                <w:szCs w:val="13"/>
              </w:rPr>
            </w:pPr>
            <w:r>
              <w:rPr>
                <w:rFonts w:ascii="宋体" w:hAnsi="宋体" w:cs="宋体" w:eastAsia="宋体" w:hint="default"/>
                <w:sz w:val="13"/>
                <w:szCs w:val="13"/>
              </w:rPr>
              <w:t>芬兰</w:t>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3" w:right="0"/>
              <w:jc w:val="left"/>
              <w:rPr>
                <w:rFonts w:ascii="宋体" w:hAnsi="宋体" w:cs="宋体" w:eastAsia="宋体" w:hint="default"/>
                <w:sz w:val="13"/>
                <w:szCs w:val="13"/>
              </w:rPr>
            </w:pPr>
            <w:r>
              <w:rPr>
                <w:rFonts w:ascii="宋体" w:hAnsi="宋体" w:cs="宋体" w:eastAsia="宋体" w:hint="default"/>
                <w:sz w:val="13"/>
                <w:szCs w:val="13"/>
              </w:rPr>
              <w:t>股份有限责任</w:t>
            </w:r>
          </w:p>
        </w:tc>
        <w:tc>
          <w:tcPr>
            <w:tcW w:w="2304" w:type="dxa"/>
            <w:tcBorders>
              <w:top w:val="nil" w:sz="6" w:space="0" w:color="auto"/>
              <w:left w:val="nil" w:sz="6" w:space="0" w:color="auto"/>
              <w:bottom w:val="nil" w:sz="6" w:space="0" w:color="auto"/>
              <w:right w:val="nil" w:sz="6" w:space="0" w:color="auto"/>
            </w:tcBorders>
          </w:tcPr>
          <w:p>
            <w:pPr>
              <w:pStyle w:val="TableParagraph"/>
              <w:spacing w:line="160" w:lineRule="exact" w:before="46"/>
              <w:ind w:left="903" w:right="0"/>
              <w:jc w:val="left"/>
              <w:rPr>
                <w:rFonts w:ascii="宋体" w:hAnsi="宋体" w:cs="宋体" w:eastAsia="宋体" w:hint="default"/>
                <w:sz w:val="13"/>
                <w:szCs w:val="13"/>
              </w:rPr>
            </w:pPr>
            <w:r>
              <w:rPr>
                <w:rFonts w:ascii="宋体" w:hAnsi="宋体" w:cs="宋体" w:eastAsia="宋体" w:hint="default"/>
                <w:spacing w:val="7"/>
                <w:sz w:val="13"/>
                <w:szCs w:val="13"/>
              </w:rPr>
              <w:t>计算机软硬件，技术咨</w:t>
            </w:r>
            <w:r>
              <w:rPr>
                <w:rFonts w:ascii="宋体" w:hAnsi="宋体" w:cs="宋体" w:eastAsia="宋体" w:hint="default"/>
                <w:sz w:val="13"/>
                <w:szCs w:val="13"/>
              </w:rPr>
            </w:r>
          </w:p>
          <w:p>
            <w:pPr>
              <w:pStyle w:val="TableParagraph"/>
              <w:spacing w:line="170" w:lineRule="exact"/>
              <w:ind w:left="259" w:right="0"/>
              <w:jc w:val="left"/>
              <w:rPr>
                <w:rFonts w:ascii="Times New Roman" w:hAnsi="Times New Roman" w:cs="Times New Roman" w:eastAsia="Times New Roman" w:hint="default"/>
                <w:sz w:val="13"/>
                <w:szCs w:val="13"/>
              </w:rPr>
            </w:pPr>
            <w:r>
              <w:rPr>
                <w:rFonts w:ascii="宋体" w:hAnsi="宋体" w:cs="宋体" w:eastAsia="宋体" w:hint="default"/>
                <w:sz w:val="13"/>
                <w:szCs w:val="13"/>
              </w:rPr>
              <w:t>欧元</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8,578</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560"/>
              <w:jc w:val="right"/>
              <w:rPr>
                <w:rFonts w:ascii="Times New Roman" w:hAnsi="Times New Roman" w:cs="Times New Roman" w:eastAsia="Times New Roman" w:hint="default"/>
                <w:sz w:val="13"/>
                <w:szCs w:val="13"/>
              </w:rPr>
            </w:pPr>
            <w:r>
              <w:rPr>
                <w:rFonts w:ascii="宋体" w:hAnsi="宋体" w:cs="宋体" w:eastAsia="宋体" w:hint="default"/>
                <w:sz w:val="13"/>
                <w:szCs w:val="13"/>
              </w:rPr>
              <w:t>欧元</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2,857,600</w:t>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208"/>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5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left="62" w:right="0"/>
              <w:jc w:val="center"/>
              <w:rPr>
                <w:rFonts w:ascii="Times New Roman" w:hAnsi="Times New Roman" w:cs="Times New Roman" w:eastAsia="Times New Roman" w:hint="default"/>
                <w:sz w:val="13"/>
                <w:szCs w:val="13"/>
              </w:rPr>
            </w:pPr>
            <w:r>
              <w:rPr>
                <w:rFonts w:ascii="Times New Roman"/>
                <w:sz w:val="13"/>
              </w:rPr>
              <w:t>100</w:t>
            </w:r>
          </w:p>
        </w:tc>
        <w:tc>
          <w:tcPr>
            <w:tcW w:w="531"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4030" w:type="dxa"/>
            <w:tcBorders>
              <w:top w:val="nil" w:sz="6" w:space="0" w:color="auto"/>
              <w:left w:val="nil" w:sz="6" w:space="0" w:color="auto"/>
              <w:bottom w:val="nil" w:sz="6" w:space="0" w:color="auto"/>
              <w:right w:val="nil" w:sz="6" w:space="0" w:color="auto"/>
            </w:tcBorders>
          </w:tcPr>
          <w:p>
            <w:pPr/>
          </w:p>
        </w:tc>
      </w:tr>
      <w:tr>
        <w:trPr>
          <w:trHeight w:val="226" w:hRule="exact"/>
        </w:trPr>
        <w:tc>
          <w:tcPr>
            <w:tcW w:w="1518" w:type="dxa"/>
            <w:tcBorders>
              <w:top w:val="nil" w:sz="6" w:space="0" w:color="auto"/>
              <w:left w:val="nil" w:sz="6" w:space="0" w:color="auto"/>
              <w:bottom w:val="nil" w:sz="6" w:space="0" w:color="auto"/>
              <w:right w:val="nil" w:sz="6" w:space="0" w:color="auto"/>
            </w:tcBorders>
          </w:tcPr>
          <w:p>
            <w:pPr>
              <w:pStyle w:val="TableParagraph"/>
              <w:spacing w:line="142" w:lineRule="exact"/>
              <w:ind w:left="35"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Solutions Oy</w:t>
            </w:r>
            <w:r>
              <w:rPr>
                <w:rFonts w:ascii="宋体" w:hAnsi="宋体" w:cs="宋体" w:eastAsia="宋体" w:hint="default"/>
                <w:sz w:val="13"/>
                <w:szCs w:val="13"/>
              </w:rPr>
              <w:t>（注</w:t>
            </w:r>
            <w:r>
              <w:rPr>
                <w:rFonts w:ascii="宋体" w:hAnsi="宋体" w:cs="宋体" w:eastAsia="宋体" w:hint="default"/>
                <w:spacing w:val="-36"/>
                <w:sz w:val="13"/>
                <w:szCs w:val="13"/>
              </w:rPr>
              <w:t> </w:t>
            </w:r>
            <w:r>
              <w:rPr>
                <w:rFonts w:ascii="Times New Roman" w:hAnsi="Times New Roman" w:cs="Times New Roman" w:eastAsia="Times New Roman" w:hint="default"/>
                <w:sz w:val="13"/>
                <w:szCs w:val="13"/>
              </w:rPr>
              <w:t>1</w:t>
            </w:r>
            <w:r>
              <w:rPr>
                <w:rFonts w:ascii="宋体" w:hAnsi="宋体" w:cs="宋体" w:eastAsia="宋体" w:hint="default"/>
                <w:sz w:val="13"/>
                <w:szCs w:val="13"/>
              </w:rPr>
              <w:t>）</w:t>
            </w:r>
          </w:p>
        </w:tc>
        <w:tc>
          <w:tcPr>
            <w:tcW w:w="472" w:type="dxa"/>
            <w:tcBorders>
              <w:top w:val="nil" w:sz="6" w:space="0" w:color="auto"/>
              <w:left w:val="nil" w:sz="6" w:space="0" w:color="auto"/>
              <w:bottom w:val="nil" w:sz="6" w:space="0" w:color="auto"/>
              <w:right w:val="nil" w:sz="6" w:space="0" w:color="auto"/>
            </w:tcBorders>
          </w:tcPr>
          <w:p>
            <w:pPr/>
          </w:p>
        </w:tc>
        <w:tc>
          <w:tcPr>
            <w:tcW w:w="712"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Style w:val="TableParagraph"/>
              <w:spacing w:line="132" w:lineRule="exact"/>
              <w:ind w:left="33"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2304" w:type="dxa"/>
            <w:tcBorders>
              <w:top w:val="nil" w:sz="6" w:space="0" w:color="auto"/>
              <w:left w:val="nil" w:sz="6" w:space="0" w:color="auto"/>
              <w:bottom w:val="nil" w:sz="6" w:space="0" w:color="auto"/>
              <w:right w:val="nil" w:sz="6" w:space="0" w:color="auto"/>
            </w:tcBorders>
          </w:tcPr>
          <w:p>
            <w:pPr>
              <w:pStyle w:val="TableParagraph"/>
              <w:spacing w:line="132" w:lineRule="exact"/>
              <w:ind w:left="903" w:right="0"/>
              <w:jc w:val="left"/>
              <w:rPr>
                <w:rFonts w:ascii="宋体" w:hAnsi="宋体" w:cs="宋体" w:eastAsia="宋体" w:hint="default"/>
                <w:sz w:val="13"/>
                <w:szCs w:val="13"/>
              </w:rPr>
            </w:pPr>
            <w:r>
              <w:rPr>
                <w:rFonts w:ascii="宋体" w:hAnsi="宋体" w:cs="宋体" w:eastAsia="宋体" w:hint="default"/>
                <w:sz w:val="13"/>
                <w:szCs w:val="13"/>
              </w:rPr>
              <w:t>询、服务等</w:t>
            </w:r>
          </w:p>
        </w:tc>
        <w:tc>
          <w:tcPr>
            <w:tcW w:w="1406" w:type="dxa"/>
            <w:tcBorders>
              <w:top w:val="nil" w:sz="6" w:space="0" w:color="auto"/>
              <w:left w:val="nil" w:sz="6" w:space="0" w:color="auto"/>
              <w:bottom w:val="nil" w:sz="6" w:space="0" w:color="auto"/>
              <w:right w:val="nil" w:sz="6" w:space="0" w:color="auto"/>
            </w:tcBorders>
          </w:tcPr>
          <w:p>
            <w:pPr/>
          </w:p>
        </w:tc>
        <w:tc>
          <w:tcPr>
            <w:tcW w:w="1016" w:type="dxa"/>
            <w:tcBorders>
              <w:top w:val="nil" w:sz="6" w:space="0" w:color="auto"/>
              <w:left w:val="nil" w:sz="6" w:space="0" w:color="auto"/>
              <w:bottom w:val="nil" w:sz="6" w:space="0" w:color="auto"/>
              <w:right w:val="nil" w:sz="6" w:space="0" w:color="auto"/>
            </w:tcBorders>
          </w:tcPr>
          <w:p>
            <w:pPr/>
          </w:p>
        </w:tc>
        <w:tc>
          <w:tcPr>
            <w:tcW w:w="553" w:type="dxa"/>
            <w:tcBorders>
              <w:top w:val="nil" w:sz="6" w:space="0" w:color="auto"/>
              <w:left w:val="nil" w:sz="6" w:space="0" w:color="auto"/>
              <w:bottom w:val="nil" w:sz="6" w:space="0" w:color="auto"/>
              <w:right w:val="nil" w:sz="6" w:space="0" w:color="auto"/>
            </w:tcBorders>
          </w:tcPr>
          <w:p>
            <w:pPr/>
          </w:p>
        </w:tc>
        <w:tc>
          <w:tcPr>
            <w:tcW w:w="531" w:type="dxa"/>
            <w:tcBorders>
              <w:top w:val="nil" w:sz="6" w:space="0" w:color="auto"/>
              <w:left w:val="nil" w:sz="6" w:space="0" w:color="auto"/>
              <w:bottom w:val="nil" w:sz="6" w:space="0" w:color="auto"/>
              <w:right w:val="nil" w:sz="6" w:space="0" w:color="auto"/>
            </w:tcBorders>
          </w:tcPr>
          <w:p>
            <w:pPr/>
          </w:p>
        </w:tc>
        <w:tc>
          <w:tcPr>
            <w:tcW w:w="4030" w:type="dxa"/>
            <w:tcBorders>
              <w:top w:val="nil" w:sz="6" w:space="0" w:color="auto"/>
              <w:left w:val="nil" w:sz="6" w:space="0" w:color="auto"/>
              <w:bottom w:val="nil" w:sz="6" w:space="0" w:color="auto"/>
              <w:right w:val="nil" w:sz="6" w:space="0" w:color="auto"/>
            </w:tcBorders>
          </w:tcPr>
          <w:p>
            <w:pPr/>
          </w:p>
        </w:tc>
      </w:tr>
      <w:tr>
        <w:trPr>
          <w:trHeight w:val="226" w:hRule="exact"/>
        </w:trPr>
        <w:tc>
          <w:tcPr>
            <w:tcW w:w="1518" w:type="dxa"/>
            <w:tcBorders>
              <w:top w:val="nil" w:sz="6" w:space="0" w:color="auto"/>
              <w:left w:val="nil" w:sz="6" w:space="0" w:color="auto"/>
              <w:bottom w:val="nil" w:sz="6" w:space="0" w:color="auto"/>
              <w:right w:val="nil" w:sz="6" w:space="0" w:color="auto"/>
            </w:tcBorders>
          </w:tcPr>
          <w:p>
            <w:pPr/>
          </w:p>
        </w:tc>
        <w:tc>
          <w:tcPr>
            <w:tcW w:w="472" w:type="dxa"/>
            <w:tcBorders>
              <w:top w:val="nil" w:sz="6" w:space="0" w:color="auto"/>
              <w:left w:val="nil" w:sz="6" w:space="0" w:color="auto"/>
              <w:bottom w:val="nil" w:sz="6" w:space="0" w:color="auto"/>
              <w:right w:val="nil" w:sz="6" w:space="0" w:color="auto"/>
            </w:tcBorders>
          </w:tcPr>
          <w:p>
            <w:pPr/>
          </w:p>
        </w:tc>
        <w:tc>
          <w:tcPr>
            <w:tcW w:w="712"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3" w:right="0"/>
              <w:jc w:val="left"/>
              <w:rPr>
                <w:rFonts w:ascii="宋体" w:hAnsi="宋体" w:cs="宋体" w:eastAsia="宋体" w:hint="default"/>
                <w:sz w:val="13"/>
                <w:szCs w:val="13"/>
              </w:rPr>
            </w:pPr>
            <w:r>
              <w:rPr>
                <w:rFonts w:ascii="宋体" w:hAnsi="宋体" w:cs="宋体" w:eastAsia="宋体" w:hint="default"/>
                <w:sz w:val="13"/>
                <w:szCs w:val="13"/>
              </w:rPr>
              <w:t>股份有限责任</w:t>
            </w:r>
          </w:p>
        </w:tc>
        <w:tc>
          <w:tcPr>
            <w:tcW w:w="2304"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9"/>
              <w:jc w:val="right"/>
              <w:rPr>
                <w:rFonts w:ascii="宋体" w:hAnsi="宋体" w:cs="宋体" w:eastAsia="宋体" w:hint="default"/>
                <w:sz w:val="13"/>
                <w:szCs w:val="13"/>
              </w:rPr>
            </w:pPr>
            <w:r>
              <w:rPr>
                <w:rFonts w:ascii="宋体" w:hAnsi="宋体" w:cs="宋体" w:eastAsia="宋体" w:hint="default"/>
                <w:spacing w:val="7"/>
                <w:w w:val="95"/>
                <w:sz w:val="13"/>
                <w:szCs w:val="13"/>
              </w:rPr>
              <w:t>计算机软硬件，技术咨</w:t>
            </w:r>
            <w:r>
              <w:rPr>
                <w:rFonts w:ascii="宋体" w:hAnsi="宋体" w:cs="宋体" w:eastAsia="宋体" w:hint="default"/>
                <w:sz w:val="13"/>
                <w:szCs w:val="13"/>
              </w:rPr>
            </w:r>
          </w:p>
        </w:tc>
        <w:tc>
          <w:tcPr>
            <w:tcW w:w="1406" w:type="dxa"/>
            <w:tcBorders>
              <w:top w:val="nil" w:sz="6" w:space="0" w:color="auto"/>
              <w:left w:val="nil" w:sz="6" w:space="0" w:color="auto"/>
              <w:bottom w:val="nil" w:sz="6" w:space="0" w:color="auto"/>
              <w:right w:val="nil" w:sz="6" w:space="0" w:color="auto"/>
            </w:tcBorders>
          </w:tcPr>
          <w:p>
            <w:pPr/>
          </w:p>
        </w:tc>
        <w:tc>
          <w:tcPr>
            <w:tcW w:w="1016" w:type="dxa"/>
            <w:tcBorders>
              <w:top w:val="nil" w:sz="6" w:space="0" w:color="auto"/>
              <w:left w:val="nil" w:sz="6" w:space="0" w:color="auto"/>
              <w:bottom w:val="nil" w:sz="6" w:space="0" w:color="auto"/>
              <w:right w:val="nil" w:sz="6" w:space="0" w:color="auto"/>
            </w:tcBorders>
          </w:tcPr>
          <w:p>
            <w:pPr/>
          </w:p>
        </w:tc>
        <w:tc>
          <w:tcPr>
            <w:tcW w:w="553" w:type="dxa"/>
            <w:tcBorders>
              <w:top w:val="nil" w:sz="6" w:space="0" w:color="auto"/>
              <w:left w:val="nil" w:sz="6" w:space="0" w:color="auto"/>
              <w:bottom w:val="nil" w:sz="6" w:space="0" w:color="auto"/>
              <w:right w:val="nil" w:sz="6" w:space="0" w:color="auto"/>
            </w:tcBorders>
          </w:tcPr>
          <w:p>
            <w:pPr/>
          </w:p>
        </w:tc>
        <w:tc>
          <w:tcPr>
            <w:tcW w:w="531" w:type="dxa"/>
            <w:tcBorders>
              <w:top w:val="nil" w:sz="6" w:space="0" w:color="auto"/>
              <w:left w:val="nil" w:sz="6" w:space="0" w:color="auto"/>
              <w:bottom w:val="nil" w:sz="6" w:space="0" w:color="auto"/>
              <w:right w:val="nil" w:sz="6" w:space="0" w:color="auto"/>
            </w:tcBorders>
          </w:tcPr>
          <w:p>
            <w:pPr/>
          </w:p>
        </w:tc>
        <w:tc>
          <w:tcPr>
            <w:tcW w:w="4030" w:type="dxa"/>
            <w:tcBorders>
              <w:top w:val="nil" w:sz="6" w:space="0" w:color="auto"/>
              <w:left w:val="nil" w:sz="6" w:space="0" w:color="auto"/>
              <w:bottom w:val="nil" w:sz="6" w:space="0" w:color="auto"/>
              <w:right w:val="nil" w:sz="6" w:space="0" w:color="auto"/>
            </w:tcBorders>
          </w:tcPr>
          <w:p>
            <w:pPr/>
          </w:p>
        </w:tc>
      </w:tr>
      <w:tr>
        <w:trPr>
          <w:trHeight w:val="380" w:hRule="exact"/>
        </w:trPr>
        <w:tc>
          <w:tcPr>
            <w:tcW w:w="1518" w:type="dxa"/>
            <w:tcBorders>
              <w:top w:val="nil" w:sz="6" w:space="0" w:color="auto"/>
              <w:left w:val="nil" w:sz="6" w:space="0" w:color="auto"/>
              <w:bottom w:val="nil" w:sz="6" w:space="0" w:color="auto"/>
              <w:right w:val="nil" w:sz="6" w:space="0" w:color="auto"/>
            </w:tcBorders>
          </w:tcPr>
          <w:p>
            <w:pPr>
              <w:pStyle w:val="TableParagraph"/>
              <w:spacing w:line="150" w:lineRule="exact"/>
              <w:ind w:left="35"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Almitas Oy</w:t>
            </w:r>
            <w:r>
              <w:rPr>
                <w:rFonts w:ascii="宋体" w:hAnsi="宋体" w:cs="宋体" w:eastAsia="宋体" w:hint="default"/>
                <w:sz w:val="13"/>
                <w:szCs w:val="13"/>
              </w:rPr>
              <w:t>（注</w:t>
            </w:r>
            <w:r>
              <w:rPr>
                <w:rFonts w:ascii="宋体" w:hAnsi="宋体" w:cs="宋体" w:eastAsia="宋体" w:hint="default"/>
                <w:spacing w:val="-38"/>
                <w:sz w:val="13"/>
                <w:szCs w:val="13"/>
              </w:rPr>
              <w:t> </w:t>
            </w:r>
            <w:r>
              <w:rPr>
                <w:rFonts w:ascii="Times New Roman" w:hAnsi="Times New Roman" w:cs="Times New Roman" w:eastAsia="Times New Roman" w:hint="default"/>
                <w:sz w:val="13"/>
                <w:szCs w:val="13"/>
              </w:rPr>
              <w:t>1</w:t>
            </w:r>
            <w:r>
              <w:rPr>
                <w:rFonts w:ascii="宋体" w:hAnsi="宋体" w:cs="宋体" w:eastAsia="宋体" w:hint="default"/>
                <w:sz w:val="13"/>
                <w:szCs w:val="13"/>
              </w:rPr>
              <w:t>）</w:t>
            </w:r>
          </w:p>
        </w:tc>
        <w:tc>
          <w:tcPr>
            <w:tcW w:w="472" w:type="dxa"/>
            <w:tcBorders>
              <w:top w:val="nil" w:sz="6" w:space="0" w:color="auto"/>
              <w:left w:val="nil" w:sz="6" w:space="0" w:color="auto"/>
              <w:bottom w:val="nil" w:sz="6" w:space="0" w:color="auto"/>
              <w:right w:val="nil" w:sz="6" w:space="0" w:color="auto"/>
            </w:tcBorders>
          </w:tcPr>
          <w:p>
            <w:pPr>
              <w:pStyle w:val="TableParagraph"/>
              <w:spacing w:line="140" w:lineRule="exact"/>
              <w:ind w:left="52"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712" w:type="dxa"/>
            <w:tcBorders>
              <w:top w:val="nil" w:sz="6" w:space="0" w:color="auto"/>
              <w:left w:val="nil" w:sz="6" w:space="0" w:color="auto"/>
              <w:bottom w:val="nil" w:sz="6" w:space="0" w:color="auto"/>
              <w:right w:val="nil" w:sz="6" w:space="0" w:color="auto"/>
            </w:tcBorders>
          </w:tcPr>
          <w:p>
            <w:pPr>
              <w:pStyle w:val="TableParagraph"/>
              <w:spacing w:line="140" w:lineRule="exact"/>
              <w:ind w:left="160" w:right="0"/>
              <w:jc w:val="left"/>
              <w:rPr>
                <w:rFonts w:ascii="宋体" w:hAnsi="宋体" w:cs="宋体" w:eastAsia="宋体" w:hint="default"/>
                <w:sz w:val="13"/>
                <w:szCs w:val="13"/>
              </w:rPr>
            </w:pPr>
            <w:r>
              <w:rPr>
                <w:rFonts w:ascii="宋体" w:hAnsi="宋体" w:cs="宋体" w:eastAsia="宋体" w:hint="default"/>
                <w:sz w:val="13"/>
                <w:szCs w:val="13"/>
              </w:rPr>
              <w:t>芬兰</w:t>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33"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2304" w:type="dxa"/>
            <w:tcBorders>
              <w:top w:val="nil" w:sz="6" w:space="0" w:color="auto"/>
              <w:left w:val="nil" w:sz="6" w:space="0" w:color="auto"/>
              <w:bottom w:val="nil" w:sz="6" w:space="0" w:color="auto"/>
              <w:right w:val="nil" w:sz="6" w:space="0" w:color="auto"/>
            </w:tcBorders>
          </w:tcPr>
          <w:p>
            <w:pPr>
              <w:pStyle w:val="TableParagraph"/>
              <w:spacing w:line="135" w:lineRule="exact"/>
              <w:ind w:left="226" w:right="0"/>
              <w:jc w:val="left"/>
              <w:rPr>
                <w:rFonts w:ascii="Times New Roman" w:hAnsi="Times New Roman" w:cs="Times New Roman" w:eastAsia="Times New Roman" w:hint="default"/>
                <w:sz w:val="13"/>
                <w:szCs w:val="13"/>
              </w:rPr>
            </w:pPr>
            <w:r>
              <w:rPr>
                <w:rFonts w:ascii="宋体" w:hAnsi="宋体" w:cs="宋体" w:eastAsia="宋体" w:hint="default"/>
                <w:sz w:val="13"/>
                <w:szCs w:val="13"/>
              </w:rPr>
              <w:t>欧元</w:t>
            </w:r>
            <w:r>
              <w:rPr>
                <w:rFonts w:ascii="宋体" w:hAnsi="宋体" w:cs="宋体" w:eastAsia="宋体" w:hint="default"/>
                <w:spacing w:val="-2"/>
                <w:sz w:val="13"/>
                <w:szCs w:val="13"/>
              </w:rPr>
              <w:t> </w:t>
            </w:r>
            <w:r>
              <w:rPr>
                <w:rFonts w:ascii="Times New Roman" w:hAnsi="Times New Roman" w:cs="Times New Roman" w:eastAsia="Times New Roman" w:hint="default"/>
                <w:sz w:val="13"/>
                <w:szCs w:val="13"/>
              </w:rPr>
              <w:t>8,400</w:t>
            </w:r>
          </w:p>
          <w:p>
            <w:pPr>
              <w:pStyle w:val="TableParagraph"/>
              <w:spacing w:line="155" w:lineRule="exact"/>
              <w:ind w:left="903" w:right="0"/>
              <w:jc w:val="left"/>
              <w:rPr>
                <w:rFonts w:ascii="宋体" w:hAnsi="宋体" w:cs="宋体" w:eastAsia="宋体" w:hint="default"/>
                <w:sz w:val="13"/>
                <w:szCs w:val="13"/>
              </w:rPr>
            </w:pPr>
            <w:r>
              <w:rPr>
                <w:rFonts w:ascii="宋体" w:hAnsi="宋体" w:cs="宋体" w:eastAsia="宋体" w:hint="default"/>
                <w:sz w:val="13"/>
                <w:szCs w:val="13"/>
              </w:rPr>
              <w:t>询、服务等</w:t>
            </w:r>
          </w:p>
        </w:tc>
        <w:tc>
          <w:tcPr>
            <w:tcW w:w="1406" w:type="dxa"/>
            <w:tcBorders>
              <w:top w:val="nil" w:sz="6" w:space="0" w:color="auto"/>
              <w:left w:val="nil" w:sz="6" w:space="0" w:color="auto"/>
              <w:bottom w:val="nil" w:sz="6" w:space="0" w:color="auto"/>
              <w:right w:val="nil" w:sz="6" w:space="0" w:color="auto"/>
            </w:tcBorders>
          </w:tcPr>
          <w:p>
            <w:pPr>
              <w:pStyle w:val="TableParagraph"/>
              <w:spacing w:line="150" w:lineRule="exact"/>
              <w:ind w:right="560"/>
              <w:jc w:val="right"/>
              <w:rPr>
                <w:rFonts w:ascii="Times New Roman" w:hAnsi="Times New Roman" w:cs="Times New Roman" w:eastAsia="Times New Roman" w:hint="default"/>
                <w:sz w:val="13"/>
                <w:szCs w:val="13"/>
              </w:rPr>
            </w:pPr>
            <w:r>
              <w:rPr>
                <w:rFonts w:ascii="宋体" w:hAnsi="宋体" w:cs="宋体" w:eastAsia="宋体" w:hint="default"/>
                <w:sz w:val="13"/>
                <w:szCs w:val="13"/>
              </w:rPr>
              <w:t>欧元</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3,497,600</w:t>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08"/>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5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62" w:right="0"/>
              <w:jc w:val="center"/>
              <w:rPr>
                <w:rFonts w:ascii="Times New Roman" w:hAnsi="Times New Roman" w:cs="Times New Roman" w:eastAsia="Times New Roman" w:hint="default"/>
                <w:sz w:val="13"/>
                <w:szCs w:val="13"/>
              </w:rPr>
            </w:pPr>
            <w:r>
              <w:rPr>
                <w:rFonts w:ascii="Times New Roman"/>
                <w:sz w:val="13"/>
              </w:rPr>
              <w:t>100</w:t>
            </w:r>
          </w:p>
        </w:tc>
        <w:tc>
          <w:tcPr>
            <w:tcW w:w="531" w:type="dxa"/>
            <w:tcBorders>
              <w:top w:val="nil" w:sz="6" w:space="0" w:color="auto"/>
              <w:left w:val="nil" w:sz="6" w:space="0" w:color="auto"/>
              <w:bottom w:val="nil" w:sz="6" w:space="0" w:color="auto"/>
              <w:right w:val="nil" w:sz="6" w:space="0" w:color="auto"/>
            </w:tcBorders>
          </w:tcPr>
          <w:p>
            <w:pPr>
              <w:pStyle w:val="TableParagraph"/>
              <w:spacing w:line="140" w:lineRule="exact"/>
              <w:ind w:left="100" w:right="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4030" w:type="dxa"/>
            <w:tcBorders>
              <w:top w:val="nil" w:sz="6" w:space="0" w:color="auto"/>
              <w:left w:val="nil" w:sz="6" w:space="0" w:color="auto"/>
              <w:bottom w:val="nil" w:sz="6" w:space="0" w:color="auto"/>
              <w:right w:val="nil" w:sz="6" w:space="0" w:color="auto"/>
            </w:tcBorders>
          </w:tcPr>
          <w:p>
            <w:pPr/>
          </w:p>
        </w:tc>
      </w:tr>
      <w:tr>
        <w:trPr>
          <w:trHeight w:val="388" w:hRule="exact"/>
        </w:trPr>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Times New Roman" w:hAnsi="Times New Roman" w:cs="Times New Roman" w:eastAsia="Times New Roman" w:hint="default"/>
                <w:sz w:val="13"/>
                <w:szCs w:val="13"/>
              </w:rPr>
            </w:pPr>
            <w:r>
              <w:rPr>
                <w:rFonts w:ascii="Times New Roman"/>
                <w:sz w:val="13"/>
              </w:rPr>
              <w:t>Neusoft Mobile</w:t>
            </w:r>
            <w:r>
              <w:rPr>
                <w:rFonts w:ascii="Times New Roman"/>
                <w:spacing w:val="-4"/>
                <w:sz w:val="13"/>
              </w:rPr>
              <w:t> </w:t>
            </w:r>
            <w:r>
              <w:rPr>
                <w:rFonts w:ascii="Times New Roman"/>
                <w:sz w:val="13"/>
              </w:rPr>
              <w:t>Solutions</w:t>
            </w:r>
          </w:p>
        </w:tc>
        <w:tc>
          <w:tcPr>
            <w:tcW w:w="47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52"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60" w:right="0"/>
              <w:jc w:val="left"/>
              <w:rPr>
                <w:rFonts w:ascii="宋体" w:hAnsi="宋体" w:cs="宋体" w:eastAsia="宋体" w:hint="default"/>
                <w:sz w:val="13"/>
                <w:szCs w:val="13"/>
              </w:rPr>
            </w:pPr>
            <w:r>
              <w:rPr>
                <w:rFonts w:ascii="宋体" w:hAnsi="宋体" w:cs="宋体" w:eastAsia="宋体" w:hint="default"/>
                <w:sz w:val="13"/>
                <w:szCs w:val="13"/>
              </w:rPr>
              <w:t>罗马尼亚</w:t>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3" w:right="0"/>
              <w:jc w:val="left"/>
              <w:rPr>
                <w:rFonts w:ascii="宋体" w:hAnsi="宋体" w:cs="宋体" w:eastAsia="宋体" w:hint="default"/>
                <w:sz w:val="13"/>
                <w:szCs w:val="13"/>
              </w:rPr>
            </w:pPr>
            <w:r>
              <w:rPr>
                <w:rFonts w:ascii="宋体" w:hAnsi="宋体" w:cs="宋体" w:eastAsia="宋体" w:hint="default"/>
                <w:sz w:val="13"/>
                <w:szCs w:val="13"/>
              </w:rPr>
              <w:t>股份有限责任</w:t>
            </w:r>
          </w:p>
        </w:tc>
        <w:tc>
          <w:tcPr>
            <w:tcW w:w="230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9"/>
              <w:jc w:val="right"/>
              <w:rPr>
                <w:rFonts w:ascii="宋体" w:hAnsi="宋体" w:cs="宋体" w:eastAsia="宋体" w:hint="default"/>
                <w:sz w:val="13"/>
                <w:szCs w:val="13"/>
              </w:rPr>
            </w:pPr>
            <w:r>
              <w:rPr>
                <w:rFonts w:ascii="宋体" w:hAnsi="宋体" w:cs="宋体" w:eastAsia="宋体" w:hint="default"/>
                <w:sz w:val="13"/>
                <w:szCs w:val="13"/>
              </w:rPr>
              <w:t>罗马尼亚列伊</w:t>
            </w:r>
            <w:r>
              <w:rPr>
                <w:rFonts w:ascii="宋体" w:hAnsi="宋体" w:cs="宋体" w:eastAsia="宋体" w:hint="default"/>
                <w:spacing w:val="-10"/>
                <w:sz w:val="13"/>
                <w:szCs w:val="13"/>
              </w:rPr>
              <w:t> </w:t>
            </w:r>
            <w:r>
              <w:rPr>
                <w:rFonts w:ascii="宋体" w:hAnsi="宋体" w:cs="宋体" w:eastAsia="宋体" w:hint="default"/>
                <w:spacing w:val="7"/>
                <w:sz w:val="13"/>
                <w:szCs w:val="13"/>
              </w:rPr>
              <w:t>计算机软硬件，技术咨</w:t>
            </w:r>
            <w:r>
              <w:rPr>
                <w:rFonts w:ascii="宋体" w:hAnsi="宋体" w:cs="宋体" w:eastAsia="宋体" w:hint="default"/>
                <w:sz w:val="13"/>
                <w:szCs w:val="13"/>
              </w:rPr>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560"/>
              <w:jc w:val="right"/>
              <w:rPr>
                <w:rFonts w:ascii="Times New Roman" w:hAnsi="Times New Roman" w:cs="Times New Roman" w:eastAsia="Times New Roman" w:hint="default"/>
                <w:sz w:val="13"/>
                <w:szCs w:val="13"/>
              </w:rPr>
            </w:pPr>
            <w:r>
              <w:rPr>
                <w:rFonts w:ascii="宋体" w:hAnsi="宋体" w:cs="宋体" w:eastAsia="宋体" w:hint="default"/>
                <w:sz w:val="13"/>
                <w:szCs w:val="13"/>
              </w:rPr>
              <w:t>欧元</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1,017,600</w:t>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1"/>
              <w:ind w:right="208"/>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5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1"/>
              <w:ind w:left="62" w:right="0"/>
              <w:jc w:val="center"/>
              <w:rPr>
                <w:rFonts w:ascii="Times New Roman" w:hAnsi="Times New Roman" w:cs="Times New Roman" w:eastAsia="Times New Roman" w:hint="default"/>
                <w:sz w:val="13"/>
                <w:szCs w:val="13"/>
              </w:rPr>
            </w:pPr>
            <w:r>
              <w:rPr>
                <w:rFonts w:ascii="Times New Roman"/>
                <w:sz w:val="13"/>
              </w:rPr>
              <w:t>100</w:t>
            </w:r>
          </w:p>
        </w:tc>
        <w:tc>
          <w:tcPr>
            <w:tcW w:w="5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3"/>
                <w:szCs w:val="13"/>
              </w:rPr>
            </w:pPr>
            <w:r>
              <w:rPr>
                <w:rFonts w:ascii="宋体" w:hAnsi="宋体" w:cs="宋体" w:eastAsia="宋体" w:hint="default"/>
                <w:w w:val="99"/>
                <w:sz w:val="13"/>
                <w:szCs w:val="13"/>
              </w:rPr>
              <w:t>是</w:t>
            </w:r>
            <w:r>
              <w:rPr>
                <w:rFonts w:ascii="宋体" w:hAnsi="宋体" w:cs="宋体" w:eastAsia="宋体" w:hint="default"/>
                <w:sz w:val="13"/>
                <w:szCs w:val="13"/>
              </w:rPr>
            </w:r>
          </w:p>
        </w:tc>
        <w:tc>
          <w:tcPr>
            <w:tcW w:w="4030" w:type="dxa"/>
            <w:tcBorders>
              <w:top w:val="nil" w:sz="6" w:space="0" w:color="auto"/>
              <w:left w:val="nil" w:sz="6" w:space="0" w:color="auto"/>
              <w:bottom w:val="nil" w:sz="6" w:space="0" w:color="auto"/>
              <w:right w:val="nil" w:sz="6" w:space="0" w:color="auto"/>
            </w:tcBorders>
          </w:tcPr>
          <w:p>
            <w:pPr/>
          </w:p>
        </w:tc>
      </w:tr>
      <w:tr>
        <w:trPr>
          <w:trHeight w:val="164" w:hRule="exact"/>
        </w:trPr>
        <w:tc>
          <w:tcPr>
            <w:tcW w:w="1518" w:type="dxa"/>
            <w:tcBorders>
              <w:top w:val="nil" w:sz="6" w:space="0" w:color="auto"/>
              <w:left w:val="nil" w:sz="6" w:space="0" w:color="auto"/>
              <w:bottom w:val="single" w:sz="8" w:space="0" w:color="000000"/>
              <w:right w:val="nil" w:sz="6" w:space="0" w:color="auto"/>
            </w:tcBorders>
          </w:tcPr>
          <w:p>
            <w:pPr>
              <w:pStyle w:val="TableParagraph"/>
              <w:spacing w:line="142" w:lineRule="exact"/>
              <w:ind w:left="35"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SRL</w:t>
            </w:r>
            <w:r>
              <w:rPr>
                <w:rFonts w:ascii="宋体" w:hAnsi="宋体" w:cs="宋体" w:eastAsia="宋体" w:hint="default"/>
                <w:sz w:val="13"/>
                <w:szCs w:val="13"/>
              </w:rPr>
              <w:t>（注</w:t>
            </w:r>
            <w:r>
              <w:rPr>
                <w:rFonts w:ascii="宋体" w:hAnsi="宋体" w:cs="宋体" w:eastAsia="宋体" w:hint="default"/>
                <w:spacing w:val="-37"/>
                <w:sz w:val="13"/>
                <w:szCs w:val="13"/>
              </w:rPr>
              <w:t> </w:t>
            </w:r>
            <w:r>
              <w:rPr>
                <w:rFonts w:ascii="Times New Roman" w:hAnsi="Times New Roman" w:cs="Times New Roman" w:eastAsia="Times New Roman" w:hint="default"/>
                <w:sz w:val="13"/>
                <w:szCs w:val="13"/>
              </w:rPr>
              <w:t>1</w:t>
            </w:r>
            <w:r>
              <w:rPr>
                <w:rFonts w:ascii="宋体" w:hAnsi="宋体" w:cs="宋体" w:eastAsia="宋体" w:hint="default"/>
                <w:sz w:val="13"/>
                <w:szCs w:val="13"/>
              </w:rPr>
              <w:t>）</w:t>
            </w:r>
          </w:p>
        </w:tc>
        <w:tc>
          <w:tcPr>
            <w:tcW w:w="472" w:type="dxa"/>
            <w:tcBorders>
              <w:top w:val="nil" w:sz="6" w:space="0" w:color="auto"/>
              <w:left w:val="nil" w:sz="6" w:space="0" w:color="auto"/>
              <w:bottom w:val="single" w:sz="8" w:space="0" w:color="000000"/>
              <w:right w:val="nil" w:sz="6" w:space="0" w:color="auto"/>
            </w:tcBorders>
          </w:tcPr>
          <w:p>
            <w:pPr/>
          </w:p>
        </w:tc>
        <w:tc>
          <w:tcPr>
            <w:tcW w:w="712" w:type="dxa"/>
            <w:tcBorders>
              <w:top w:val="nil" w:sz="6" w:space="0" w:color="auto"/>
              <w:left w:val="nil" w:sz="6" w:space="0" w:color="auto"/>
              <w:bottom w:val="single" w:sz="8" w:space="0" w:color="000000"/>
              <w:right w:val="nil" w:sz="6" w:space="0" w:color="auto"/>
            </w:tcBorders>
          </w:tcPr>
          <w:p>
            <w:pPr/>
          </w:p>
        </w:tc>
        <w:tc>
          <w:tcPr>
            <w:tcW w:w="877" w:type="dxa"/>
            <w:tcBorders>
              <w:top w:val="nil" w:sz="6" w:space="0" w:color="auto"/>
              <w:left w:val="nil" w:sz="6" w:space="0" w:color="auto"/>
              <w:bottom w:val="single" w:sz="8" w:space="0" w:color="000000"/>
              <w:right w:val="nil" w:sz="6" w:space="0" w:color="auto"/>
            </w:tcBorders>
          </w:tcPr>
          <w:p>
            <w:pPr>
              <w:pStyle w:val="TableParagraph"/>
              <w:spacing w:line="132" w:lineRule="exact"/>
              <w:ind w:left="33"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2304" w:type="dxa"/>
            <w:tcBorders>
              <w:top w:val="nil" w:sz="6" w:space="0" w:color="auto"/>
              <w:left w:val="nil" w:sz="6" w:space="0" w:color="auto"/>
              <w:bottom w:val="single" w:sz="8" w:space="0" w:color="000000"/>
              <w:right w:val="nil" w:sz="6" w:space="0" w:color="auto"/>
            </w:tcBorders>
          </w:tcPr>
          <w:p>
            <w:pPr>
              <w:pStyle w:val="TableParagraph"/>
              <w:spacing w:line="150" w:lineRule="exact"/>
              <w:ind w:left="486"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94,000</w:t>
            </w:r>
            <w:r>
              <w:rPr>
                <w:rFonts w:ascii="Times New Roman" w:hAnsi="Times New Roman" w:cs="Times New Roman" w:eastAsia="Times New Roman" w:hint="default"/>
                <w:spacing w:val="25"/>
                <w:sz w:val="13"/>
                <w:szCs w:val="13"/>
              </w:rPr>
              <w:t> </w:t>
            </w:r>
            <w:r>
              <w:rPr>
                <w:rFonts w:ascii="宋体" w:hAnsi="宋体" w:cs="宋体" w:eastAsia="宋体" w:hint="default"/>
                <w:position w:val="1"/>
                <w:sz w:val="13"/>
                <w:szCs w:val="13"/>
              </w:rPr>
              <w:t>询、服务等</w:t>
            </w:r>
            <w:r>
              <w:rPr>
                <w:rFonts w:ascii="宋体" w:hAnsi="宋体" w:cs="宋体" w:eastAsia="宋体" w:hint="default"/>
                <w:sz w:val="13"/>
                <w:szCs w:val="13"/>
              </w:rPr>
            </w:r>
          </w:p>
        </w:tc>
        <w:tc>
          <w:tcPr>
            <w:tcW w:w="1406" w:type="dxa"/>
            <w:tcBorders>
              <w:top w:val="nil" w:sz="6" w:space="0" w:color="auto"/>
              <w:left w:val="nil" w:sz="6" w:space="0" w:color="auto"/>
              <w:bottom w:val="single" w:sz="8" w:space="0" w:color="000000"/>
              <w:right w:val="nil" w:sz="6" w:space="0" w:color="auto"/>
            </w:tcBorders>
          </w:tcPr>
          <w:p>
            <w:pPr/>
          </w:p>
        </w:tc>
        <w:tc>
          <w:tcPr>
            <w:tcW w:w="1016" w:type="dxa"/>
            <w:tcBorders>
              <w:top w:val="nil" w:sz="6" w:space="0" w:color="auto"/>
              <w:left w:val="nil" w:sz="6" w:space="0" w:color="auto"/>
              <w:bottom w:val="single" w:sz="8" w:space="0" w:color="000000"/>
              <w:right w:val="nil" w:sz="6" w:space="0" w:color="auto"/>
            </w:tcBorders>
          </w:tcPr>
          <w:p>
            <w:pPr/>
          </w:p>
        </w:tc>
        <w:tc>
          <w:tcPr>
            <w:tcW w:w="553" w:type="dxa"/>
            <w:tcBorders>
              <w:top w:val="nil" w:sz="6" w:space="0" w:color="auto"/>
              <w:left w:val="nil" w:sz="6" w:space="0" w:color="auto"/>
              <w:bottom w:val="single" w:sz="8" w:space="0" w:color="000000"/>
              <w:right w:val="nil" w:sz="6" w:space="0" w:color="auto"/>
            </w:tcBorders>
          </w:tcPr>
          <w:p>
            <w:pPr/>
          </w:p>
        </w:tc>
        <w:tc>
          <w:tcPr>
            <w:tcW w:w="531" w:type="dxa"/>
            <w:tcBorders>
              <w:top w:val="nil" w:sz="6" w:space="0" w:color="auto"/>
              <w:left w:val="nil" w:sz="6" w:space="0" w:color="auto"/>
              <w:bottom w:val="single" w:sz="8" w:space="0" w:color="000000"/>
              <w:right w:val="nil" w:sz="6" w:space="0" w:color="auto"/>
            </w:tcBorders>
          </w:tcPr>
          <w:p>
            <w:pPr/>
          </w:p>
        </w:tc>
        <w:tc>
          <w:tcPr>
            <w:tcW w:w="4030" w:type="dxa"/>
            <w:tcBorders>
              <w:top w:val="nil" w:sz="6" w:space="0" w:color="auto"/>
              <w:left w:val="nil" w:sz="6" w:space="0" w:color="auto"/>
              <w:bottom w:val="single" w:sz="8" w:space="0" w:color="000000"/>
              <w:right w:val="nil" w:sz="6" w:space="0" w:color="auto"/>
            </w:tcBorders>
          </w:tcPr>
          <w:p>
            <w:pPr/>
          </w:p>
        </w:tc>
      </w:tr>
    </w:tbl>
    <w:p>
      <w:pPr>
        <w:spacing w:before="83"/>
        <w:ind w:left="857" w:right="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3"/>
          <w:sz w:val="21"/>
          <w:szCs w:val="21"/>
        </w:rPr>
        <w:t> </w:t>
      </w:r>
      <w:r>
        <w:rPr>
          <w:rFonts w:ascii="宋体" w:hAnsi="宋体" w:cs="宋体" w:eastAsia="宋体" w:hint="default"/>
          <w:sz w:val="21"/>
          <w:szCs w:val="21"/>
        </w:rPr>
        <w:t>1：参见</w:t>
      </w:r>
      <w:r>
        <w:rPr>
          <w:rFonts w:ascii="宋体" w:hAnsi="宋体" w:cs="宋体" w:eastAsia="宋体" w:hint="default"/>
          <w:spacing w:val="-2"/>
          <w:sz w:val="21"/>
          <w:szCs w:val="21"/>
        </w:rPr>
        <w:t>本</w:t>
      </w:r>
      <w:r>
        <w:rPr>
          <w:rFonts w:ascii="宋体" w:hAnsi="宋体" w:cs="宋体" w:eastAsia="宋体" w:hint="default"/>
          <w:sz w:val="21"/>
          <w:szCs w:val="21"/>
        </w:rPr>
        <w:t>附注四（四</w:t>
      </w:r>
      <w:r>
        <w:rPr>
          <w:rFonts w:ascii="宋体" w:hAnsi="宋体" w:cs="宋体" w:eastAsia="宋体" w:hint="default"/>
          <w:spacing w:val="-106"/>
          <w:sz w:val="21"/>
          <w:szCs w:val="21"/>
        </w:rPr>
        <w:t>）</w:t>
      </w:r>
      <w:r>
        <w:rPr>
          <w:rFonts w:ascii="宋体" w:hAnsi="宋体" w:cs="宋体" w:eastAsia="宋体" w:hint="default"/>
          <w:sz w:val="21"/>
          <w:szCs w:val="21"/>
        </w:rPr>
        <w:t>、1。</w:t>
      </w:r>
    </w:p>
    <w:p>
      <w:pPr>
        <w:spacing w:after="0"/>
        <w:jc w:val="left"/>
        <w:rPr>
          <w:rFonts w:ascii="宋体" w:hAnsi="宋体" w:cs="宋体" w:eastAsia="宋体" w:hint="default"/>
          <w:sz w:val="21"/>
          <w:szCs w:val="21"/>
        </w:rPr>
        <w:sectPr>
          <w:pgSz w:w="16840" w:h="11900" w:orient="landscape"/>
          <w:pgMar w:header="883" w:footer="995" w:top="1600" w:bottom="1180" w:left="1300" w:right="1260"/>
        </w:sectPr>
      </w:pPr>
    </w:p>
    <w:p>
      <w:pPr>
        <w:spacing w:line="240" w:lineRule="auto" w:before="10"/>
        <w:rPr>
          <w:rFonts w:ascii="宋体" w:hAnsi="宋体" w:cs="宋体" w:eastAsia="宋体" w:hint="default"/>
          <w:sz w:val="8"/>
          <w:szCs w:val="8"/>
        </w:rPr>
      </w:pPr>
    </w:p>
    <w:p>
      <w:pPr>
        <w:tabs>
          <w:tab w:pos="853" w:val="left" w:leader="none"/>
        </w:tabs>
        <w:spacing w:before="35"/>
        <w:ind w:left="125" w:right="0" w:firstLine="0"/>
        <w:jc w:val="left"/>
        <w:rPr>
          <w:rFonts w:ascii="宋体" w:hAnsi="宋体" w:cs="宋体" w:eastAsia="宋体" w:hint="default"/>
          <w:sz w:val="21"/>
          <w:szCs w:val="21"/>
        </w:rPr>
      </w:pPr>
      <w:r>
        <w:rPr>
          <w:rFonts w:ascii="宋体" w:hAnsi="宋体" w:cs="宋体" w:eastAsia="宋体" w:hint="default"/>
          <w:sz w:val="21"/>
          <w:szCs w:val="21"/>
        </w:rPr>
        <w:t>(二)</w:t>
        <w:tab/>
        <w:t>无特殊目的主体或通过受托经营或承租等方式形成控制权的经营实体 </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tabs>
          <w:tab w:pos="853" w:val="left" w:leader="none"/>
        </w:tabs>
        <w:spacing w:before="0"/>
        <w:ind w:left="125" w:right="0" w:firstLine="0"/>
        <w:jc w:val="left"/>
        <w:rPr>
          <w:rFonts w:ascii="宋体" w:hAnsi="宋体" w:cs="宋体" w:eastAsia="宋体" w:hint="default"/>
          <w:sz w:val="21"/>
          <w:szCs w:val="21"/>
        </w:rPr>
      </w:pPr>
      <w:r>
        <w:rPr>
          <w:rFonts w:ascii="宋体" w:hAnsi="宋体" w:cs="宋体" w:eastAsia="宋体" w:hint="default"/>
          <w:sz w:val="21"/>
          <w:szCs w:val="21"/>
        </w:rPr>
        <w:t>(三)</w:t>
        <w:tab/>
        <w:t>合并范围发生变更的说明 </w:t>
      </w:r>
    </w:p>
    <w:p>
      <w:pPr>
        <w:spacing w:line="350" w:lineRule="auto" w:before="125"/>
        <w:ind w:left="857" w:right="0" w:firstLine="0"/>
        <w:jc w:val="left"/>
        <w:rPr>
          <w:rFonts w:ascii="宋体" w:hAnsi="宋体" w:cs="宋体" w:eastAsia="宋体" w:hint="default"/>
          <w:sz w:val="21"/>
          <w:szCs w:val="21"/>
        </w:rPr>
      </w:pPr>
      <w:r>
        <w:rPr>
          <w:rFonts w:ascii="宋体" w:hAnsi="宋体" w:cs="宋体" w:eastAsia="宋体" w:hint="default"/>
          <w:sz w:val="21"/>
          <w:szCs w:val="21"/>
        </w:rPr>
        <w:t>1、上年相比本年新增合并单位</w:t>
      </w:r>
      <w:r>
        <w:rPr>
          <w:rFonts w:ascii="宋体" w:hAnsi="宋体" w:cs="宋体" w:eastAsia="宋体" w:hint="default"/>
          <w:spacing w:val="-40"/>
          <w:sz w:val="21"/>
          <w:szCs w:val="21"/>
        </w:rPr>
        <w:t> </w:t>
      </w:r>
      <w:r>
        <w:rPr>
          <w:rFonts w:ascii="宋体" w:hAnsi="宋体" w:cs="宋体" w:eastAsia="宋体" w:hint="default"/>
          <w:sz w:val="21"/>
          <w:szCs w:val="21"/>
        </w:rPr>
        <w:t>11</w:t>
      </w:r>
      <w:r>
        <w:rPr>
          <w:rFonts w:ascii="宋体" w:hAnsi="宋体" w:cs="宋体" w:eastAsia="宋体" w:hint="default"/>
          <w:spacing w:val="-40"/>
          <w:sz w:val="21"/>
          <w:szCs w:val="21"/>
        </w:rPr>
        <w:t> </w:t>
      </w:r>
      <w:r>
        <w:rPr>
          <w:rFonts w:ascii="宋体" w:hAnsi="宋体" w:cs="宋体" w:eastAsia="宋体" w:hint="default"/>
          <w:sz w:val="21"/>
          <w:szCs w:val="21"/>
        </w:rPr>
        <w:t>家。根据公司业务发展需要，本公司新设公司</w:t>
      </w:r>
      <w:r>
        <w:rPr>
          <w:rFonts w:ascii="宋体" w:hAnsi="宋体" w:cs="宋体" w:eastAsia="宋体" w:hint="default"/>
          <w:spacing w:val="-40"/>
          <w:sz w:val="21"/>
          <w:szCs w:val="21"/>
        </w:rPr>
        <w:t> </w:t>
      </w:r>
      <w:r>
        <w:rPr>
          <w:rFonts w:ascii="宋体" w:hAnsi="宋体" w:cs="宋体" w:eastAsia="宋体" w:hint="default"/>
          <w:sz w:val="21"/>
          <w:szCs w:val="21"/>
        </w:rPr>
        <w:t>7</w:t>
      </w:r>
      <w:r>
        <w:rPr>
          <w:rFonts w:ascii="宋体" w:hAnsi="宋体" w:cs="宋体" w:eastAsia="宋体" w:hint="default"/>
          <w:spacing w:val="-41"/>
          <w:sz w:val="21"/>
          <w:szCs w:val="21"/>
        </w:rPr>
        <w:t> </w:t>
      </w:r>
      <w:r>
        <w:rPr>
          <w:rFonts w:ascii="宋体" w:hAnsi="宋体" w:cs="宋体" w:eastAsia="宋体" w:hint="default"/>
          <w:sz w:val="21"/>
          <w:szCs w:val="21"/>
        </w:rPr>
        <w:t>家：杭州</w:t>
      </w:r>
      <w:r>
        <w:rPr>
          <w:rFonts w:ascii="宋体" w:hAnsi="宋体" w:cs="宋体" w:eastAsia="宋体" w:hint="default"/>
          <w:sz w:val="21"/>
          <w:szCs w:val="21"/>
        </w:rPr>
        <w:t> 东软软件有限公司、东软（欧洲）有限公司、天津东软信息技术服务有限公司、大连东软商</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业流程咨询有限公司、深圳市东软移动终端设计有限公司、北京东软越通技术有限公司、北</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pacing w:val="-5"/>
          <w:sz w:val="21"/>
          <w:szCs w:val="21"/>
        </w:rPr>
        <w:t>京英博睿智咨询有限公司；本公司收购获得公司</w:t>
      </w:r>
      <w:r>
        <w:rPr>
          <w:rFonts w:ascii="宋体" w:hAnsi="宋体" w:cs="宋体" w:eastAsia="宋体" w:hint="default"/>
          <w:spacing w:val="-48"/>
          <w:sz w:val="21"/>
          <w:szCs w:val="21"/>
        </w:rPr>
        <w:t> </w:t>
      </w:r>
      <w:r>
        <w:rPr>
          <w:rFonts w:ascii="宋体" w:hAnsi="宋体" w:cs="宋体" w:eastAsia="宋体" w:hint="default"/>
          <w:sz w:val="21"/>
          <w:szCs w:val="21"/>
        </w:rPr>
        <w:t>4</w:t>
      </w:r>
      <w:r>
        <w:rPr>
          <w:rFonts w:ascii="宋体" w:hAnsi="宋体" w:cs="宋体" w:eastAsia="宋体" w:hint="default"/>
          <w:spacing w:val="-47"/>
          <w:sz w:val="21"/>
          <w:szCs w:val="21"/>
        </w:rPr>
        <w:t> </w:t>
      </w:r>
      <w:r>
        <w:rPr>
          <w:rFonts w:ascii="宋体" w:hAnsi="宋体" w:cs="宋体" w:eastAsia="宋体" w:hint="default"/>
          <w:spacing w:val="-8"/>
          <w:sz w:val="21"/>
          <w:szCs w:val="21"/>
        </w:rPr>
        <w:t>家：北京源越通软件技术有限公司、Neusoft</w:t>
      </w:r>
      <w:r>
        <w:rPr>
          <w:rFonts w:ascii="宋体" w:hAnsi="宋体" w:cs="宋体" w:eastAsia="宋体" w:hint="default"/>
          <w:spacing w:val="-94"/>
          <w:sz w:val="21"/>
          <w:szCs w:val="21"/>
        </w:rPr>
        <w:t> </w:t>
      </w:r>
      <w:r>
        <w:rPr>
          <w:rFonts w:ascii="宋体" w:hAnsi="宋体" w:cs="宋体" w:eastAsia="宋体" w:hint="default"/>
          <w:sz w:val="21"/>
          <w:szCs w:val="21"/>
        </w:rPr>
        <w:t>Mobile Solutions Oy、 Almitas Oy、 Neusoft Mobile Solutions</w:t>
      </w:r>
      <w:r>
        <w:rPr>
          <w:rFonts w:ascii="宋体" w:hAnsi="宋体" w:cs="宋体" w:eastAsia="宋体" w:hint="default"/>
          <w:spacing w:val="-34"/>
          <w:sz w:val="21"/>
          <w:szCs w:val="21"/>
        </w:rPr>
        <w:t> </w:t>
      </w:r>
      <w:r>
        <w:rPr>
          <w:rFonts w:ascii="宋体" w:hAnsi="宋体" w:cs="宋体" w:eastAsia="宋体" w:hint="default"/>
          <w:sz w:val="21"/>
          <w:szCs w:val="21"/>
        </w:rPr>
        <w:t>SRL。 </w:t>
      </w:r>
    </w:p>
    <w:p>
      <w:pPr>
        <w:spacing w:line="240" w:lineRule="auto" w:before="0"/>
        <w:rPr>
          <w:rFonts w:ascii="宋体" w:hAnsi="宋体" w:cs="宋体" w:eastAsia="宋体" w:hint="default"/>
          <w:sz w:val="20"/>
          <w:szCs w:val="20"/>
        </w:rPr>
      </w:pPr>
    </w:p>
    <w:p>
      <w:pPr>
        <w:spacing w:line="331" w:lineRule="auto" w:before="166"/>
        <w:ind w:left="857" w:right="199"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、本年减少合并单位</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家。根据公司区域业务发展需求，于</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年在美国新设全资子公司 东软科技有限公司，本报告期内完成非全资子公司东软（美国）有限公司的全部注销程序。</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853" w:val="left" w:leader="none"/>
        </w:tabs>
        <w:spacing w:before="0"/>
        <w:ind w:left="125" w:right="0" w:firstLine="0"/>
        <w:jc w:val="left"/>
        <w:rPr>
          <w:rFonts w:ascii="宋体" w:hAnsi="宋体" w:cs="宋体" w:eastAsia="宋体" w:hint="default"/>
          <w:sz w:val="18"/>
          <w:szCs w:val="18"/>
        </w:rPr>
      </w:pPr>
      <w:r>
        <w:rPr>
          <w:rFonts w:ascii="宋体" w:hAnsi="宋体" w:cs="宋体" w:eastAsia="宋体" w:hint="default"/>
          <w:sz w:val="21"/>
          <w:szCs w:val="21"/>
        </w:rPr>
        <w:t>(四)</w:t>
        <w:tab/>
        <w:t>本期新纳入合并范围的主体和本期不再纳入合并范围的主体</w:t>
      </w:r>
      <w:r>
        <w:rPr>
          <w:rFonts w:ascii="宋体" w:hAnsi="宋体" w:cs="宋体" w:eastAsia="宋体" w:hint="default"/>
          <w:color w:val="FF0000"/>
          <w:sz w:val="18"/>
          <w:szCs w:val="18"/>
        </w:rPr>
        <w:t> </w:t>
      </w:r>
      <w:r>
        <w:rPr>
          <w:rFonts w:ascii="宋体" w:hAnsi="宋体" w:cs="宋体" w:eastAsia="宋体" w:hint="default"/>
          <w:sz w:val="18"/>
          <w:szCs w:val="18"/>
        </w:rPr>
      </w:r>
    </w:p>
    <w:p>
      <w:pPr>
        <w:spacing w:before="126"/>
        <w:ind w:left="857" w:right="0" w:firstLine="0"/>
        <w:jc w:val="left"/>
        <w:rPr>
          <w:rFonts w:ascii="宋体" w:hAnsi="宋体" w:cs="宋体" w:eastAsia="宋体" w:hint="default"/>
          <w:sz w:val="21"/>
          <w:szCs w:val="21"/>
        </w:rPr>
      </w:pPr>
      <w:r>
        <w:rPr>
          <w:rFonts w:ascii="宋体"/>
          <w:sz w:val="21"/>
        </w:rPr>
        <w:t> </w:t>
      </w:r>
    </w:p>
    <w:p>
      <w:pPr>
        <w:spacing w:before="125"/>
        <w:ind w:left="857" w:right="0" w:firstLine="0"/>
        <w:jc w:val="left"/>
        <w:rPr>
          <w:rFonts w:ascii="宋体" w:hAnsi="宋体" w:cs="宋体" w:eastAsia="宋体" w:hint="default"/>
          <w:sz w:val="21"/>
          <w:szCs w:val="21"/>
        </w:rPr>
      </w:pPr>
      <w:r>
        <w:rPr/>
        <w:pict>
          <v:group style="position:absolute;margin-left:102.000008pt;margin-top:21.573509pt;width:430.75pt;height:246.55pt;mso-position-horizontal-relative:page;mso-position-vertical-relative:paragraph;z-index:-994552" coordorigin="2040,431" coordsize="8615,4931">
            <v:group style="position:absolute;left:2050;top:441;width:4440;height:2" coordorigin="2050,441" coordsize="4440,2">
              <v:shape style="position:absolute;left:2050;top:441;width:4440;height:2" coordorigin="2050,441" coordsize="4440,0" path="m2050,441l6490,441e" filled="false" stroked="true" strokeweight=".95999pt" strokecolor="#000000">
                <v:path arrowok="t"/>
              </v:shape>
            </v:group>
            <v:group style="position:absolute;left:6490;top:441;width:20;height:2" coordorigin="6490,441" coordsize="20,2">
              <v:shape style="position:absolute;left:6490;top:441;width:20;height:2" coordorigin="6490,441" coordsize="20,0" path="m6490,441l6509,441e" filled="false" stroked="true" strokeweight=".95999pt" strokecolor="#000000">
                <v:path arrowok="t"/>
              </v:shape>
            </v:group>
            <v:group style="position:absolute;left:6509;top:441;width:2145;height:2" coordorigin="6509,441" coordsize="2145,2">
              <v:shape style="position:absolute;left:6509;top:441;width:2145;height:2" coordorigin="6509,441" coordsize="2145,0" path="m6509,441l8653,441e" filled="false" stroked="true" strokeweight=".96pt" strokecolor="#000000">
                <v:path arrowok="t"/>
              </v:shape>
            </v:group>
            <v:group style="position:absolute;left:8653;top:441;width:1992;height:2" coordorigin="8653,441" coordsize="1992,2">
              <v:shape style="position:absolute;left:8653;top:441;width:1992;height:2" coordorigin="8653,441" coordsize="1992,0" path="m8653,441l10645,441e" filled="false" stroked="true" strokeweight=".95999pt" strokecolor="#000000">
                <v:path arrowok="t"/>
              </v:shape>
              <v:shape style="position:absolute;left:2050;top:451;width:8605;height:4912" type="#_x0000_t75" stroked="false">
                <v:imagedata r:id="rId43" o:title=""/>
              </v:shape>
              <v:shape style="position:absolute;left:3848;top:610;width:84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名   </w:t>
                      </w:r>
                      <w:r>
                        <w:rPr>
                          <w:rFonts w:ascii="宋体" w:hAnsi="宋体" w:cs="宋体" w:eastAsia="宋体" w:hint="default"/>
                          <w:spacing w:val="3"/>
                          <w:sz w:val="21"/>
                          <w:szCs w:val="21"/>
                        </w:rPr>
                        <w:t> </w:t>
                      </w:r>
                      <w:r>
                        <w:rPr>
                          <w:rFonts w:ascii="宋体" w:hAnsi="宋体" w:cs="宋体" w:eastAsia="宋体" w:hint="default"/>
                          <w:sz w:val="21"/>
                          <w:szCs w:val="21"/>
                        </w:rPr>
                        <w:t>称</w:t>
                      </w:r>
                    </w:p>
                  </w:txbxContent>
                </v:textbox>
                <w10:wrap type="none"/>
              </v:shape>
              <v:shape style="position:absolute;left:7049;top:610;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期末净资产</w:t>
                      </w:r>
                    </w:p>
                  </w:txbxContent>
                </v:textbox>
                <w10:wrap type="none"/>
              </v:shape>
              <v:shape style="position:absolute;left:9128;top:610;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本期净利润</w:t>
                      </w:r>
                    </w:p>
                  </w:txbxContent>
                </v:textbox>
                <w10:wrap type="none"/>
              </v:shape>
            </v:group>
            <w10:wrap type="none"/>
          </v:group>
        </w:pict>
      </w:r>
      <w:r>
        <w:rPr>
          <w:rFonts w:ascii="宋体" w:hAnsi="宋体" w:cs="宋体" w:eastAsia="宋体" w:hint="default"/>
          <w:sz w:val="21"/>
          <w:szCs w:val="21"/>
        </w:rPr>
        <w:t>1、 </w:t>
      </w:r>
      <w:r>
        <w:rPr>
          <w:rFonts w:ascii="宋体" w:hAnsi="宋体" w:cs="宋体" w:eastAsia="宋体" w:hint="default"/>
          <w:spacing w:val="20"/>
          <w:sz w:val="21"/>
          <w:szCs w:val="21"/>
        </w:rPr>
        <w:t> </w:t>
      </w:r>
      <w:r>
        <w:rPr>
          <w:rFonts w:ascii="宋体" w:hAnsi="宋体" w:cs="宋体" w:eastAsia="宋体" w:hint="default"/>
          <w:sz w:val="21"/>
          <w:szCs w:val="21"/>
        </w:rPr>
        <w:t>本期新纳入合并范围的公司 </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tbl>
      <w:tblPr>
        <w:tblW w:w="0" w:type="auto"/>
        <w:jc w:val="left"/>
        <w:tblInd w:w="735" w:type="dxa"/>
        <w:tblLayout w:type="fixed"/>
        <w:tblCellMar>
          <w:top w:w="0" w:type="dxa"/>
          <w:left w:w="0" w:type="dxa"/>
          <w:bottom w:w="0" w:type="dxa"/>
          <w:right w:w="0" w:type="dxa"/>
        </w:tblCellMar>
        <w:tblLook w:val="01E0"/>
      </w:tblPr>
      <w:tblGrid>
        <w:gridCol w:w="4763"/>
        <w:gridCol w:w="2294"/>
        <w:gridCol w:w="1560"/>
      </w:tblGrid>
      <w:tr>
        <w:trPr>
          <w:trHeight w:val="423" w:hRule="exact"/>
        </w:trPr>
        <w:tc>
          <w:tcPr>
            <w:tcW w:w="476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杭州东软软件有限公司 （注</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540"/>
              <w:jc w:val="right"/>
              <w:rPr>
                <w:rFonts w:ascii="Times New Roman" w:hAnsi="Times New Roman" w:cs="Times New Roman" w:eastAsia="Times New Roman" w:hint="default"/>
                <w:sz w:val="21"/>
                <w:szCs w:val="21"/>
              </w:rPr>
            </w:pPr>
            <w:r>
              <w:rPr>
                <w:rFonts w:ascii="Times New Roman"/>
                <w:spacing w:val="-1"/>
                <w:sz w:val="21"/>
              </w:rPr>
              <w:t>497,479</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21"/>
                <w:szCs w:val="21"/>
              </w:rPr>
            </w:pPr>
            <w:r>
              <w:rPr>
                <w:rFonts w:ascii="Times New Roman"/>
                <w:spacing w:val="-1"/>
                <w:sz w:val="21"/>
              </w:rPr>
              <w:t>-2,521</w:t>
            </w:r>
          </w:p>
        </w:tc>
      </w:tr>
      <w:tr>
        <w:trPr>
          <w:trHeight w:val="410" w:hRule="exact"/>
        </w:trPr>
        <w:tc>
          <w:tcPr>
            <w:tcW w:w="476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东软（欧洲）有限公司（注</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539"/>
              <w:jc w:val="right"/>
              <w:rPr>
                <w:rFonts w:ascii="Times New Roman" w:hAnsi="Times New Roman" w:cs="Times New Roman" w:eastAsia="Times New Roman" w:hint="default"/>
                <w:sz w:val="21"/>
                <w:szCs w:val="21"/>
              </w:rPr>
            </w:pPr>
            <w:r>
              <w:rPr>
                <w:rFonts w:ascii="Times New Roman"/>
                <w:spacing w:val="-1"/>
                <w:sz w:val="21"/>
              </w:rPr>
              <w:t>131,646,780</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21"/>
                <w:szCs w:val="21"/>
              </w:rPr>
            </w:pPr>
            <w:r>
              <w:rPr>
                <w:rFonts w:ascii="Times New Roman"/>
                <w:spacing w:val="-1"/>
                <w:sz w:val="21"/>
              </w:rPr>
              <w:t>70,742</w:t>
            </w:r>
          </w:p>
        </w:tc>
      </w:tr>
      <w:tr>
        <w:trPr>
          <w:trHeight w:val="410" w:hRule="exact"/>
        </w:trPr>
        <w:tc>
          <w:tcPr>
            <w:tcW w:w="476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天津东软信息技术服务有限公司（注</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w:t>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541"/>
              <w:jc w:val="right"/>
              <w:rPr>
                <w:rFonts w:ascii="Times New Roman" w:hAnsi="Times New Roman" w:cs="Times New Roman" w:eastAsia="Times New Roman" w:hint="default"/>
                <w:sz w:val="21"/>
                <w:szCs w:val="21"/>
              </w:rPr>
            </w:pPr>
            <w:r>
              <w:rPr>
                <w:rFonts w:ascii="Times New Roman"/>
                <w:spacing w:val="-1"/>
                <w:sz w:val="21"/>
              </w:rPr>
              <w:t>19,988,342</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21"/>
                <w:szCs w:val="21"/>
              </w:rPr>
            </w:pPr>
            <w:r>
              <w:rPr>
                <w:rFonts w:ascii="Times New Roman"/>
                <w:spacing w:val="-2"/>
                <w:sz w:val="21"/>
              </w:rPr>
              <w:t>-11,658</w:t>
            </w:r>
          </w:p>
        </w:tc>
      </w:tr>
      <w:tr>
        <w:trPr>
          <w:trHeight w:val="410" w:hRule="exact"/>
        </w:trPr>
        <w:tc>
          <w:tcPr>
            <w:tcW w:w="476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深圳市东软移动终端设计有限公司（注</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w:t>
            </w:r>
            <w:r>
              <w:rPr>
                <w:rFonts w:ascii="宋体" w:hAnsi="宋体" w:cs="宋体" w:eastAsia="宋体" w:hint="default"/>
                <w:sz w:val="21"/>
                <w:szCs w:val="21"/>
              </w:rPr>
              <w:t>）</w:t>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540"/>
              <w:jc w:val="right"/>
              <w:rPr>
                <w:rFonts w:ascii="Times New Roman" w:hAnsi="Times New Roman" w:cs="Times New Roman" w:eastAsia="Times New Roman" w:hint="default"/>
                <w:sz w:val="21"/>
                <w:szCs w:val="21"/>
              </w:rPr>
            </w:pPr>
            <w:r>
              <w:rPr>
                <w:rFonts w:ascii="Times New Roman"/>
                <w:spacing w:val="-1"/>
                <w:sz w:val="21"/>
              </w:rPr>
              <w:t>3,219,352</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7"/>
              <w:jc w:val="right"/>
              <w:rPr>
                <w:rFonts w:ascii="Times New Roman" w:hAnsi="Times New Roman" w:cs="Times New Roman" w:eastAsia="Times New Roman" w:hint="default"/>
                <w:sz w:val="21"/>
                <w:szCs w:val="21"/>
              </w:rPr>
            </w:pPr>
            <w:r>
              <w:rPr>
                <w:rFonts w:ascii="Times New Roman"/>
                <w:spacing w:val="-1"/>
                <w:sz w:val="21"/>
              </w:rPr>
              <w:t>-1,780,648</w:t>
            </w:r>
            <w:r>
              <w:rPr>
                <w:rFonts w:ascii="Times New Roman"/>
                <w:sz w:val="21"/>
              </w:rPr>
            </w:r>
          </w:p>
        </w:tc>
      </w:tr>
      <w:tr>
        <w:trPr>
          <w:trHeight w:val="410" w:hRule="exact"/>
        </w:trPr>
        <w:tc>
          <w:tcPr>
            <w:tcW w:w="476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北京东软越通技术有限公司（注</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w:t>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540"/>
              <w:jc w:val="right"/>
              <w:rPr>
                <w:rFonts w:ascii="Times New Roman" w:hAnsi="Times New Roman" w:cs="Times New Roman" w:eastAsia="Times New Roman" w:hint="default"/>
                <w:sz w:val="21"/>
                <w:szCs w:val="21"/>
              </w:rPr>
            </w:pPr>
            <w:r>
              <w:rPr>
                <w:rFonts w:ascii="Times New Roman"/>
                <w:spacing w:val="-2"/>
                <w:sz w:val="21"/>
              </w:rPr>
              <w:t>11,776,243</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21"/>
                <w:szCs w:val="21"/>
              </w:rPr>
            </w:pPr>
            <w:r>
              <w:rPr>
                <w:rFonts w:ascii="Times New Roman"/>
                <w:spacing w:val="-1"/>
                <w:sz w:val="21"/>
              </w:rPr>
              <w:t>1,756,643</w:t>
            </w:r>
          </w:p>
        </w:tc>
      </w:tr>
      <w:tr>
        <w:trPr>
          <w:trHeight w:val="410" w:hRule="exact"/>
        </w:trPr>
        <w:tc>
          <w:tcPr>
            <w:tcW w:w="476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大连东软商业流程咨询有限公司（注</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w:t>
            </w:r>
            <w:r>
              <w:rPr>
                <w:rFonts w:ascii="宋体" w:hAnsi="宋体" w:cs="宋体" w:eastAsia="宋体" w:hint="default"/>
                <w:sz w:val="21"/>
                <w:szCs w:val="21"/>
              </w:rPr>
              <w:t>）</w:t>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540"/>
              <w:jc w:val="right"/>
              <w:rPr>
                <w:rFonts w:ascii="Times New Roman" w:hAnsi="Times New Roman" w:cs="Times New Roman" w:eastAsia="Times New Roman" w:hint="default"/>
                <w:sz w:val="21"/>
                <w:szCs w:val="21"/>
              </w:rPr>
            </w:pPr>
            <w:r>
              <w:rPr>
                <w:rFonts w:ascii="Times New Roman"/>
                <w:spacing w:val="-1"/>
                <w:sz w:val="21"/>
              </w:rPr>
              <w:t>1,223,247</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21"/>
                <w:szCs w:val="21"/>
              </w:rPr>
            </w:pPr>
            <w:r>
              <w:rPr>
                <w:rFonts w:ascii="Times New Roman"/>
                <w:spacing w:val="-1"/>
                <w:sz w:val="21"/>
              </w:rPr>
              <w:t>-3,776,753</w:t>
            </w:r>
            <w:r>
              <w:rPr>
                <w:rFonts w:ascii="Times New Roman"/>
                <w:sz w:val="21"/>
              </w:rPr>
            </w:r>
          </w:p>
        </w:tc>
      </w:tr>
      <w:tr>
        <w:trPr>
          <w:trHeight w:val="410" w:hRule="exact"/>
        </w:trPr>
        <w:tc>
          <w:tcPr>
            <w:tcW w:w="476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北京英博睿智咨询有限公司（注</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7</w:t>
            </w:r>
            <w:r>
              <w:rPr>
                <w:rFonts w:ascii="宋体" w:hAnsi="宋体" w:cs="宋体" w:eastAsia="宋体" w:hint="default"/>
                <w:sz w:val="21"/>
                <w:szCs w:val="21"/>
              </w:rPr>
              <w:t>）</w:t>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539"/>
              <w:jc w:val="right"/>
              <w:rPr>
                <w:rFonts w:ascii="Times New Roman" w:hAnsi="Times New Roman" w:cs="Times New Roman" w:eastAsia="Times New Roman" w:hint="default"/>
                <w:sz w:val="21"/>
                <w:szCs w:val="21"/>
              </w:rPr>
            </w:pPr>
            <w:r>
              <w:rPr>
                <w:rFonts w:ascii="Times New Roman"/>
                <w:spacing w:val="-1"/>
                <w:sz w:val="21"/>
              </w:rPr>
              <w:t>104,394</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6"/>
              <w:jc w:val="right"/>
              <w:rPr>
                <w:rFonts w:ascii="Times New Roman" w:hAnsi="Times New Roman" w:cs="Times New Roman" w:eastAsia="Times New Roman" w:hint="default"/>
                <w:sz w:val="21"/>
                <w:szCs w:val="21"/>
              </w:rPr>
            </w:pPr>
            <w:r>
              <w:rPr>
                <w:rFonts w:ascii="Times New Roman"/>
                <w:spacing w:val="-1"/>
                <w:sz w:val="21"/>
              </w:rPr>
              <w:t>4,394</w:t>
            </w:r>
          </w:p>
        </w:tc>
      </w:tr>
      <w:tr>
        <w:trPr>
          <w:trHeight w:val="410" w:hRule="exact"/>
        </w:trPr>
        <w:tc>
          <w:tcPr>
            <w:tcW w:w="476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北京源越通软件技术有限公司（注</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宋体" w:hAnsi="宋体" w:cs="宋体" w:eastAsia="宋体" w:hint="default"/>
                <w:sz w:val="21"/>
                <w:szCs w:val="21"/>
              </w:rPr>
              <w:t>）</w:t>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540"/>
              <w:jc w:val="right"/>
              <w:rPr>
                <w:rFonts w:ascii="Times New Roman" w:hAnsi="Times New Roman" w:cs="Times New Roman" w:eastAsia="Times New Roman" w:hint="default"/>
                <w:sz w:val="21"/>
                <w:szCs w:val="21"/>
              </w:rPr>
            </w:pPr>
            <w:r>
              <w:rPr>
                <w:rFonts w:ascii="Times New Roman"/>
                <w:spacing w:val="-1"/>
                <w:sz w:val="21"/>
              </w:rPr>
              <w:t>3,924,163</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21"/>
                <w:szCs w:val="21"/>
              </w:rPr>
            </w:pPr>
            <w:r>
              <w:rPr>
                <w:rFonts w:ascii="Times New Roman"/>
                <w:spacing w:val="-2"/>
                <w:sz w:val="21"/>
              </w:rPr>
              <w:t>1,440,711</w:t>
            </w:r>
          </w:p>
        </w:tc>
      </w:tr>
      <w:tr>
        <w:trPr>
          <w:trHeight w:val="410" w:hRule="exact"/>
        </w:trPr>
        <w:tc>
          <w:tcPr>
            <w:tcW w:w="476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Neusoft Mobile Solutions Oy</w:t>
            </w:r>
            <w:r>
              <w:rPr>
                <w:rFonts w:ascii="宋体" w:hAnsi="宋体" w:cs="宋体" w:eastAsia="宋体" w:hint="default"/>
                <w:sz w:val="21"/>
                <w:szCs w:val="21"/>
              </w:rPr>
              <w:t>（注</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9</w:t>
            </w:r>
            <w:r>
              <w:rPr>
                <w:rFonts w:ascii="宋体" w:hAnsi="宋体" w:cs="宋体" w:eastAsia="宋体" w:hint="default"/>
                <w:sz w:val="21"/>
                <w:szCs w:val="21"/>
              </w:rPr>
              <w:t>）</w:t>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541"/>
              <w:jc w:val="right"/>
              <w:rPr>
                <w:rFonts w:ascii="Times New Roman" w:hAnsi="Times New Roman" w:cs="Times New Roman" w:eastAsia="Times New Roman" w:hint="default"/>
                <w:sz w:val="21"/>
                <w:szCs w:val="21"/>
              </w:rPr>
            </w:pPr>
            <w:r>
              <w:rPr>
                <w:rFonts w:ascii="Times New Roman"/>
                <w:spacing w:val="-1"/>
                <w:sz w:val="21"/>
              </w:rPr>
              <w:t>-9,397,819</w:t>
            </w:r>
            <w:r>
              <w:rPr>
                <w:rFonts w:ascii="Times New Roman"/>
                <w:sz w:val="21"/>
              </w:rPr>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21"/>
                <w:szCs w:val="21"/>
              </w:rPr>
            </w:pPr>
            <w:r>
              <w:rPr>
                <w:rFonts w:ascii="Times New Roman"/>
                <w:spacing w:val="-1"/>
                <w:sz w:val="21"/>
              </w:rPr>
              <w:t>-1,560,885</w:t>
            </w:r>
            <w:r>
              <w:rPr>
                <w:rFonts w:ascii="Times New Roman"/>
                <w:sz w:val="21"/>
              </w:rPr>
            </w:r>
          </w:p>
        </w:tc>
      </w:tr>
      <w:tr>
        <w:trPr>
          <w:trHeight w:val="410" w:hRule="exact"/>
        </w:trPr>
        <w:tc>
          <w:tcPr>
            <w:tcW w:w="476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Almitas Oy</w:t>
            </w:r>
            <w:r>
              <w:rPr>
                <w:rFonts w:ascii="宋体" w:hAnsi="宋体" w:cs="宋体" w:eastAsia="宋体" w:hint="default"/>
                <w:sz w:val="21"/>
                <w:szCs w:val="21"/>
              </w:rPr>
              <w:t>（注</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9</w:t>
            </w:r>
            <w:r>
              <w:rPr>
                <w:rFonts w:ascii="宋体" w:hAnsi="宋体" w:cs="宋体" w:eastAsia="宋体" w:hint="default"/>
                <w:sz w:val="21"/>
                <w:szCs w:val="21"/>
              </w:rPr>
              <w:t>）</w:t>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540"/>
              <w:jc w:val="right"/>
              <w:rPr>
                <w:rFonts w:ascii="Times New Roman" w:hAnsi="Times New Roman" w:cs="Times New Roman" w:eastAsia="Times New Roman" w:hint="default"/>
                <w:sz w:val="21"/>
                <w:szCs w:val="21"/>
              </w:rPr>
            </w:pPr>
            <w:r>
              <w:rPr>
                <w:rFonts w:ascii="Times New Roman"/>
                <w:spacing w:val="-1"/>
                <w:sz w:val="21"/>
              </w:rPr>
              <w:t>1,029,268</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6"/>
              <w:jc w:val="right"/>
              <w:rPr>
                <w:rFonts w:ascii="Times New Roman" w:hAnsi="Times New Roman" w:cs="Times New Roman" w:eastAsia="Times New Roman" w:hint="default"/>
                <w:sz w:val="21"/>
                <w:szCs w:val="21"/>
              </w:rPr>
            </w:pPr>
            <w:r>
              <w:rPr>
                <w:rFonts w:ascii="Times New Roman"/>
                <w:spacing w:val="-1"/>
                <w:sz w:val="21"/>
              </w:rPr>
              <w:t>-515,518</w:t>
            </w:r>
          </w:p>
        </w:tc>
      </w:tr>
      <w:tr>
        <w:trPr>
          <w:trHeight w:val="340" w:hRule="exact"/>
        </w:trPr>
        <w:tc>
          <w:tcPr>
            <w:tcW w:w="4763"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Neusoft Mobile Solutions SRL</w:t>
            </w:r>
            <w:r>
              <w:rPr>
                <w:rFonts w:ascii="宋体" w:hAnsi="宋体" w:cs="宋体" w:eastAsia="宋体" w:hint="default"/>
                <w:sz w:val="21"/>
                <w:szCs w:val="21"/>
              </w:rPr>
              <w:t>（注</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9</w:t>
            </w:r>
            <w:r>
              <w:rPr>
                <w:rFonts w:ascii="宋体" w:hAnsi="宋体" w:cs="宋体" w:eastAsia="宋体" w:hint="default"/>
                <w:sz w:val="21"/>
                <w:szCs w:val="21"/>
              </w:rPr>
              <w:t>）</w:t>
            </w:r>
          </w:p>
        </w:tc>
        <w:tc>
          <w:tcPr>
            <w:tcW w:w="2294"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540"/>
              <w:jc w:val="right"/>
              <w:rPr>
                <w:rFonts w:ascii="Times New Roman" w:hAnsi="Times New Roman" w:cs="Times New Roman" w:eastAsia="Times New Roman" w:hint="default"/>
                <w:sz w:val="21"/>
                <w:szCs w:val="21"/>
              </w:rPr>
            </w:pPr>
            <w:r>
              <w:rPr>
                <w:rFonts w:ascii="Times New Roman"/>
                <w:spacing w:val="-1"/>
                <w:sz w:val="21"/>
              </w:rPr>
              <w:t>421,358</w:t>
            </w:r>
          </w:p>
        </w:tc>
        <w:tc>
          <w:tcPr>
            <w:tcW w:w="1560"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21"/>
                <w:szCs w:val="21"/>
              </w:rPr>
            </w:pPr>
            <w:r>
              <w:rPr>
                <w:rFonts w:ascii="Times New Roman"/>
                <w:spacing w:val="-1"/>
                <w:sz w:val="21"/>
              </w:rPr>
              <w:t>-1,068,971</w:t>
            </w:r>
          </w:p>
        </w:tc>
      </w:tr>
    </w:tbl>
    <w:p>
      <w:pPr>
        <w:spacing w:line="331" w:lineRule="auto" w:before="83"/>
        <w:ind w:left="857" w:right="20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4"/>
          <w:sz w:val="21"/>
          <w:szCs w:val="21"/>
        </w:rPr>
        <w:t> </w:t>
      </w:r>
      <w:r>
        <w:rPr>
          <w:rFonts w:ascii="宋体" w:hAnsi="宋体" w:cs="宋体" w:eastAsia="宋体" w:hint="default"/>
          <w:sz w:val="21"/>
          <w:szCs w:val="21"/>
        </w:rPr>
        <w:t>1：2009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月，本公司出资</w:t>
      </w:r>
      <w:r>
        <w:rPr>
          <w:rFonts w:ascii="宋体" w:hAnsi="宋体" w:cs="宋体" w:eastAsia="宋体" w:hint="default"/>
          <w:spacing w:val="-54"/>
          <w:sz w:val="21"/>
          <w:szCs w:val="21"/>
        </w:rPr>
        <w:t> </w:t>
      </w:r>
      <w:r>
        <w:rPr>
          <w:rFonts w:ascii="宋体" w:hAnsi="宋体" w:cs="宋体" w:eastAsia="宋体" w:hint="default"/>
          <w:sz w:val="21"/>
          <w:szCs w:val="21"/>
        </w:rPr>
        <w:t>50</w:t>
      </w:r>
      <w:r>
        <w:rPr>
          <w:rFonts w:ascii="宋体" w:hAnsi="宋体" w:cs="宋体" w:eastAsia="宋体" w:hint="default"/>
          <w:spacing w:val="-54"/>
          <w:sz w:val="21"/>
          <w:szCs w:val="21"/>
        </w:rPr>
        <w:t> </w:t>
      </w:r>
      <w:r>
        <w:rPr>
          <w:rFonts w:ascii="宋体" w:hAnsi="宋体" w:cs="宋体" w:eastAsia="宋体" w:hint="default"/>
          <w:sz w:val="21"/>
          <w:szCs w:val="21"/>
        </w:rPr>
        <w:t>万元设立杭州东软软件有限公司，持股比例</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％，本公 司自</w:t>
      </w:r>
      <w:r>
        <w:rPr>
          <w:rFonts w:ascii="宋体" w:hAnsi="宋体" w:cs="宋体" w:eastAsia="宋体" w:hint="default"/>
          <w:spacing w:val="-58"/>
          <w:sz w:val="21"/>
          <w:szCs w:val="21"/>
        </w:rPr>
        <w:t> </w:t>
      </w:r>
      <w:r>
        <w:rPr>
          <w:rFonts w:ascii="宋体" w:hAnsi="宋体" w:cs="宋体" w:eastAsia="宋体" w:hint="default"/>
          <w:sz w:val="21"/>
          <w:szCs w:val="21"/>
        </w:rPr>
        <w:t>2009</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宋体" w:hAnsi="宋体" w:cs="宋体" w:eastAsia="宋体" w:hint="default"/>
          <w:sz w:val="21"/>
          <w:szCs w:val="21"/>
        </w:rPr>
        <w:t>6</w:t>
      </w:r>
      <w:r>
        <w:rPr>
          <w:rFonts w:ascii="宋体" w:hAnsi="宋体" w:cs="宋体" w:eastAsia="宋体" w:hint="default"/>
          <w:spacing w:val="-58"/>
          <w:sz w:val="21"/>
          <w:szCs w:val="21"/>
        </w:rPr>
        <w:t> </w:t>
      </w:r>
      <w:r>
        <w:rPr>
          <w:rFonts w:ascii="宋体" w:hAnsi="宋体" w:cs="宋体" w:eastAsia="宋体" w:hint="default"/>
          <w:sz w:val="21"/>
          <w:szCs w:val="21"/>
        </w:rPr>
        <w:t>月起将其纳入合并财务报表范围。 </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line="331" w:lineRule="auto" w:before="0"/>
        <w:ind w:left="857" w:right="10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月，本公司在瑞士设立东软（欧洲）有限公司，注册资本</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2,040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万瑞士法郎， 本公司持股比例</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，本公司自</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月起将其纳入合并范围。</w:t>
      </w:r>
    </w:p>
    <w:p>
      <w:pPr>
        <w:spacing w:after="0" w:line="331" w:lineRule="auto"/>
        <w:jc w:val="left"/>
        <w:rPr>
          <w:rFonts w:ascii="宋体" w:hAnsi="宋体" w:cs="宋体" w:eastAsia="宋体" w:hint="default"/>
          <w:sz w:val="21"/>
          <w:szCs w:val="21"/>
        </w:rPr>
        <w:sectPr>
          <w:headerReference w:type="default" r:id="rId41"/>
          <w:footerReference w:type="default" r:id="rId42"/>
          <w:pgSz w:w="11900" w:h="16840"/>
          <w:pgMar w:header="883" w:footer="1003" w:top="1540" w:bottom="1200" w:left="1300" w:right="1080"/>
          <w:pgNumType w:start="25"/>
        </w:sectPr>
      </w:pPr>
    </w:p>
    <w:p>
      <w:pPr>
        <w:spacing w:before="93"/>
        <w:ind w:left="857" w:right="0" w:firstLine="0"/>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z w:val="21"/>
          <w:szCs w:val="21"/>
        </w:rPr>
        <w:t> </w:t>
      </w:r>
      <w:r>
        <w:rPr>
          <w:rFonts w:ascii="宋体" w:hAnsi="宋体" w:cs="宋体" w:eastAsia="宋体" w:hint="default"/>
          <w:sz w:val="21"/>
          <w:szCs w:val="21"/>
        </w:rPr>
        <w:t>月，本公司出资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2,000 </w:t>
      </w:r>
      <w:r>
        <w:rPr>
          <w:rFonts w:ascii="宋体" w:hAnsi="宋体" w:cs="宋体" w:eastAsia="宋体" w:hint="default"/>
          <w:sz w:val="21"/>
          <w:szCs w:val="21"/>
        </w:rPr>
        <w:t>万元设立天津东软信息技术服务有限公司，持股比例</w:t>
      </w:r>
    </w:p>
    <w:p>
      <w:pPr>
        <w:spacing w:before="110"/>
        <w:ind w:left="857"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100</w:t>
      </w:r>
      <w:r>
        <w:rPr>
          <w:rFonts w:ascii="宋体" w:hAnsi="宋体" w:cs="宋体" w:eastAsia="宋体" w:hint="default"/>
          <w:sz w:val="21"/>
          <w:szCs w:val="21"/>
        </w:rPr>
        <w:t>％，本公司自</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月起将其纳入合并财务报表范围。</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spacing w:line="331" w:lineRule="auto" w:before="0"/>
        <w:ind w:left="857" w:right="197"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月，本公司之子公司辽宁东软创业投资有限公司出资</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350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万元设立深圳市东 软移动终端设计有限公司，持股比例</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70%</w:t>
      </w:r>
      <w:r>
        <w:rPr>
          <w:rFonts w:ascii="宋体" w:hAnsi="宋体" w:cs="宋体" w:eastAsia="宋体" w:hint="default"/>
          <w:sz w:val="21"/>
          <w:szCs w:val="21"/>
        </w:rPr>
        <w:t>，自</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月起将其纳入合并财务报表范围。</w:t>
      </w:r>
    </w:p>
    <w:p>
      <w:pPr>
        <w:spacing w:line="240" w:lineRule="auto" w:before="1"/>
        <w:rPr>
          <w:rFonts w:ascii="宋体" w:hAnsi="宋体" w:cs="宋体" w:eastAsia="宋体" w:hint="default"/>
          <w:sz w:val="32"/>
          <w:szCs w:val="32"/>
        </w:rPr>
      </w:pPr>
    </w:p>
    <w:p>
      <w:pPr>
        <w:spacing w:line="331" w:lineRule="auto" w:before="0"/>
        <w:ind w:left="857" w:right="197"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月，本公司之子公司辽宁东软创业投资有限公司出资</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700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万元设立北京东软 越通软件技术有限公司，持股比例</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70%</w:t>
      </w:r>
      <w:r>
        <w:rPr>
          <w:rFonts w:ascii="宋体" w:hAnsi="宋体" w:cs="宋体" w:eastAsia="宋体" w:hint="default"/>
          <w:sz w:val="21"/>
          <w:szCs w:val="21"/>
        </w:rPr>
        <w:t>，自</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月起将其纳入合并财务报表范围。</w:t>
      </w:r>
    </w:p>
    <w:p>
      <w:pPr>
        <w:spacing w:line="240" w:lineRule="auto" w:before="1"/>
        <w:rPr>
          <w:rFonts w:ascii="宋体" w:hAnsi="宋体" w:cs="宋体" w:eastAsia="宋体" w:hint="default"/>
          <w:sz w:val="32"/>
          <w:szCs w:val="32"/>
        </w:rPr>
      </w:pPr>
    </w:p>
    <w:p>
      <w:pPr>
        <w:spacing w:line="331" w:lineRule="auto" w:before="0"/>
        <w:ind w:left="857" w:right="97"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7"/>
          <w:sz w:val="21"/>
          <w:szCs w:val="21"/>
        </w:rPr>
        <w:t> </w:t>
      </w:r>
      <w:r>
        <w:rPr>
          <w:rFonts w:ascii="Times New Roman" w:hAnsi="Times New Roman" w:cs="Times New Roman" w:eastAsia="Times New Roman" w:hint="default"/>
          <w:spacing w:val="-5"/>
          <w:sz w:val="21"/>
          <w:szCs w:val="21"/>
        </w:rPr>
        <w:t>6</w:t>
      </w: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2009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月，本公司之子公司沈阳东软信息技术服务有限公司出资</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500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万元设立大连 </w:t>
      </w:r>
      <w:r>
        <w:rPr>
          <w:rFonts w:ascii="宋体" w:hAnsi="宋体" w:cs="宋体" w:eastAsia="宋体" w:hint="default"/>
          <w:spacing w:val="-6"/>
          <w:sz w:val="21"/>
          <w:szCs w:val="21"/>
        </w:rPr>
        <w:t>东软商业流程咨询有限公司，持股比例</w:t>
      </w:r>
      <w:r>
        <w:rPr>
          <w:rFonts w:ascii="宋体" w:hAnsi="宋体" w:cs="宋体" w:eastAsia="宋体" w:hint="default"/>
          <w:spacing w:val="-47"/>
          <w:sz w:val="21"/>
          <w:szCs w:val="21"/>
        </w:rPr>
        <w:t> </w:t>
      </w:r>
      <w:r>
        <w:rPr>
          <w:rFonts w:ascii="Times New Roman" w:hAnsi="Times New Roman" w:cs="Times New Roman" w:eastAsia="Times New Roman" w:hint="default"/>
          <w:spacing w:val="-15"/>
          <w:sz w:val="21"/>
          <w:szCs w:val="21"/>
        </w:rPr>
        <w:t>100%</w:t>
      </w:r>
      <w:r>
        <w:rPr>
          <w:rFonts w:ascii="宋体" w:hAnsi="宋体" w:cs="宋体" w:eastAsia="宋体" w:hint="default"/>
          <w:spacing w:val="-15"/>
          <w:sz w:val="21"/>
          <w:szCs w:val="21"/>
        </w:rPr>
        <w:t>，自</w:t>
      </w:r>
      <w:r>
        <w:rPr>
          <w:rFonts w:ascii="宋体" w:hAnsi="宋体" w:cs="宋体" w:eastAsia="宋体" w:hint="default"/>
          <w:spacing w:val="-48"/>
          <w:sz w:val="21"/>
          <w:szCs w:val="21"/>
        </w:rPr>
        <w:t> </w:t>
      </w:r>
      <w:r>
        <w:rPr>
          <w:rFonts w:ascii="Times New Roman" w:hAnsi="Times New Roman" w:cs="Times New Roman" w:eastAsia="Times New Roman" w:hint="default"/>
          <w:spacing w:val="-1"/>
          <w:sz w:val="21"/>
          <w:szCs w:val="21"/>
        </w:rPr>
        <w:t>2009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pacing w:val="-1"/>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pacing w:val="-1"/>
          <w:sz w:val="21"/>
          <w:szCs w:val="21"/>
        </w:rPr>
        <w:t>月起将其纳入合并财务报表范围。</w:t>
      </w:r>
    </w:p>
    <w:p>
      <w:pPr>
        <w:spacing w:line="240" w:lineRule="auto" w:before="1"/>
        <w:rPr>
          <w:rFonts w:ascii="宋体" w:hAnsi="宋体" w:cs="宋体" w:eastAsia="宋体" w:hint="default"/>
          <w:sz w:val="32"/>
          <w:szCs w:val="32"/>
        </w:rPr>
      </w:pPr>
    </w:p>
    <w:p>
      <w:pPr>
        <w:spacing w:line="331" w:lineRule="auto" w:before="0"/>
        <w:ind w:left="857" w:right="20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8"/>
          <w:sz w:val="21"/>
          <w:szCs w:val="21"/>
        </w:rPr>
        <w:t> </w:t>
      </w:r>
      <w:r>
        <w:rPr>
          <w:rFonts w:ascii="Times New Roman" w:hAnsi="Times New Roman" w:cs="Times New Roman" w:eastAsia="Times New Roman" w:hint="default"/>
          <w:spacing w:val="-5"/>
          <w:sz w:val="21"/>
          <w:szCs w:val="21"/>
        </w:rPr>
        <w:t>7</w:t>
      </w: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2009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月，本公司之子公司北京东软慧聚信息技术有限公司出资</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万元设立北京英 博睿智咨询有限公司，持股比例</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，自</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月起将其纳入合并财务报表范围。</w:t>
      </w:r>
    </w:p>
    <w:p>
      <w:pPr>
        <w:spacing w:line="240" w:lineRule="auto" w:before="1"/>
        <w:rPr>
          <w:rFonts w:ascii="宋体" w:hAnsi="宋体" w:cs="宋体" w:eastAsia="宋体" w:hint="default"/>
          <w:sz w:val="32"/>
          <w:szCs w:val="32"/>
        </w:rPr>
      </w:pPr>
    </w:p>
    <w:p>
      <w:pPr>
        <w:spacing w:line="331" w:lineRule="auto" w:before="0"/>
        <w:ind w:left="857" w:right="20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8"/>
          <w:sz w:val="21"/>
          <w:szCs w:val="21"/>
        </w:rPr>
        <w:t> </w:t>
      </w:r>
      <w:r>
        <w:rPr>
          <w:rFonts w:ascii="Times New Roman" w:hAnsi="Times New Roman" w:cs="Times New Roman" w:eastAsia="Times New Roman" w:hint="default"/>
          <w:spacing w:val="-5"/>
          <w:sz w:val="21"/>
          <w:szCs w:val="21"/>
        </w:rPr>
        <w:t>8</w:t>
      </w: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2009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月，本公司之子公司北京东软越通软件技术有限公司以</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299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万元购买北京源 越通软件技术有限公司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74%</w:t>
      </w:r>
      <w:r>
        <w:rPr>
          <w:rFonts w:ascii="宋体" w:hAnsi="宋体" w:cs="宋体" w:eastAsia="宋体" w:hint="default"/>
          <w:sz w:val="21"/>
          <w:szCs w:val="21"/>
        </w:rPr>
        <w:t>的股权，自</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月起将其纳入合并报表范围。</w:t>
      </w:r>
    </w:p>
    <w:p>
      <w:pPr>
        <w:spacing w:line="240" w:lineRule="auto" w:before="1"/>
        <w:rPr>
          <w:rFonts w:ascii="宋体" w:hAnsi="宋体" w:cs="宋体" w:eastAsia="宋体" w:hint="default"/>
          <w:sz w:val="32"/>
          <w:szCs w:val="32"/>
        </w:rPr>
      </w:pPr>
    </w:p>
    <w:p>
      <w:pPr>
        <w:spacing w:line="331" w:lineRule="auto" w:before="0"/>
        <w:ind w:left="857" w:right="206" w:firstLine="0"/>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47"/>
          <w:sz w:val="21"/>
          <w:szCs w:val="21"/>
        </w:rPr>
        <w:t> </w:t>
      </w:r>
      <w:r>
        <w:rPr>
          <w:rFonts w:ascii="Times New Roman" w:hAnsi="Times New Roman" w:cs="Times New Roman" w:eastAsia="Times New Roman" w:hint="default"/>
          <w:spacing w:val="-11"/>
          <w:sz w:val="21"/>
          <w:szCs w:val="21"/>
        </w:rPr>
        <w:t>9</w:t>
      </w:r>
      <w:r>
        <w:rPr>
          <w:rFonts w:ascii="宋体" w:hAnsi="宋体" w:cs="宋体" w:eastAsia="宋体" w:hint="default"/>
          <w:spacing w:val="-11"/>
          <w:sz w:val="21"/>
          <w:szCs w:val="21"/>
        </w:rPr>
        <w:t>：</w:t>
      </w:r>
      <w:r>
        <w:rPr>
          <w:rFonts w:ascii="Times New Roman" w:hAnsi="Times New Roman" w:cs="Times New Roman" w:eastAsia="Times New Roman" w:hint="default"/>
          <w:spacing w:val="-11"/>
          <w:sz w:val="21"/>
          <w:szCs w:val="21"/>
        </w:rPr>
        <w:t>2009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pacing w:val="-10"/>
          <w:sz w:val="21"/>
          <w:szCs w:val="21"/>
        </w:rPr>
        <w:t>月，本公司之子公司东软（欧洲）有限公司（以下简称</w:t>
      </w:r>
      <w:r>
        <w:rPr>
          <w:rFonts w:ascii="Times New Roman" w:hAnsi="Times New Roman" w:cs="Times New Roman" w:eastAsia="Times New Roman" w:hint="default"/>
          <w:spacing w:val="-10"/>
          <w:sz w:val="21"/>
          <w:szCs w:val="21"/>
        </w:rPr>
        <w:t>“</w:t>
      </w:r>
      <w:r>
        <w:rPr>
          <w:rFonts w:ascii="宋体" w:hAnsi="宋体" w:cs="宋体" w:eastAsia="宋体" w:hint="default"/>
          <w:spacing w:val="-10"/>
          <w:sz w:val="21"/>
          <w:szCs w:val="21"/>
        </w:rPr>
        <w:t>东软欧洲</w:t>
      </w:r>
      <w:r>
        <w:rPr>
          <w:rFonts w:ascii="Times New Roman" w:hAnsi="Times New Roman" w:cs="Times New Roman" w:eastAsia="Times New Roman" w:hint="default"/>
          <w:spacing w:val="-10"/>
          <w:sz w:val="21"/>
          <w:szCs w:val="21"/>
        </w:rPr>
        <w:t>”</w:t>
      </w:r>
      <w:r>
        <w:rPr>
          <w:rFonts w:ascii="宋体" w:hAnsi="宋体" w:cs="宋体" w:eastAsia="宋体" w:hint="default"/>
          <w:spacing w:val="-10"/>
          <w:sz w:val="21"/>
          <w:szCs w:val="21"/>
        </w:rPr>
        <w:t>）购买</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Sesca</w:t>
      </w:r>
      <w:r>
        <w:rPr>
          <w:rFonts w:ascii="Times New Roman" w:hAnsi="Times New Roman" w:cs="Times New Roman" w:eastAsia="Times New Roman" w:hint="default"/>
          <w:spacing w:val="-51"/>
          <w:sz w:val="21"/>
          <w:szCs w:val="21"/>
        </w:rPr>
        <w:t> </w:t>
      </w:r>
      <w:r>
        <w:rPr>
          <w:rFonts w:ascii="Times New Roman" w:hAnsi="Times New Roman" w:cs="Times New Roman" w:eastAsia="Times New Roman" w:hint="default"/>
          <w:w w:val="99"/>
          <w:sz w:val="21"/>
          <w:szCs w:val="21"/>
        </w:rPr>
        <w:t>Mobile</w:t>
      </w:r>
      <w:r>
        <w:rPr>
          <w:rFonts w:ascii="Times New Roman" w:hAnsi="Times New Roman" w:cs="Times New Roman" w:eastAsia="Times New Roman" w:hint="default"/>
          <w:spacing w:val="4"/>
          <w:w w:val="99"/>
          <w:sz w:val="21"/>
          <w:szCs w:val="21"/>
        </w:rPr>
        <w:t> </w:t>
      </w:r>
      <w:r>
        <w:rPr>
          <w:rFonts w:ascii="Times New Roman" w:hAnsi="Times New Roman" w:cs="Times New Roman" w:eastAsia="Times New Roman" w:hint="default"/>
          <w:spacing w:val="-1"/>
          <w:w w:val="99"/>
          <w:sz w:val="21"/>
          <w:szCs w:val="21"/>
        </w:rPr>
        <w:t>Software</w:t>
      </w:r>
      <w:r>
        <w:rPr>
          <w:rFonts w:ascii="Times New Roman" w:hAnsi="Times New Roman" w:cs="Times New Roman" w:eastAsia="Times New Roman" w:hint="default"/>
          <w:spacing w:val="4"/>
          <w:w w:val="99"/>
          <w:sz w:val="21"/>
          <w:szCs w:val="21"/>
        </w:rPr>
        <w:t> </w:t>
      </w:r>
      <w:r>
        <w:rPr>
          <w:rFonts w:ascii="Times New Roman" w:hAnsi="Times New Roman" w:cs="Times New Roman" w:eastAsia="Times New Roman" w:hint="default"/>
          <w:spacing w:val="-12"/>
          <w:w w:val="99"/>
          <w:sz w:val="21"/>
          <w:szCs w:val="21"/>
        </w:rPr>
        <w:t>Oy</w:t>
      </w:r>
      <w:r>
        <w:rPr>
          <w:rFonts w:ascii="宋体" w:hAnsi="宋体" w:cs="宋体" w:eastAsia="宋体" w:hint="default"/>
          <w:spacing w:val="-12"/>
          <w:w w:val="99"/>
          <w:sz w:val="21"/>
          <w:szCs w:val="21"/>
        </w:rPr>
        <w:t>（后更名为</w:t>
      </w:r>
      <w:r>
        <w:rPr>
          <w:rFonts w:ascii="宋体" w:hAnsi="宋体" w:cs="宋体" w:eastAsia="宋体" w:hint="default"/>
          <w:spacing w:val="-49"/>
          <w:w w:val="99"/>
          <w:sz w:val="21"/>
          <w:szCs w:val="21"/>
        </w:rPr>
        <w:t> </w:t>
      </w:r>
      <w:r>
        <w:rPr>
          <w:rFonts w:ascii="Times New Roman" w:hAnsi="Times New Roman" w:cs="Times New Roman" w:eastAsia="Times New Roman" w:hint="default"/>
          <w:spacing w:val="-1"/>
          <w:w w:val="99"/>
          <w:sz w:val="21"/>
          <w:szCs w:val="21"/>
        </w:rPr>
        <w:t>Neusoft</w:t>
      </w:r>
      <w:r>
        <w:rPr>
          <w:rFonts w:ascii="Times New Roman" w:hAnsi="Times New Roman" w:cs="Times New Roman" w:eastAsia="Times New Roman" w:hint="default"/>
          <w:spacing w:val="3"/>
          <w:w w:val="99"/>
          <w:sz w:val="21"/>
          <w:szCs w:val="21"/>
        </w:rPr>
        <w:t> </w:t>
      </w:r>
      <w:r>
        <w:rPr>
          <w:rFonts w:ascii="Times New Roman" w:hAnsi="Times New Roman" w:cs="Times New Roman" w:eastAsia="Times New Roman" w:hint="default"/>
          <w:spacing w:val="-1"/>
          <w:sz w:val="21"/>
          <w:szCs w:val="21"/>
        </w:rPr>
        <w:t>Mobile</w:t>
      </w:r>
      <w:r>
        <w:rPr>
          <w:rFonts w:ascii="Times New Roman" w:hAnsi="Times New Roman" w:cs="Times New Roman" w:eastAsia="Times New Roman" w:hint="default"/>
          <w:spacing w:val="4"/>
          <w:sz w:val="21"/>
          <w:szCs w:val="21"/>
        </w:rPr>
        <w:t> </w:t>
      </w:r>
      <w:r>
        <w:rPr>
          <w:rFonts w:ascii="Times New Roman" w:hAnsi="Times New Roman" w:cs="Times New Roman" w:eastAsia="Times New Roman" w:hint="default"/>
          <w:spacing w:val="-1"/>
          <w:w w:val="99"/>
          <w:sz w:val="21"/>
          <w:szCs w:val="21"/>
        </w:rPr>
        <w:t>Solutions</w:t>
      </w:r>
      <w:r>
        <w:rPr>
          <w:rFonts w:ascii="Times New Roman" w:hAnsi="Times New Roman" w:cs="Times New Roman" w:eastAsia="Times New Roman" w:hint="default"/>
          <w:spacing w:val="4"/>
          <w:w w:val="99"/>
          <w:sz w:val="21"/>
          <w:szCs w:val="21"/>
        </w:rPr>
        <w:t> </w:t>
      </w:r>
      <w:r>
        <w:rPr>
          <w:rFonts w:ascii="Times New Roman" w:hAnsi="Times New Roman" w:cs="Times New Roman" w:eastAsia="Times New Roman" w:hint="default"/>
          <w:spacing w:val="-18"/>
          <w:w w:val="99"/>
          <w:sz w:val="21"/>
          <w:szCs w:val="21"/>
        </w:rPr>
        <w:t>Oy</w:t>
      </w:r>
      <w:r>
        <w:rPr>
          <w:rFonts w:ascii="宋体" w:hAnsi="宋体" w:cs="宋体" w:eastAsia="宋体" w:hint="default"/>
          <w:spacing w:val="-18"/>
          <w:w w:val="99"/>
          <w:sz w:val="21"/>
          <w:szCs w:val="21"/>
        </w:rPr>
        <w:t>）、</w:t>
      </w:r>
      <w:r>
        <w:rPr>
          <w:rFonts w:ascii="Times New Roman" w:hAnsi="Times New Roman" w:cs="Times New Roman" w:eastAsia="Times New Roman" w:hint="default"/>
          <w:spacing w:val="-18"/>
          <w:w w:val="99"/>
          <w:sz w:val="21"/>
          <w:szCs w:val="21"/>
        </w:rPr>
        <w:t>Almitas</w:t>
      </w:r>
      <w:r>
        <w:rPr>
          <w:rFonts w:ascii="Times New Roman" w:hAnsi="Times New Roman" w:cs="Times New Roman" w:eastAsia="Times New Roman" w:hint="default"/>
          <w:spacing w:val="4"/>
          <w:w w:val="99"/>
          <w:sz w:val="21"/>
          <w:szCs w:val="21"/>
        </w:rPr>
        <w:t> </w:t>
      </w:r>
      <w:r>
        <w:rPr>
          <w:rFonts w:ascii="Times New Roman" w:hAnsi="Times New Roman" w:cs="Times New Roman" w:eastAsia="Times New Roman" w:hint="default"/>
          <w:spacing w:val="-1"/>
          <w:w w:val="99"/>
          <w:sz w:val="21"/>
          <w:szCs w:val="21"/>
        </w:rPr>
        <w:t>Oy</w:t>
      </w:r>
      <w:r>
        <w:rPr>
          <w:rFonts w:ascii="Times New Roman" w:hAnsi="Times New Roman" w:cs="Times New Roman" w:eastAsia="Times New Roman" w:hint="default"/>
          <w:spacing w:val="8"/>
          <w:w w:val="99"/>
          <w:sz w:val="21"/>
          <w:szCs w:val="21"/>
        </w:rPr>
        <w:t> </w:t>
      </w:r>
      <w:r>
        <w:rPr>
          <w:rFonts w:ascii="宋体" w:hAnsi="宋体" w:cs="宋体" w:eastAsia="宋体" w:hint="default"/>
          <w:w w:val="99"/>
          <w:sz w:val="21"/>
          <w:szCs w:val="21"/>
        </w:rPr>
        <w:t>和</w:t>
      </w:r>
      <w:r>
        <w:rPr>
          <w:rFonts w:ascii="宋体" w:hAnsi="宋体" w:cs="宋体" w:eastAsia="宋体" w:hint="default"/>
          <w:spacing w:val="-49"/>
          <w:w w:val="99"/>
          <w:sz w:val="21"/>
          <w:szCs w:val="21"/>
        </w:rPr>
        <w:t> </w:t>
      </w:r>
      <w:r>
        <w:rPr>
          <w:rFonts w:ascii="Times New Roman" w:hAnsi="Times New Roman" w:cs="Times New Roman" w:eastAsia="Times New Roman" w:hint="default"/>
          <w:spacing w:val="-1"/>
          <w:w w:val="99"/>
          <w:sz w:val="21"/>
          <w:szCs w:val="21"/>
        </w:rPr>
        <w:t>Sesca</w:t>
      </w:r>
      <w:r>
        <w:rPr>
          <w:rFonts w:ascii="Times New Roman" w:hAnsi="Times New Roman" w:cs="Times New Roman" w:eastAsia="Times New Roman" w:hint="default"/>
          <w:w w:val="99"/>
          <w:sz w:val="21"/>
          <w:szCs w:val="21"/>
        </w:rPr>
        <w:t> </w:t>
      </w:r>
      <w:r>
        <w:rPr>
          <w:rFonts w:ascii="Times New Roman" w:hAnsi="Times New Roman" w:cs="Times New Roman" w:eastAsia="Times New Roman" w:hint="default"/>
          <w:spacing w:val="-2"/>
          <w:w w:val="99"/>
          <w:sz w:val="21"/>
          <w:szCs w:val="21"/>
        </w:rPr>
        <w:t>Technologies</w:t>
      </w:r>
      <w:r>
        <w:rPr>
          <w:rFonts w:ascii="Times New Roman" w:hAnsi="Times New Roman" w:cs="Times New Roman" w:eastAsia="Times New Roman" w:hint="default"/>
          <w:spacing w:val="-51"/>
          <w:w w:val="99"/>
          <w:sz w:val="21"/>
          <w:szCs w:val="21"/>
        </w:rPr>
        <w:t> </w:t>
      </w:r>
      <w:r>
        <w:rPr>
          <w:rFonts w:ascii="Times New Roman" w:hAnsi="Times New Roman" w:cs="Times New Roman" w:eastAsia="Times New Roman" w:hint="default"/>
          <w:spacing w:val="-51"/>
          <w:w w:val="99"/>
          <w:sz w:val="21"/>
          <w:szCs w:val="21"/>
        </w:rPr>
      </w:r>
      <w:r>
        <w:rPr>
          <w:rFonts w:ascii="Times New Roman" w:hAnsi="Times New Roman" w:cs="Times New Roman" w:eastAsia="Times New Roman" w:hint="default"/>
          <w:sz w:val="21"/>
          <w:szCs w:val="21"/>
        </w:rPr>
        <w:t>SRL</w:t>
      </w:r>
      <w:r>
        <w:rPr>
          <w:rFonts w:ascii="宋体" w:hAnsi="宋体" w:cs="宋体" w:eastAsia="宋体" w:hint="default"/>
          <w:sz w:val="21"/>
          <w:szCs w:val="21"/>
        </w:rPr>
        <w:t>（后更名为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Neusoft</w:t>
      </w:r>
      <w:r>
        <w:rPr>
          <w:rFonts w:ascii="Times New Roman" w:hAnsi="Times New Roman" w:cs="Times New Roman" w:eastAsia="Times New Roman" w:hint="default"/>
          <w:spacing w:val="9"/>
          <w:sz w:val="21"/>
          <w:szCs w:val="21"/>
        </w:rPr>
        <w:t> </w:t>
      </w:r>
      <w:r>
        <w:rPr>
          <w:rFonts w:ascii="Times New Roman" w:hAnsi="Times New Roman" w:cs="Times New Roman" w:eastAsia="Times New Roman" w:hint="default"/>
          <w:sz w:val="21"/>
          <w:szCs w:val="21"/>
        </w:rPr>
        <w:t>Mobile</w:t>
      </w:r>
      <w:r>
        <w:rPr>
          <w:rFonts w:ascii="Times New Roman" w:hAnsi="Times New Roman" w:cs="Times New Roman" w:eastAsia="Times New Roman" w:hint="default"/>
          <w:spacing w:val="9"/>
          <w:sz w:val="21"/>
          <w:szCs w:val="21"/>
        </w:rPr>
        <w:t> </w:t>
      </w:r>
      <w:r>
        <w:rPr>
          <w:rFonts w:ascii="Times New Roman" w:hAnsi="Times New Roman" w:cs="Times New Roman" w:eastAsia="Times New Roman" w:hint="default"/>
          <w:sz w:val="21"/>
          <w:szCs w:val="21"/>
        </w:rPr>
        <w:t>Solutions</w:t>
      </w:r>
      <w:r>
        <w:rPr>
          <w:rFonts w:ascii="Times New Roman" w:hAnsi="Times New Roman" w:cs="Times New Roman" w:eastAsia="Times New Roman" w:hint="default"/>
          <w:spacing w:val="9"/>
          <w:sz w:val="21"/>
          <w:szCs w:val="21"/>
        </w:rPr>
        <w:t> </w:t>
      </w:r>
      <w:r>
        <w:rPr>
          <w:rFonts w:ascii="Times New Roman" w:hAnsi="Times New Roman" w:cs="Times New Roman" w:eastAsia="Times New Roman" w:hint="default"/>
          <w:sz w:val="21"/>
          <w:szCs w:val="21"/>
        </w:rPr>
        <w:t>SRL</w:t>
      </w:r>
      <w:r>
        <w:rPr>
          <w:rFonts w:ascii="宋体" w:hAnsi="宋体" w:cs="宋体" w:eastAsia="宋体" w:hint="default"/>
          <w:sz w:val="21"/>
          <w:szCs w:val="21"/>
        </w:rPr>
        <w:t>）三家公司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的股权，交易对价共</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万欧 元，同时交易双方约定了总共不超过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万欧元的追加对价，即东软欧洲在该交易事项中支</w:t>
      </w:r>
    </w:p>
    <w:p>
      <w:pPr>
        <w:spacing w:before="21"/>
        <w:ind w:left="857" w:right="0" w:firstLine="0"/>
        <w:jc w:val="both"/>
        <w:rPr>
          <w:rFonts w:ascii="宋体" w:hAnsi="宋体" w:cs="宋体" w:eastAsia="宋体" w:hint="default"/>
          <w:sz w:val="21"/>
          <w:szCs w:val="21"/>
        </w:rPr>
      </w:pPr>
      <w:r>
        <w:rPr>
          <w:rFonts w:ascii="宋体" w:hAnsi="宋体" w:cs="宋体" w:eastAsia="宋体" w:hint="default"/>
          <w:sz w:val="21"/>
          <w:szCs w:val="21"/>
        </w:rPr>
        <w:t>付的对价总额最多不超过</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万欧元。交易双方于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日完成交割，本集团自</w:t>
      </w:r>
    </w:p>
    <w:p>
      <w:pPr>
        <w:spacing w:before="109"/>
        <w:ind w:left="857"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月起将其纳入合并报表范围。具体情况可参见本附注十、承诺事项。</w:t>
      </w:r>
    </w:p>
    <w:p>
      <w:pPr>
        <w:spacing w:before="109"/>
        <w:ind w:left="857" w:right="0" w:firstLine="0"/>
        <w:jc w:val="both"/>
        <w:rPr>
          <w:rFonts w:ascii="宋体" w:hAnsi="宋体" w:cs="宋体" w:eastAsia="宋体" w:hint="default"/>
          <w:sz w:val="21"/>
          <w:szCs w:val="21"/>
        </w:rPr>
      </w:pPr>
      <w:r>
        <w:rPr>
          <w:rFonts w:ascii="宋体"/>
          <w:sz w:val="21"/>
        </w:rPr>
        <w:t> </w:t>
      </w:r>
    </w:p>
    <w:p>
      <w:pPr>
        <w:spacing w:before="126"/>
        <w:ind w:left="857" w:right="0" w:firstLine="0"/>
        <w:jc w:val="both"/>
        <w:rPr>
          <w:rFonts w:ascii="宋体" w:hAnsi="宋体" w:cs="宋体" w:eastAsia="宋体" w:hint="default"/>
          <w:sz w:val="21"/>
          <w:szCs w:val="21"/>
        </w:rPr>
      </w:pPr>
      <w:r>
        <w:rPr>
          <w:rFonts w:ascii="宋体" w:hAnsi="宋体" w:cs="宋体" w:eastAsia="宋体" w:hint="default"/>
          <w:sz w:val="21"/>
          <w:szCs w:val="21"/>
        </w:rPr>
        <w:t>2、 </w:t>
      </w:r>
      <w:r>
        <w:rPr>
          <w:rFonts w:ascii="宋体" w:hAnsi="宋体" w:cs="宋体" w:eastAsia="宋体" w:hint="default"/>
          <w:spacing w:val="22"/>
          <w:sz w:val="21"/>
          <w:szCs w:val="21"/>
        </w:rPr>
        <w:t> </w:t>
      </w:r>
      <w:r>
        <w:rPr>
          <w:rFonts w:ascii="宋体" w:hAnsi="宋体" w:cs="宋体" w:eastAsia="宋体" w:hint="default"/>
          <w:sz w:val="21"/>
          <w:szCs w:val="21"/>
        </w:rPr>
        <w:t>本期不再纳入合并范围的子公司 </w:t>
      </w:r>
    </w:p>
    <w:p>
      <w:pPr>
        <w:spacing w:line="240" w:lineRule="auto" w:before="5"/>
        <w:rPr>
          <w:rFonts w:ascii="宋体" w:hAnsi="宋体" w:cs="宋体" w:eastAsia="宋体" w:hint="default"/>
          <w:sz w:val="2"/>
          <w:szCs w:val="2"/>
        </w:rPr>
      </w:pPr>
    </w:p>
    <w:p>
      <w:pPr>
        <w:spacing w:line="849" w:lineRule="exact"/>
        <w:ind w:left="725"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31.7pt;height:42.5pt;mso-position-horizontal-relative:char;mso-position-vertical-relative:line" coordorigin="0,0" coordsize="8634,850">
            <v:group style="position:absolute;left:24;top:10;width:3087;height:2" coordorigin="24,10" coordsize="3087,2">
              <v:shape style="position:absolute;left:24;top:10;width:3087;height:2" coordorigin="24,10" coordsize="3087,0" path="m24,10l3110,10e" filled="false" stroked="true" strokeweight=".95999pt" strokecolor="#000000">
                <v:path arrowok="t"/>
              </v:shape>
            </v:group>
            <v:group style="position:absolute;left:3110;top:10;width:2676;height:2" coordorigin="3110,10" coordsize="2676,2">
              <v:shape style="position:absolute;left:3110;top:10;width:2676;height:2" coordorigin="3110,10" coordsize="2676,0" path="m3110,10l5786,10e" filled="false" stroked="true" strokeweight=".95999pt" strokecolor="#000000">
                <v:path arrowok="t"/>
              </v:shape>
            </v:group>
            <v:group style="position:absolute;left:5786;top:10;width:2831;height:2" coordorigin="5786,10" coordsize="2831,2">
              <v:shape style="position:absolute;left:5786;top:10;width:2831;height:2" coordorigin="5786,10" coordsize="2831,0" path="m5786,10l8617,10e" filled="false" stroked="true" strokeweight=".95999pt" strokecolor="#000000">
                <v:path arrowok="t"/>
              </v:shape>
            </v:group>
            <v:group style="position:absolute;left:10;top:840;width:3101;height:2" coordorigin="10,840" coordsize="3101,2">
              <v:shape style="position:absolute;left:10;top:840;width:3101;height:2" coordorigin="10,840" coordsize="3101,0" path="m10,840l3110,840e" filled="false" stroked="true" strokeweight=".96001pt" strokecolor="#000000">
                <v:path arrowok="t"/>
              </v:shape>
            </v:group>
            <v:group style="position:absolute;left:3110;top:840;width:2676;height:2" coordorigin="3110,840" coordsize="2676,2">
              <v:shape style="position:absolute;left:3110;top:840;width:2676;height:2" coordorigin="3110,840" coordsize="2676,0" path="m3110,840l5786,840e" filled="false" stroked="true" strokeweight=".96001pt" strokecolor="#000000">
                <v:path arrowok="t"/>
              </v:shape>
              <v:shape style="position:absolute;left:24;top:19;width:8604;height:811" type="#_x0000_t75" stroked="false">
                <v:imagedata r:id="rId44" o:title=""/>
              </v:shape>
            </v:group>
            <v:group style="position:absolute;left:5786;top:840;width:2838;height:2" coordorigin="5786,840" coordsize="2838,2">
              <v:shape style="position:absolute;left:5786;top:840;width:2838;height:2" coordorigin="5786,840" coordsize="2838,0" path="m5786,840l8624,840e" filled="false" stroked="true" strokeweight=".96001pt" strokecolor="#000000">
                <v:path arrowok="t"/>
              </v:shape>
              <v:shape style="position:absolute;left:132;top:178;width:2100;height:620" type="#_x0000_t202" filled="false" stroked="false">
                <v:textbox inset="0,0,0,0">
                  <w:txbxContent>
                    <w:p>
                      <w:pPr>
                        <w:spacing w:line="210" w:lineRule="exact" w:before="0"/>
                        <w:ind w:left="1017" w:right="0" w:firstLine="0"/>
                        <w:jc w:val="left"/>
                        <w:rPr>
                          <w:rFonts w:ascii="宋体" w:hAnsi="宋体" w:cs="宋体" w:eastAsia="宋体" w:hint="default"/>
                          <w:sz w:val="21"/>
                          <w:szCs w:val="21"/>
                        </w:rPr>
                      </w:pPr>
                      <w:r>
                        <w:rPr>
                          <w:rFonts w:ascii="宋体" w:hAnsi="宋体" w:cs="宋体" w:eastAsia="宋体" w:hint="default"/>
                          <w:sz w:val="21"/>
                          <w:szCs w:val="21"/>
                        </w:rPr>
                        <w:t>名    称</w:t>
                      </w:r>
                    </w:p>
                    <w:p>
                      <w:pPr>
                        <w:spacing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东软（美国）有限公司</w:t>
                      </w:r>
                    </w:p>
                  </w:txbxContent>
                </v:textbox>
                <w10:wrap type="none"/>
              </v:shape>
              <v:shape style="position:absolute;left:3823;top:17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处置日净资产</w:t>
                      </w:r>
                    </w:p>
                  </w:txbxContent>
                </v:textbox>
                <w10:wrap type="none"/>
              </v:shape>
              <v:shape style="position:absolute;left:6263;top:178;width:189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期初至处置日净利润</w:t>
                      </w:r>
                    </w:p>
                  </w:txbxContent>
                </v:textbox>
                <w10:wrap type="none"/>
              </v:shape>
              <v:shape style="position:absolute;left:5105;top:613;width:57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84,882</w:t>
                      </w:r>
                    </w:p>
                  </w:txbxContent>
                </v:textbox>
                <w10:wrap type="none"/>
              </v:shape>
              <v:shape style="position:absolute;left:7868;top:613;width:649;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-89,745</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tabs>
          <w:tab w:pos="853" w:val="left" w:leader="none"/>
        </w:tabs>
        <w:spacing w:before="35"/>
        <w:ind w:left="125" w:right="0" w:firstLine="0"/>
        <w:jc w:val="left"/>
        <w:rPr>
          <w:rFonts w:ascii="宋体" w:hAnsi="宋体" w:cs="宋体" w:eastAsia="宋体" w:hint="default"/>
          <w:sz w:val="21"/>
          <w:szCs w:val="21"/>
        </w:rPr>
      </w:pPr>
      <w:r>
        <w:rPr>
          <w:rFonts w:ascii="宋体" w:hAnsi="宋体" w:cs="宋体" w:eastAsia="宋体" w:hint="default"/>
          <w:sz w:val="21"/>
          <w:szCs w:val="21"/>
        </w:rPr>
        <w:t>(五)</w:t>
        <w:tab/>
        <w:t>本期无同一控制下的企业合并 </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before="0"/>
        <w:ind w:left="125" w:right="0" w:firstLine="0"/>
        <w:jc w:val="left"/>
        <w:rPr>
          <w:rFonts w:ascii="宋体" w:hAnsi="宋体" w:cs="宋体" w:eastAsia="宋体" w:hint="default"/>
          <w:sz w:val="21"/>
          <w:szCs w:val="21"/>
        </w:rPr>
      </w:pPr>
      <w:r>
        <w:rPr>
          <w:rFonts w:ascii="宋体"/>
          <w:sz w:val="21"/>
        </w:rPr>
        <w:t> </w:t>
      </w:r>
    </w:p>
    <w:p>
      <w:pPr>
        <w:spacing w:before="126"/>
        <w:ind w:left="125" w:right="0" w:firstLine="0"/>
        <w:jc w:val="left"/>
        <w:rPr>
          <w:rFonts w:ascii="宋体" w:hAnsi="宋体" w:cs="宋体" w:eastAsia="宋体" w:hint="default"/>
          <w:sz w:val="21"/>
          <w:szCs w:val="21"/>
        </w:rPr>
      </w:pPr>
      <w:r>
        <w:rPr>
          <w:rFonts w:ascii="宋体"/>
          <w:sz w:val="21"/>
        </w:rPr>
        <w:t> </w:t>
      </w:r>
    </w:p>
    <w:p>
      <w:pPr>
        <w:spacing w:before="125"/>
        <w:ind w:left="125" w:right="0" w:firstLine="0"/>
        <w:jc w:val="left"/>
        <w:rPr>
          <w:rFonts w:ascii="宋体" w:hAnsi="宋体" w:cs="宋体" w:eastAsia="宋体" w:hint="default"/>
          <w:sz w:val="21"/>
          <w:szCs w:val="21"/>
        </w:rPr>
      </w:pPr>
      <w:r>
        <w:rPr>
          <w:rFonts w:ascii="宋体"/>
          <w:sz w:val="21"/>
        </w:rPr>
        <w:t> </w:t>
      </w:r>
    </w:p>
    <w:p>
      <w:pPr>
        <w:spacing w:after="0"/>
        <w:jc w:val="left"/>
        <w:rPr>
          <w:rFonts w:ascii="宋体" w:hAnsi="宋体" w:cs="宋体" w:eastAsia="宋体" w:hint="default"/>
          <w:sz w:val="21"/>
          <w:szCs w:val="21"/>
        </w:rPr>
        <w:sectPr>
          <w:pgSz w:w="11900" w:h="16840"/>
          <w:pgMar w:header="883" w:footer="1003" w:top="1600" w:bottom="1200" w:left="1300" w:right="1080"/>
        </w:sectPr>
      </w:pPr>
    </w:p>
    <w:p>
      <w:pPr>
        <w:tabs>
          <w:tab w:pos="2153" w:val="left" w:leader="none"/>
        </w:tabs>
        <w:spacing w:before="93"/>
        <w:ind w:left="1425" w:right="4512" w:firstLine="0"/>
        <w:jc w:val="left"/>
        <w:rPr>
          <w:rFonts w:ascii="宋体" w:hAnsi="宋体" w:cs="宋体" w:eastAsia="宋体" w:hint="default"/>
          <w:sz w:val="21"/>
          <w:szCs w:val="21"/>
        </w:rPr>
      </w:pPr>
      <w:r>
        <w:rPr>
          <w:rFonts w:ascii="宋体" w:hAnsi="宋体" w:cs="宋体" w:eastAsia="宋体" w:hint="default"/>
          <w:sz w:val="21"/>
          <w:szCs w:val="21"/>
        </w:rPr>
        <w:t>(六)</w:t>
        <w:tab/>
        <w:t>本期发生的非同一控制下企业合并 </w:t>
      </w:r>
    </w:p>
    <w:p>
      <w:pPr>
        <w:spacing w:line="240" w:lineRule="auto" w:before="7"/>
        <w:rPr>
          <w:rFonts w:ascii="宋体" w:hAnsi="宋体" w:cs="宋体" w:eastAsia="宋体" w:hint="default"/>
          <w:sz w:val="2"/>
          <w:szCs w:val="2"/>
        </w:rPr>
      </w:pPr>
    </w:p>
    <w:p>
      <w:pPr>
        <w:spacing w:line="3679" w:lineRule="exact"/>
        <w:ind w:left="2025" w:right="0" w:firstLine="0"/>
        <w:rPr>
          <w:rFonts w:ascii="宋体" w:hAnsi="宋体" w:cs="宋体" w:eastAsia="宋体" w:hint="default"/>
          <w:sz w:val="20"/>
          <w:szCs w:val="20"/>
        </w:rPr>
      </w:pPr>
      <w:r>
        <w:rPr>
          <w:rFonts w:ascii="宋体" w:hAnsi="宋体" w:cs="宋体" w:eastAsia="宋体" w:hint="default"/>
          <w:position w:val="-73"/>
          <w:sz w:val="20"/>
          <w:szCs w:val="20"/>
        </w:rPr>
        <w:pict>
          <v:group style="width:431.05pt;height:184pt;mso-position-horizontal-relative:char;mso-position-vertical-relative:line" coordorigin="0,0" coordsize="8621,3680">
            <v:group style="position:absolute;left:24;top:10;width:2648;height:2" coordorigin="24,10" coordsize="2648,2">
              <v:shape style="position:absolute;left:24;top:10;width:2648;height:2" coordorigin="24,10" coordsize="2648,0" path="m24,10l2671,10e" filled="false" stroked="true" strokeweight=".95996pt" strokecolor="#000000">
                <v:path arrowok="t"/>
              </v:shape>
            </v:group>
            <v:group style="position:absolute;left:2671;top:10;width:1050;height:2" coordorigin="2671,10" coordsize="1050,2">
              <v:shape style="position:absolute;left:2671;top:10;width:1050;height:2" coordorigin="2671,10" coordsize="1050,0" path="m2671,10l3721,10e" filled="false" stroked="true" strokeweight=".95996pt" strokecolor="#000000">
                <v:path arrowok="t"/>
              </v:shape>
            </v:group>
            <v:group style="position:absolute;left:3721;top:10;width:4883;height:2" coordorigin="3721,10" coordsize="4883,2">
              <v:shape style="position:absolute;left:3721;top:10;width:4883;height:2" coordorigin="3721,10" coordsize="4883,0" path="m3721,10l8604,10e" filled="false" stroked="true" strokeweight=".95996pt" strokecolor="#000000">
                <v:path arrowok="t"/>
              </v:shape>
            </v:group>
            <v:group style="position:absolute;left:10;top:3670;width:2662;height:2" coordorigin="10,3670" coordsize="2662,2">
              <v:shape style="position:absolute;left:10;top:3670;width:2662;height:2" coordorigin="10,3670" coordsize="2662,0" path="m10,3670l2671,3670e" filled="false" stroked="true" strokeweight=".96002pt" strokecolor="#000000">
                <v:path arrowok="t"/>
              </v:shape>
            </v:group>
            <v:group style="position:absolute;left:2671;top:3670;width:1050;height:2" coordorigin="2671,3670" coordsize="1050,2">
              <v:shape style="position:absolute;left:2671;top:3670;width:1050;height:2" coordorigin="2671,3670" coordsize="1050,0" path="m2671,3670l3721,3670e" filled="false" stroked="true" strokeweight=".96002pt" strokecolor="#000000">
                <v:path arrowok="t"/>
              </v:shape>
              <v:shape style="position:absolute;left:24;top:19;width:8593;height:3641" type="#_x0000_t75" stroked="false">
                <v:imagedata r:id="rId45" o:title=""/>
              </v:shape>
            </v:group>
            <v:group style="position:absolute;left:3721;top:3670;width:4890;height:2" coordorigin="3721,3670" coordsize="4890,2">
              <v:shape style="position:absolute;left:3721;top:3670;width:4890;height:2" coordorigin="3721,3670" coordsize="4890,0" path="m3721,3670l8611,3670e" filled="false" stroked="true" strokeweight=".96002pt" strokecolor="#000000">
                <v:path arrowok="t"/>
              </v:shape>
              <v:shape style="position:absolute;left:990;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被合并方</w:t>
                      </w:r>
                    </w:p>
                  </w:txbxContent>
                </v:textbox>
                <w10:wrap type="none"/>
              </v:shape>
              <v:shape style="position:absolute;left:2840;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商誉金额</w:t>
                      </w:r>
                    </w:p>
                  </w:txbxContent>
                </v:textbox>
                <w10:wrap type="none"/>
              </v:shape>
              <v:shape style="position:absolute;left:3834;top:213;width:4671;height:60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商誉计算方法</w:t>
                      </w:r>
                    </w:p>
                    <w:p>
                      <w:pPr>
                        <w:spacing w:line="240" w:lineRule="auto" w:before="4"/>
                        <w:rPr>
                          <w:rFonts w:ascii="宋体" w:hAnsi="宋体" w:cs="宋体" w:eastAsia="宋体" w:hint="default"/>
                          <w:sz w:val="13"/>
                          <w:szCs w:val="13"/>
                        </w:rPr>
                      </w:pPr>
                    </w:p>
                    <w:p>
                      <w:pPr>
                        <w:spacing w:line="245"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商誉</w:t>
                      </w:r>
                      <w:r>
                        <w:rPr>
                          <w:rFonts w:ascii="Times New Roman" w:hAnsi="Times New Roman" w:cs="Times New Roman" w:eastAsia="Times New Roman" w:hint="default"/>
                          <w:sz w:val="18"/>
                          <w:szCs w:val="18"/>
                        </w:rPr>
                        <w:t>=</w:t>
                      </w:r>
                      <w:r>
                        <w:rPr>
                          <w:rFonts w:ascii="宋体" w:hAnsi="宋体" w:cs="宋体" w:eastAsia="宋体" w:hint="default"/>
                          <w:sz w:val="18"/>
                          <w:szCs w:val="18"/>
                        </w:rPr>
                        <w:t>企业合并成本</w:t>
                      </w:r>
                      <w:r>
                        <w:rPr>
                          <w:rFonts w:ascii="Times New Roman" w:hAnsi="Times New Roman" w:cs="Times New Roman" w:eastAsia="Times New Roman" w:hint="default"/>
                          <w:sz w:val="18"/>
                          <w:szCs w:val="18"/>
                        </w:rPr>
                        <w:t>-</w:t>
                      </w:r>
                      <w:r>
                        <w:rPr>
                          <w:rFonts w:ascii="宋体" w:hAnsi="宋体" w:cs="宋体" w:eastAsia="宋体" w:hint="default"/>
                          <w:sz w:val="18"/>
                          <w:szCs w:val="18"/>
                        </w:rPr>
                        <w:t>合并中取得被购买方可辨认净资产公允</w:t>
                      </w:r>
                    </w:p>
                  </w:txbxContent>
                </v:textbox>
                <w10:wrap type="none"/>
              </v:shape>
              <v:shape style="position:absolute;left:132;top:822;width:3485;height:200" type="#_x0000_t202" filled="false" stroked="false">
                <v:textbox inset="0,0,0,0">
                  <w:txbxContent>
                    <w:p>
                      <w:pPr>
                        <w:tabs>
                          <w:tab w:pos="2763" w:val="left" w:leader="none"/>
                        </w:tabs>
                        <w:spacing w:line="199"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北京源越通软件技术有限公司</w:t>
                        <w:tab/>
                      </w:r>
                      <w:r>
                        <w:rPr>
                          <w:rFonts w:ascii="Times New Roman" w:hAnsi="Times New Roman" w:cs="Times New Roman" w:eastAsia="Times New Roman" w:hint="default"/>
                          <w:sz w:val="18"/>
                          <w:szCs w:val="18"/>
                        </w:rPr>
                        <w:t>1,151,846</w:t>
                      </w:r>
                    </w:p>
                  </w:txbxContent>
                </v:textbox>
                <w10:wrap type="none"/>
              </v:shape>
              <v:shape style="position:absolute;left:3834;top:1021;width:4671;height:60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价值份额</w:t>
                      </w:r>
                    </w:p>
                    <w:p>
                      <w:pPr>
                        <w:spacing w:line="240" w:lineRule="auto" w:before="5"/>
                        <w:rPr>
                          <w:rFonts w:ascii="宋体" w:hAnsi="宋体" w:cs="宋体" w:eastAsia="宋体" w:hint="default"/>
                          <w:sz w:val="13"/>
                          <w:szCs w:val="13"/>
                        </w:rPr>
                      </w:pPr>
                    </w:p>
                    <w:p>
                      <w:pPr>
                        <w:spacing w:line="24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商誉</w:t>
                      </w:r>
                      <w:r>
                        <w:rPr>
                          <w:rFonts w:ascii="Times New Roman" w:hAnsi="Times New Roman" w:cs="Times New Roman" w:eastAsia="Times New Roman" w:hint="default"/>
                          <w:sz w:val="18"/>
                          <w:szCs w:val="18"/>
                        </w:rPr>
                        <w:t>=</w:t>
                      </w:r>
                      <w:r>
                        <w:rPr>
                          <w:rFonts w:ascii="宋体" w:hAnsi="宋体" w:cs="宋体" w:eastAsia="宋体" w:hint="default"/>
                          <w:sz w:val="18"/>
                          <w:szCs w:val="18"/>
                        </w:rPr>
                        <w:t>企业合并成本</w:t>
                      </w:r>
                      <w:r>
                        <w:rPr>
                          <w:rFonts w:ascii="Times New Roman" w:hAnsi="Times New Roman" w:cs="Times New Roman" w:eastAsia="Times New Roman" w:hint="default"/>
                          <w:sz w:val="18"/>
                          <w:szCs w:val="18"/>
                        </w:rPr>
                        <w:t>-</w:t>
                      </w:r>
                      <w:r>
                        <w:rPr>
                          <w:rFonts w:ascii="宋体" w:hAnsi="宋体" w:cs="宋体" w:eastAsia="宋体" w:hint="default"/>
                          <w:sz w:val="18"/>
                          <w:szCs w:val="18"/>
                        </w:rPr>
                        <w:t>合并中取得被购买方可辨认净资产公允</w:t>
                      </w:r>
                    </w:p>
                  </w:txbxContent>
                </v:textbox>
                <w10:wrap type="none"/>
              </v:shape>
              <v:shape style="position:absolute;left:132;top:1652;width:2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Neusoft Mobile Solutions</w:t>
                      </w:r>
                      <w:r>
                        <w:rPr>
                          <w:rFonts w:ascii="Times New Roman"/>
                          <w:spacing w:val="-4"/>
                          <w:sz w:val="18"/>
                        </w:rPr>
                        <w:t> </w:t>
                      </w:r>
                      <w:r>
                        <w:rPr>
                          <w:rFonts w:ascii="Times New Roman"/>
                          <w:sz w:val="18"/>
                        </w:rPr>
                        <w:t>Oy</w:t>
                      </w:r>
                    </w:p>
                  </w:txbxContent>
                </v:textbox>
                <w10:wrap type="none"/>
              </v:shape>
              <v:shape style="position:absolute;left:2807;top:1652;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42,899,954</w:t>
                      </w:r>
                    </w:p>
                  </w:txbxContent>
                </v:textbox>
                <w10:wrap type="none"/>
              </v:shape>
              <v:shape style="position:absolute;left:3834;top:1831;width:4671;height:60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价值份额</w:t>
                      </w:r>
                    </w:p>
                    <w:p>
                      <w:pPr>
                        <w:spacing w:line="240" w:lineRule="auto" w:before="5"/>
                        <w:rPr>
                          <w:rFonts w:ascii="宋体" w:hAnsi="宋体" w:cs="宋体" w:eastAsia="宋体" w:hint="default"/>
                          <w:sz w:val="13"/>
                          <w:szCs w:val="13"/>
                        </w:rPr>
                      </w:pPr>
                    </w:p>
                    <w:p>
                      <w:pPr>
                        <w:spacing w:line="24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商誉</w:t>
                      </w:r>
                      <w:r>
                        <w:rPr>
                          <w:rFonts w:ascii="Times New Roman" w:hAnsi="Times New Roman" w:cs="Times New Roman" w:eastAsia="Times New Roman" w:hint="default"/>
                          <w:sz w:val="18"/>
                          <w:szCs w:val="18"/>
                        </w:rPr>
                        <w:t>=</w:t>
                      </w:r>
                      <w:r>
                        <w:rPr>
                          <w:rFonts w:ascii="宋体" w:hAnsi="宋体" w:cs="宋体" w:eastAsia="宋体" w:hint="default"/>
                          <w:sz w:val="18"/>
                          <w:szCs w:val="18"/>
                        </w:rPr>
                        <w:t>企业合并成本</w:t>
                      </w:r>
                      <w:r>
                        <w:rPr>
                          <w:rFonts w:ascii="Times New Roman" w:hAnsi="Times New Roman" w:cs="Times New Roman" w:eastAsia="Times New Roman" w:hint="default"/>
                          <w:sz w:val="18"/>
                          <w:szCs w:val="18"/>
                        </w:rPr>
                        <w:t>-</w:t>
                      </w:r>
                      <w:r>
                        <w:rPr>
                          <w:rFonts w:ascii="宋体" w:hAnsi="宋体" w:cs="宋体" w:eastAsia="宋体" w:hint="default"/>
                          <w:sz w:val="18"/>
                          <w:szCs w:val="18"/>
                        </w:rPr>
                        <w:t>合并中取得被购买方可辨认净资产公允</w:t>
                      </w:r>
                    </w:p>
                  </w:txbxContent>
                </v:textbox>
                <w10:wrap type="none"/>
              </v:shape>
              <v:shape style="position:absolute;left:132;top:2462;width:8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Almitas</w:t>
                      </w:r>
                      <w:r>
                        <w:rPr>
                          <w:rFonts w:ascii="Times New Roman"/>
                          <w:spacing w:val="-3"/>
                          <w:sz w:val="18"/>
                        </w:rPr>
                        <w:t> </w:t>
                      </w:r>
                      <w:r>
                        <w:rPr>
                          <w:rFonts w:ascii="Times New Roman"/>
                          <w:sz w:val="18"/>
                        </w:rPr>
                        <w:t>Oy</w:t>
                      </w:r>
                    </w:p>
                  </w:txbxContent>
                </v:textbox>
                <w10:wrap type="none"/>
              </v:shape>
              <v:shape style="position:absolute;left:2806;top:2462;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41,540,546</w:t>
                      </w:r>
                    </w:p>
                  </w:txbxContent>
                </v:textbox>
                <w10:wrap type="none"/>
              </v:shape>
              <v:shape style="position:absolute;left:3834;top:2641;width:4671;height:60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价值份额</w:t>
                      </w:r>
                    </w:p>
                    <w:p>
                      <w:pPr>
                        <w:spacing w:line="240" w:lineRule="auto" w:before="5"/>
                        <w:rPr>
                          <w:rFonts w:ascii="宋体" w:hAnsi="宋体" w:cs="宋体" w:eastAsia="宋体" w:hint="default"/>
                          <w:sz w:val="13"/>
                          <w:szCs w:val="13"/>
                        </w:rPr>
                      </w:pPr>
                    </w:p>
                    <w:p>
                      <w:pPr>
                        <w:spacing w:line="24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商誉</w:t>
                      </w:r>
                      <w:r>
                        <w:rPr>
                          <w:rFonts w:ascii="Times New Roman" w:hAnsi="Times New Roman" w:cs="Times New Roman" w:eastAsia="Times New Roman" w:hint="default"/>
                          <w:sz w:val="18"/>
                          <w:szCs w:val="18"/>
                        </w:rPr>
                        <w:t>=</w:t>
                      </w:r>
                      <w:r>
                        <w:rPr>
                          <w:rFonts w:ascii="宋体" w:hAnsi="宋体" w:cs="宋体" w:eastAsia="宋体" w:hint="default"/>
                          <w:sz w:val="18"/>
                          <w:szCs w:val="18"/>
                        </w:rPr>
                        <w:t>企业合并成本</w:t>
                      </w:r>
                      <w:r>
                        <w:rPr>
                          <w:rFonts w:ascii="Times New Roman" w:hAnsi="Times New Roman" w:cs="Times New Roman" w:eastAsia="Times New Roman" w:hint="default"/>
                          <w:sz w:val="18"/>
                          <w:szCs w:val="18"/>
                        </w:rPr>
                        <w:t>-</w:t>
                      </w:r>
                      <w:r>
                        <w:rPr>
                          <w:rFonts w:ascii="宋体" w:hAnsi="宋体" w:cs="宋体" w:eastAsia="宋体" w:hint="default"/>
                          <w:sz w:val="18"/>
                          <w:szCs w:val="18"/>
                        </w:rPr>
                        <w:t>合并中取得被购买方可辨认净资产公允</w:t>
                      </w:r>
                    </w:p>
                  </w:txbxContent>
                </v:textbox>
                <w10:wrap type="none"/>
              </v:shape>
              <v:shape style="position:absolute;left:132;top:3272;width:22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Neusoft Mobile Solutions</w:t>
                      </w:r>
                      <w:r>
                        <w:rPr>
                          <w:rFonts w:ascii="Times New Roman"/>
                          <w:spacing w:val="-2"/>
                          <w:sz w:val="18"/>
                        </w:rPr>
                        <w:t> </w:t>
                      </w:r>
                      <w:r>
                        <w:rPr>
                          <w:rFonts w:ascii="Times New Roman"/>
                          <w:sz w:val="18"/>
                        </w:rPr>
                        <w:t>SRL</w:t>
                      </w:r>
                    </w:p>
                  </w:txbxContent>
                </v:textbox>
                <w10:wrap type="none"/>
              </v:shape>
              <v:shape style="position:absolute;left:2807;top:3272;width:81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10,285,772</w:t>
                      </w:r>
                    </w:p>
                  </w:txbxContent>
                </v:textbox>
                <w10:wrap type="none"/>
              </v:shape>
              <v:shape style="position:absolute;left:3834;top:345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价值份额</w:t>
                      </w:r>
                    </w:p>
                  </w:txbxContent>
                </v:textbox>
                <w10:wrap type="none"/>
              </v:shape>
            </v:group>
          </v:group>
        </w:pict>
      </w:r>
      <w:r>
        <w:rPr>
          <w:rFonts w:ascii="宋体" w:hAnsi="宋体" w:cs="宋体" w:eastAsia="宋体" w:hint="default"/>
          <w:position w:val="-73"/>
          <w:sz w:val="20"/>
          <w:szCs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tabs>
          <w:tab w:pos="2153" w:val="left" w:leader="none"/>
        </w:tabs>
        <w:spacing w:line="698" w:lineRule="auto" w:before="35"/>
        <w:ind w:left="1425" w:right="4512" w:firstLine="0"/>
        <w:jc w:val="left"/>
        <w:rPr>
          <w:rFonts w:ascii="宋体" w:hAnsi="宋体" w:cs="宋体" w:eastAsia="宋体" w:hint="default"/>
          <w:sz w:val="21"/>
          <w:szCs w:val="21"/>
        </w:rPr>
      </w:pPr>
      <w:r>
        <w:rPr>
          <w:rFonts w:ascii="宋体" w:hAnsi="宋体" w:cs="宋体" w:eastAsia="宋体" w:hint="default"/>
          <w:sz w:val="21"/>
          <w:szCs w:val="21"/>
        </w:rPr>
        <w:t>(七)</w:t>
        <w:tab/>
        <w:t>本期无因出售股权丧失控制权而减少子公司</w:t>
      </w:r>
      <w:r>
        <w:rPr>
          <w:rFonts w:ascii="宋体" w:hAnsi="宋体" w:cs="宋体" w:eastAsia="宋体" w:hint="default"/>
          <w:spacing w:val="-93"/>
          <w:sz w:val="21"/>
          <w:szCs w:val="21"/>
        </w:rPr>
        <w:t> </w:t>
      </w:r>
      <w:r>
        <w:rPr>
          <w:rFonts w:ascii="宋体" w:hAnsi="宋体" w:cs="宋体" w:eastAsia="宋体" w:hint="default"/>
          <w:sz w:val="21"/>
          <w:szCs w:val="21"/>
        </w:rPr>
        <w:t>(八)</w:t>
        <w:tab/>
        <w:t>本期无反向购买 </w:t>
      </w:r>
    </w:p>
    <w:p>
      <w:pPr>
        <w:tabs>
          <w:tab w:pos="2153" w:val="left" w:leader="none"/>
        </w:tabs>
        <w:spacing w:before="124"/>
        <w:ind w:left="1425" w:right="4512" w:firstLine="0"/>
        <w:jc w:val="left"/>
        <w:rPr>
          <w:rFonts w:ascii="宋体" w:hAnsi="宋体" w:cs="宋体" w:eastAsia="宋体" w:hint="default"/>
          <w:sz w:val="21"/>
          <w:szCs w:val="21"/>
        </w:rPr>
      </w:pPr>
      <w:r>
        <w:rPr>
          <w:rFonts w:ascii="宋体" w:hAnsi="宋体" w:cs="宋体" w:eastAsia="宋体" w:hint="default"/>
          <w:sz w:val="21"/>
          <w:szCs w:val="21"/>
        </w:rPr>
        <w:t>(九)</w:t>
        <w:tab/>
        <w:t>本期无吸收合并 </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tabs>
          <w:tab w:pos="2153" w:val="left" w:leader="none"/>
        </w:tabs>
        <w:spacing w:line="350" w:lineRule="auto" w:before="0"/>
        <w:ind w:left="2157" w:right="164" w:hanging="732"/>
        <w:jc w:val="left"/>
        <w:rPr>
          <w:rFonts w:ascii="宋体" w:hAnsi="宋体" w:cs="宋体" w:eastAsia="宋体" w:hint="default"/>
          <w:sz w:val="21"/>
          <w:szCs w:val="21"/>
        </w:rPr>
      </w:pPr>
      <w:r>
        <w:rPr>
          <w:rFonts w:ascii="宋体" w:hAnsi="宋体" w:cs="宋体" w:eastAsia="宋体" w:hint="default"/>
          <w:sz w:val="21"/>
          <w:szCs w:val="21"/>
        </w:rPr>
        <w:t>(十)</w:t>
        <w:tab/>
        <w:t>境外经营实体主要报表项目的折算汇率</w:t>
      </w:r>
      <w:r>
        <w:rPr>
          <w:rFonts w:ascii="宋体" w:hAnsi="宋体" w:cs="宋体" w:eastAsia="宋体" w:hint="default"/>
          <w:spacing w:val="-95"/>
          <w:sz w:val="21"/>
          <w:szCs w:val="21"/>
        </w:rPr>
        <w:t> </w:t>
      </w:r>
      <w:r>
        <w:rPr>
          <w:rFonts w:ascii="宋体" w:hAnsi="宋体" w:cs="宋体" w:eastAsia="宋体" w:hint="default"/>
          <w:color w:val="FF0000"/>
          <w:spacing w:val="-95"/>
          <w:sz w:val="21"/>
          <w:szCs w:val="21"/>
        </w:rPr>
      </w:r>
      <w:r>
        <w:rPr>
          <w:rFonts w:ascii="宋体" w:hAnsi="宋体" w:cs="宋体" w:eastAsia="宋体" w:hint="default"/>
          <w:sz w:val="21"/>
          <w:szCs w:val="21"/>
        </w:rPr>
        <w:t>纳入本集团财务报表合并范围的境外子公司的外币资产负债表中的资产和负债项目，采用资</w:t>
      </w:r>
      <w:r>
        <w:rPr>
          <w:rFonts w:ascii="宋体" w:hAnsi="宋体" w:cs="宋体" w:eastAsia="宋体" w:hint="default"/>
          <w:spacing w:val="1"/>
          <w:sz w:val="21"/>
          <w:szCs w:val="21"/>
        </w:rPr>
        <w:t> </w:t>
      </w:r>
      <w:r>
        <w:rPr>
          <w:rFonts w:ascii="宋体" w:hAnsi="宋体" w:cs="宋体" w:eastAsia="宋体" w:hint="default"/>
          <w:sz w:val="21"/>
          <w:szCs w:val="21"/>
        </w:rPr>
        <w:t>产负债表日的即期汇率折算；所有者权益项目除“未分配利润”项目外，其他项目采用发生</w:t>
      </w:r>
      <w:r>
        <w:rPr>
          <w:rFonts w:ascii="宋体" w:hAnsi="宋体" w:cs="宋体" w:eastAsia="宋体" w:hint="default"/>
          <w:spacing w:val="1"/>
          <w:sz w:val="21"/>
          <w:szCs w:val="21"/>
        </w:rPr>
        <w:t> </w:t>
      </w:r>
      <w:r>
        <w:rPr>
          <w:rFonts w:ascii="宋体" w:hAnsi="宋体" w:cs="宋体" w:eastAsia="宋体" w:hint="default"/>
          <w:sz w:val="21"/>
          <w:szCs w:val="21"/>
        </w:rPr>
        <w:t>时的即期汇率折算。利润表中的收入和费用项目，采用报告期平均汇率折算。按照上述折算</w:t>
      </w:r>
      <w:r>
        <w:rPr>
          <w:rFonts w:ascii="宋体" w:hAnsi="宋体" w:cs="宋体" w:eastAsia="宋体" w:hint="default"/>
          <w:spacing w:val="1"/>
          <w:sz w:val="21"/>
          <w:szCs w:val="21"/>
        </w:rPr>
        <w:t> </w:t>
      </w:r>
      <w:r>
        <w:rPr>
          <w:rFonts w:ascii="宋体" w:hAnsi="宋体" w:cs="宋体" w:eastAsia="宋体" w:hint="default"/>
          <w:sz w:val="21"/>
          <w:szCs w:val="21"/>
        </w:rPr>
        <w:t>产生的外币财务报表折算差额，在资产负债表所有者权益项目下单独列示。 </w:t>
      </w:r>
    </w:p>
    <w:p>
      <w:pPr>
        <w:spacing w:line="240" w:lineRule="auto" w:before="6"/>
        <w:rPr>
          <w:rFonts w:ascii="宋体" w:hAnsi="宋体" w:cs="宋体" w:eastAsia="宋体" w:hint="default"/>
          <w:sz w:val="29"/>
          <w:szCs w:val="29"/>
        </w:rPr>
      </w:pPr>
    </w:p>
    <w:p>
      <w:pPr>
        <w:pStyle w:val="BodyText"/>
        <w:tabs>
          <w:tab w:pos="2153" w:val="left" w:leader="none"/>
        </w:tabs>
        <w:spacing w:line="240" w:lineRule="auto"/>
        <w:ind w:left="1425" w:right="4512"/>
        <w:jc w:val="left"/>
        <w:rPr>
          <w:rFonts w:ascii="宋体" w:hAnsi="宋体" w:cs="宋体" w:eastAsia="宋体" w:hint="default"/>
        </w:rPr>
      </w:pPr>
      <w:r>
        <w:rPr>
          <w:rFonts w:ascii="宋体" w:hAnsi="宋体" w:cs="宋体" w:eastAsia="宋体" w:hint="default"/>
        </w:rPr>
        <w:t>五、</w:t>
        <w:tab/>
        <w:t>合并财务报表主要项目注释</w:t>
      </w:r>
    </w:p>
    <w:p>
      <w:pPr>
        <w:tabs>
          <w:tab w:pos="2153" w:val="left" w:leader="none"/>
        </w:tabs>
        <w:spacing w:line="698" w:lineRule="auto" w:before="129"/>
        <w:ind w:left="1425" w:right="4210" w:firstLine="732"/>
        <w:jc w:val="left"/>
        <w:rPr>
          <w:rFonts w:ascii="宋体" w:hAnsi="宋体" w:cs="宋体" w:eastAsia="宋体" w:hint="default"/>
          <w:sz w:val="21"/>
          <w:szCs w:val="21"/>
        </w:rPr>
      </w:pPr>
      <w:r>
        <w:rPr/>
        <w:pict>
          <v:group style="position:absolute;margin-left:101.280006pt;margin-top:61.793976pt;width:432.5pt;height:145.050pt;mso-position-horizontal-relative:page;mso-position-vertical-relative:paragraph;z-index:-993256" coordorigin="2026,1236" coordsize="8650,2901">
            <v:group style="position:absolute;left:2057;top:1245;width:1350;height:2" coordorigin="2057,1245" coordsize="1350,2">
              <v:shape style="position:absolute;left:2057;top:1245;width:1350;height:2" coordorigin="2057,1245" coordsize="1350,0" path="m2057,1245l3407,1245e" filled="false" stroked="true" strokeweight=".95999pt" strokecolor="#000000">
                <v:path arrowok="t"/>
              </v:shape>
            </v:group>
            <v:group style="position:absolute;left:3407;top:1245;width:3698;height:2" coordorigin="3407,1245" coordsize="3698,2">
              <v:shape style="position:absolute;left:3407;top:1245;width:3698;height:2" coordorigin="3407,1245" coordsize="3698,0" path="m3407,1245l7104,1245e" filled="false" stroked="true" strokeweight=".95999pt" strokecolor="#000000">
                <v:path arrowok="t"/>
              </v:shape>
            </v:group>
            <v:group style="position:absolute;left:7104;top:1245;width:3555;height:2" coordorigin="7104,1245" coordsize="3555,2">
              <v:shape style="position:absolute;left:7104;top:1245;width:3555;height:2" coordorigin="7104,1245" coordsize="3555,0" path="m7104,1245l10658,1245e" filled="false" stroked="true" strokeweight=".95999pt" strokecolor="#000000">
                <v:path arrowok="t"/>
              </v:shape>
            </v:group>
            <v:group style="position:absolute;left:2035;top:4127;width:1372;height:2" coordorigin="2035,4127" coordsize="1372,2">
              <v:shape style="position:absolute;left:2035;top:4127;width:1372;height:2" coordorigin="2035,4127" coordsize="1372,0" path="m2035,4127l3407,4127e" filled="false" stroked="true" strokeweight=".95999pt" strokecolor="#000000">
                <v:path arrowok="t"/>
              </v:shape>
            </v:group>
            <v:group style="position:absolute;left:3407;top:4127;width:1260;height:2" coordorigin="3407,4127" coordsize="1260,2">
              <v:shape style="position:absolute;left:3407;top:4127;width:1260;height:2" coordorigin="3407,4127" coordsize="1260,0" path="m3407,4127l4667,4127e" filled="false" stroked="true" strokeweight=".95999pt" strokecolor="#000000">
                <v:path arrowok="t"/>
              </v:shape>
            </v:group>
            <v:group style="position:absolute;left:4667;top:4127;width:1122;height:2" coordorigin="4667,4127" coordsize="1122,2">
              <v:shape style="position:absolute;left:4667;top:4127;width:1122;height:2" coordorigin="4667,4127" coordsize="1122,0" path="m4667,4127l5789,4127e" filled="false" stroked="true" strokeweight=".95999pt" strokecolor="#000000">
                <v:path arrowok="t"/>
              </v:shape>
            </v:group>
            <v:group style="position:absolute;left:5789;top:4127;width:1316;height:2" coordorigin="5789,4127" coordsize="1316,2">
              <v:shape style="position:absolute;left:5789;top:4127;width:1316;height:2" coordorigin="5789,4127" coordsize="1316,0" path="m5789,4127l7104,4127e" filled="false" stroked="true" strokeweight=".95999pt" strokecolor="#000000">
                <v:path arrowok="t"/>
              </v:shape>
            </v:group>
            <v:group style="position:absolute;left:7104;top:4127;width:1253;height:2" coordorigin="7104,4127" coordsize="1253,2">
              <v:shape style="position:absolute;left:7104;top:4127;width:1253;height:2" coordorigin="7104,4127" coordsize="1253,0" path="m7104,4127l8357,4127e" filled="false" stroked="true" strokeweight=".95999pt" strokecolor="#000000">
                <v:path arrowok="t"/>
              </v:shape>
            </v:group>
            <v:group style="position:absolute;left:8357;top:4127;width:930;height:2" coordorigin="8357,4127" coordsize="930,2">
              <v:shape style="position:absolute;left:8357;top:4127;width:930;height:2" coordorigin="8357,4127" coordsize="930,0" path="m8357,4127l9287,4127e" filled="false" stroked="true" strokeweight=".95999pt" strokecolor="#000000">
                <v:path arrowok="t"/>
              </v:shape>
              <v:shape style="position:absolute;left:2050;top:1255;width:8620;height:2862" type="#_x0000_t75" stroked="false">
                <v:imagedata r:id="rId46" o:title=""/>
              </v:shape>
            </v:group>
            <v:group style="position:absolute;left:9287;top:4127;width:1379;height:2" coordorigin="9287,4127" coordsize="1379,2">
              <v:shape style="position:absolute;left:9287;top:4127;width:1379;height:2" coordorigin="9287,4127" coordsize="1379,0" path="m9287,4127l10666,4127e" filled="false" stroked="true" strokeweight=".95999pt" strokecolor="#000000">
                <v:path arrowok="t"/>
              </v:shape>
              <v:shape style="position:absolute;left:4901;top:144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期末金额</w:t>
                      </w:r>
                    </w:p>
                  </w:txbxContent>
                </v:textbox>
                <w10:wrap type="none"/>
              </v:shape>
              <v:shape style="position:absolute;left:8526;top:144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期初金额</w:t>
                      </w:r>
                    </w:p>
                  </w:txbxContent>
                </v:textbox>
                <w10:wrap type="none"/>
              </v:shape>
              <v:shape style="position:absolute;left:2370;top:1643;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 </w:t>
                      </w:r>
                    </w:p>
                  </w:txbxContent>
                </v:textbox>
                <w10:wrap type="none"/>
              </v:shape>
              <v:shape style="position:absolute;left:3682;top:185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外币金额</w:t>
                      </w:r>
                    </w:p>
                  </w:txbxContent>
                </v:textbox>
                <w10:wrap type="none"/>
              </v:shape>
              <v:shape style="position:absolute;left:4963;top:185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折算率</w:t>
                      </w:r>
                    </w:p>
                  </w:txbxContent>
                </v:textbox>
                <w10:wrap type="none"/>
              </v:shape>
              <v:shape style="position:absolute;left:6001;top:185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人民币金额</w:t>
                      </w:r>
                    </w:p>
                  </w:txbxContent>
                </v:textbox>
                <w10:wrap type="none"/>
              </v:shape>
              <v:shape style="position:absolute;left:7375;top:185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外币金额</w:t>
                      </w:r>
                    </w:p>
                  </w:txbxContent>
                </v:textbox>
                <w10:wrap type="none"/>
              </v:shape>
              <v:shape style="position:absolute;left:8556;top:185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折算率</w:t>
                      </w:r>
                    </w:p>
                  </w:txbxContent>
                </v:textbox>
                <w10:wrap type="none"/>
              </v:shape>
              <v:shape style="position:absolute;left:9528;top:185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人民币金额</w:t>
                      </w:r>
                    </w:p>
                  </w:txbxContent>
                </v:textbox>
                <w10:wrap type="none"/>
              </v:shape>
              <v:shape style="position:absolute;left:2158;top:2268;width:720;height:5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现金</w:t>
                      </w:r>
                    </w:p>
                    <w:p>
                      <w:pPr>
                        <w:spacing w:line="240" w:lineRule="auto" w:before="4"/>
                        <w:rPr>
                          <w:rFonts w:ascii="宋体" w:hAnsi="宋体" w:cs="宋体" w:eastAsia="宋体" w:hint="default"/>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  人民币</w:t>
                      </w:r>
                    </w:p>
                  </w:txbxContent>
                </v:textbox>
                <w10:wrap type="none"/>
              </v:shape>
              <v:shape style="position:absolute;left:6415;top:2697;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140,671</w:t>
                      </w:r>
                    </w:p>
                  </w:txbxContent>
                </v:textbox>
                <w10:wrap type="none"/>
              </v:shape>
              <v:shape style="position:absolute;left:9971;top:2697;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306,656</w:t>
                      </w:r>
                    </w:p>
                  </w:txbxContent>
                </v:textbox>
                <w10:wrap type="none"/>
              </v:shape>
              <v:shape style="position:absolute;left:2158;top:308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  美元</w:t>
                      </w:r>
                    </w:p>
                  </w:txbxContent>
                </v:textbox>
                <w10:wrap type="none"/>
              </v:shape>
              <v:shape style="position:absolute;left:4474;top:3107;width:9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v:shape style="position:absolute;left:5191;top:3107;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6.8282</w:t>
                      </w:r>
                    </w:p>
                  </w:txbxContent>
                </v:textbox>
                <w10:wrap type="none"/>
              </v:shape>
              <v:shape style="position:absolute;left:6911;top:3107;width:9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w:t>
                      </w:r>
                    </w:p>
                  </w:txbxContent>
                </v:textbox>
                <w10:wrap type="none"/>
              </v:shape>
              <v:shape style="position:absolute;left:7758;top:3107;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10,738</w:t>
                      </w:r>
                    </w:p>
                  </w:txbxContent>
                </v:textbox>
                <w10:wrap type="none"/>
              </v:shape>
              <v:shape style="position:absolute;left:8688;top:3107;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6.8346</w:t>
                      </w:r>
                    </w:p>
                  </w:txbxContent>
                </v:textbox>
                <w10:wrap type="none"/>
              </v:shape>
              <v:shape style="position:absolute;left:10061;top:3107;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73,390</w:t>
                      </w:r>
                    </w:p>
                  </w:txbxContent>
                </v:textbox>
                <w10:wrap type="none"/>
              </v:shape>
              <v:shape style="position:absolute;left:2158;top:349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  日元</w:t>
                      </w:r>
                    </w:p>
                  </w:txbxContent>
                </v:textbox>
                <w10:wrap type="none"/>
              </v:shape>
              <v:shape style="position:absolute;left:3978;top:3517;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157,890</w:t>
                      </w:r>
                    </w:p>
                  </w:txbxContent>
                </v:textbox>
                <w10:wrap type="none"/>
              </v:shape>
              <v:shape style="position:absolute;left:5011;top:3517;width:67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0.073782</w:t>
                      </w:r>
                    </w:p>
                  </w:txbxContent>
                </v:textbox>
                <w10:wrap type="none"/>
              </v:shape>
              <v:shape style="position:absolute;left:6512;top:3517;width:48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2"/>
                          <w:sz w:val="18"/>
                        </w:rPr>
                        <w:t>11,649</w:t>
                      </w:r>
                    </w:p>
                  </w:txbxContent>
                </v:textbox>
                <w10:wrap type="none"/>
              </v:shape>
              <v:shape style="position:absolute;left:7532;top:3517;width:1651;height:180" type="#_x0000_t202" filled="false" stroked="false">
                <v:textbox inset="0,0,0,0">
                  <w:txbxContent>
                    <w:p>
                      <w:pPr>
                        <w:tabs>
                          <w:tab w:pos="975"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1,537,386</w:t>
                        <w:tab/>
                        <w:t>0.075650</w:t>
                      </w:r>
                    </w:p>
                  </w:txbxContent>
                </v:textbox>
                <w10:wrap type="none"/>
              </v:shape>
              <v:shape style="position:absolute;left:9977;top:3517;width:57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2"/>
                          <w:sz w:val="18"/>
                        </w:rPr>
                        <w:t>116,303</w:t>
                      </w:r>
                    </w:p>
                  </w:txbxContent>
                </v:textbox>
                <w10:wrap type="none"/>
              </v:shape>
              <v:shape style="position:absolute;left:2158;top:390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  港币</w:t>
                      </w:r>
                    </w:p>
                  </w:txbxContent>
                </v:textbox>
                <w10:wrap type="none"/>
              </v:shape>
              <v:shape style="position:absolute;left:4158;top:3927;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2,987</w:t>
                      </w:r>
                    </w:p>
                  </w:txbxContent>
                </v:textbox>
                <w10:wrap type="none"/>
              </v:shape>
              <v:shape style="position:absolute;left:5191;top:3927;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0.8805</w:t>
                      </w:r>
                    </w:p>
                  </w:txbxContent>
                </v:textbox>
                <w10:wrap type="none"/>
              </v:shape>
              <v:shape style="position:absolute;left:6595;top:3927;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2,630</w:t>
                      </w:r>
                    </w:p>
                  </w:txbxContent>
                </v:textbox>
                <w10:wrap type="none"/>
              </v:shape>
              <v:shape style="position:absolute;left:7983;top:3927;width:27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149</w:t>
                      </w:r>
                    </w:p>
                  </w:txbxContent>
                </v:textbox>
                <w10:wrap type="none"/>
              </v:shape>
              <v:shape style="position:absolute;left:8687;top:3927;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0.8819</w:t>
                      </w:r>
                    </w:p>
                  </w:txbxContent>
                </v:textbox>
                <w10:wrap type="none"/>
              </v:shape>
              <v:shape style="position:absolute;left:10286;top:3927;width:27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131</w:t>
                      </w:r>
                    </w:p>
                  </w:txbxContent>
                </v:textbox>
                <w10:wrap type="none"/>
              </v:shape>
            </v:group>
            <w10:wrap type="none"/>
          </v:group>
        </w:pict>
      </w:r>
      <w:r>
        <w:rPr>
          <w:rFonts w:ascii="宋体" w:hAnsi="宋体" w:cs="宋体" w:eastAsia="宋体" w:hint="default"/>
          <w:sz w:val="21"/>
          <w:szCs w:val="21"/>
        </w:rPr>
        <w:t>（以下金额单位若未特别注明者均为人民币元） (一)</w:t>
        <w:tab/>
        <w:t>货币资金 </w:t>
      </w:r>
    </w:p>
    <w:p>
      <w:pPr>
        <w:spacing w:after="0" w:line="698" w:lineRule="auto"/>
        <w:jc w:val="left"/>
        <w:rPr>
          <w:rFonts w:ascii="宋体" w:hAnsi="宋体" w:cs="宋体" w:eastAsia="宋体" w:hint="default"/>
          <w:sz w:val="21"/>
          <w:szCs w:val="21"/>
        </w:rPr>
        <w:sectPr>
          <w:pgSz w:w="11900" w:h="16840"/>
          <w:pgMar w:header="883" w:footer="1003" w:top="1600" w:bottom="1200" w:left="0" w:right="1120"/>
        </w:sectPr>
      </w:pPr>
    </w:p>
    <w:p>
      <w:pPr>
        <w:spacing w:line="240" w:lineRule="auto" w:before="12"/>
        <w:rPr>
          <w:rFonts w:ascii="宋体" w:hAnsi="宋体" w:cs="宋体" w:eastAsia="宋体" w:hint="default"/>
          <w:sz w:val="12"/>
          <w:szCs w:val="12"/>
        </w:rPr>
      </w:pPr>
    </w:p>
    <w:tbl>
      <w:tblPr>
        <w:tblW w:w="0" w:type="auto"/>
        <w:jc w:val="left"/>
        <w:tblInd w:w="735" w:type="dxa"/>
        <w:tblLayout w:type="fixed"/>
        <w:tblCellMar>
          <w:top w:w="0" w:type="dxa"/>
          <w:left w:w="0" w:type="dxa"/>
          <w:bottom w:w="0" w:type="dxa"/>
          <w:right w:w="0" w:type="dxa"/>
        </w:tblCellMar>
        <w:tblLook w:val="01E0"/>
      </w:tblPr>
      <w:tblGrid>
        <w:gridCol w:w="1348"/>
        <w:gridCol w:w="1349"/>
        <w:gridCol w:w="1078"/>
        <w:gridCol w:w="1299"/>
        <w:gridCol w:w="1272"/>
        <w:gridCol w:w="1003"/>
        <w:gridCol w:w="1282"/>
      </w:tblGrid>
      <w:tr>
        <w:trPr>
          <w:trHeight w:val="492" w:hRule="exact"/>
        </w:trPr>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334" w:right="0"/>
              <w:jc w:val="left"/>
              <w:rPr>
                <w:rFonts w:ascii="宋体" w:hAnsi="宋体" w:cs="宋体" w:eastAsia="宋体" w:hint="default"/>
                <w:sz w:val="18"/>
                <w:szCs w:val="18"/>
              </w:rPr>
            </w:pPr>
            <w:r>
              <w:rPr>
                <w:rFonts w:ascii="宋体" w:hAnsi="宋体" w:cs="宋体" w:eastAsia="宋体" w:hint="default"/>
                <w:sz w:val="18"/>
                <w:szCs w:val="18"/>
              </w:rPr>
              <w:t>项    目 </w:t>
            </w:r>
          </w:p>
        </w:tc>
        <w:tc>
          <w:tcPr>
            <w:tcW w:w="1349"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68"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1299"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5" w:right="0"/>
              <w:jc w:val="left"/>
              <w:rPr>
                <w:rFonts w:ascii="宋体" w:hAnsi="宋体" w:cs="宋体" w:eastAsia="宋体" w:hint="default"/>
                <w:sz w:val="18"/>
                <w:szCs w:val="18"/>
              </w:rPr>
            </w:pPr>
            <w:r>
              <w:rPr>
                <w:rFonts w:ascii="宋体" w:hAnsi="宋体" w:cs="宋体" w:eastAsia="宋体" w:hint="default"/>
                <w:sz w:val="18"/>
                <w:szCs w:val="18"/>
              </w:rPr>
              <w:t>期初金额</w:t>
            </w:r>
          </w:p>
        </w:tc>
        <w:tc>
          <w:tcPr>
            <w:tcW w:w="1282" w:type="dxa"/>
            <w:tcBorders>
              <w:top w:val="nil" w:sz="6" w:space="0" w:color="auto"/>
              <w:left w:val="nil" w:sz="6" w:space="0" w:color="auto"/>
              <w:bottom w:val="nil" w:sz="6" w:space="0" w:color="auto"/>
              <w:right w:val="nil" w:sz="6" w:space="0" w:color="auto"/>
            </w:tcBorders>
          </w:tcPr>
          <w:p>
            <w:pPr/>
          </w:p>
        </w:tc>
      </w:tr>
      <w:tr>
        <w:trPr>
          <w:trHeight w:val="313" w:hRule="exact"/>
        </w:trPr>
        <w:tc>
          <w:tcPr>
            <w:tcW w:w="1348" w:type="dxa"/>
            <w:tcBorders>
              <w:top w:val="nil" w:sz="6" w:space="0" w:color="auto"/>
              <w:left w:val="nil" w:sz="6" w:space="0" w:color="auto"/>
              <w:bottom w:val="nil" w:sz="6" w:space="0" w:color="auto"/>
              <w:right w:val="nil" w:sz="6" w:space="0" w:color="auto"/>
            </w:tcBorders>
          </w:tcPr>
          <w:p>
            <w:pPr/>
          </w:p>
        </w:tc>
        <w:tc>
          <w:tcPr>
            <w:tcW w:w="1349" w:type="dxa"/>
            <w:tcBorders>
              <w:top w:val="nil" w:sz="6" w:space="0" w:color="auto"/>
              <w:left w:val="nil" w:sz="6" w:space="0" w:color="auto"/>
              <w:bottom w:val="nil" w:sz="6" w:space="0" w:color="auto"/>
              <w:right w:val="nil" w:sz="6" w:space="0" w:color="auto"/>
            </w:tcBorders>
          </w:tcPr>
          <w:p>
            <w:pPr>
              <w:pStyle w:val="TableParagraph"/>
              <w:spacing w:line="197" w:lineRule="exact"/>
              <w:ind w:left="298"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1078" w:type="dxa"/>
            <w:tcBorders>
              <w:top w:val="nil" w:sz="6" w:space="0" w:color="auto"/>
              <w:left w:val="nil" w:sz="6" w:space="0" w:color="auto"/>
              <w:bottom w:val="nil" w:sz="6" w:space="0" w:color="auto"/>
              <w:right w:val="nil" w:sz="6" w:space="0" w:color="auto"/>
            </w:tcBorders>
          </w:tcPr>
          <w:p>
            <w:pPr>
              <w:pStyle w:val="TableParagraph"/>
              <w:spacing w:line="197" w:lineRule="exact"/>
              <w:ind w:left="230" w:right="0"/>
              <w:jc w:val="left"/>
              <w:rPr>
                <w:rFonts w:ascii="宋体" w:hAnsi="宋体" w:cs="宋体" w:eastAsia="宋体" w:hint="default"/>
                <w:sz w:val="18"/>
                <w:szCs w:val="18"/>
              </w:rPr>
            </w:pPr>
            <w:r>
              <w:rPr>
                <w:rFonts w:ascii="宋体" w:hAnsi="宋体" w:cs="宋体" w:eastAsia="宋体" w:hint="default"/>
                <w:sz w:val="18"/>
                <w:szCs w:val="18"/>
              </w:rPr>
              <w:t>折算率</w:t>
            </w:r>
          </w:p>
        </w:tc>
        <w:tc>
          <w:tcPr>
            <w:tcW w:w="1299" w:type="dxa"/>
            <w:tcBorders>
              <w:top w:val="nil" w:sz="6" w:space="0" w:color="auto"/>
              <w:left w:val="nil" w:sz="6" w:space="0" w:color="auto"/>
              <w:bottom w:val="nil" w:sz="6" w:space="0" w:color="auto"/>
              <w:right w:val="nil" w:sz="6" w:space="0" w:color="auto"/>
            </w:tcBorders>
          </w:tcPr>
          <w:p>
            <w:pPr>
              <w:pStyle w:val="TableParagraph"/>
              <w:spacing w:line="197" w:lineRule="exact"/>
              <w:ind w:left="191" w:right="0"/>
              <w:jc w:val="left"/>
              <w:rPr>
                <w:rFonts w:ascii="宋体" w:hAnsi="宋体" w:cs="宋体" w:eastAsia="宋体" w:hint="default"/>
                <w:sz w:val="18"/>
                <w:szCs w:val="18"/>
              </w:rPr>
            </w:pPr>
            <w:r>
              <w:rPr>
                <w:rFonts w:ascii="宋体" w:hAnsi="宋体" w:cs="宋体" w:eastAsia="宋体" w:hint="default"/>
                <w:sz w:val="18"/>
                <w:szCs w:val="18"/>
              </w:rPr>
              <w:t>人民币金额</w:t>
            </w:r>
          </w:p>
        </w:tc>
        <w:tc>
          <w:tcPr>
            <w:tcW w:w="1272" w:type="dxa"/>
            <w:tcBorders>
              <w:top w:val="nil" w:sz="6" w:space="0" w:color="auto"/>
              <w:left w:val="nil" w:sz="6" w:space="0" w:color="auto"/>
              <w:bottom w:val="nil" w:sz="6" w:space="0" w:color="auto"/>
              <w:right w:val="nil" w:sz="6" w:space="0" w:color="auto"/>
            </w:tcBorders>
          </w:tcPr>
          <w:p>
            <w:pPr>
              <w:pStyle w:val="TableParagraph"/>
              <w:spacing w:line="197" w:lineRule="exact"/>
              <w:ind w:left="266"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1003" w:type="dxa"/>
            <w:tcBorders>
              <w:top w:val="nil" w:sz="6" w:space="0" w:color="auto"/>
              <w:left w:val="nil" w:sz="6" w:space="0" w:color="auto"/>
              <w:bottom w:val="nil" w:sz="6" w:space="0" w:color="auto"/>
              <w:right w:val="nil" w:sz="6" w:space="0" w:color="auto"/>
            </w:tcBorders>
          </w:tcPr>
          <w:p>
            <w:pPr>
              <w:pStyle w:val="TableParagraph"/>
              <w:spacing w:line="197" w:lineRule="exact"/>
              <w:ind w:left="175" w:right="0"/>
              <w:jc w:val="left"/>
              <w:rPr>
                <w:rFonts w:ascii="宋体" w:hAnsi="宋体" w:cs="宋体" w:eastAsia="宋体" w:hint="default"/>
                <w:sz w:val="18"/>
                <w:szCs w:val="18"/>
              </w:rPr>
            </w:pPr>
            <w:r>
              <w:rPr>
                <w:rFonts w:ascii="宋体" w:hAnsi="宋体" w:cs="宋体" w:eastAsia="宋体" w:hint="default"/>
                <w:sz w:val="18"/>
                <w:szCs w:val="18"/>
              </w:rPr>
              <w:t>折算率</w:t>
            </w:r>
          </w:p>
        </w:tc>
        <w:tc>
          <w:tcPr>
            <w:tcW w:w="1282" w:type="dxa"/>
            <w:tcBorders>
              <w:top w:val="nil" w:sz="6" w:space="0" w:color="auto"/>
              <w:left w:val="nil" w:sz="6" w:space="0" w:color="auto"/>
              <w:bottom w:val="nil" w:sz="6" w:space="0" w:color="auto"/>
              <w:right w:val="nil" w:sz="6" w:space="0" w:color="auto"/>
            </w:tcBorders>
          </w:tcPr>
          <w:p>
            <w:pPr>
              <w:pStyle w:val="TableParagraph"/>
              <w:spacing w:line="197" w:lineRule="exact"/>
              <w:ind w:left="144" w:right="0"/>
              <w:jc w:val="left"/>
              <w:rPr>
                <w:rFonts w:ascii="宋体" w:hAnsi="宋体" w:cs="宋体" w:eastAsia="宋体" w:hint="default"/>
                <w:sz w:val="18"/>
                <w:szCs w:val="18"/>
              </w:rPr>
            </w:pPr>
            <w:r>
              <w:rPr>
                <w:rFonts w:ascii="宋体" w:hAnsi="宋体" w:cs="宋体" w:eastAsia="宋体" w:hint="default"/>
                <w:sz w:val="18"/>
                <w:szCs w:val="18"/>
              </w:rPr>
              <w:t>人民币金额</w:t>
            </w:r>
          </w:p>
        </w:tc>
      </w:tr>
      <w:tr>
        <w:trPr>
          <w:trHeight w:val="420" w:hRule="exact"/>
        </w:trPr>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  欧元</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66"/>
              <w:jc w:val="right"/>
              <w:rPr>
                <w:rFonts w:ascii="Times New Roman" w:hAnsi="Times New Roman" w:cs="Times New Roman" w:eastAsia="Times New Roman" w:hint="default"/>
                <w:sz w:val="18"/>
                <w:szCs w:val="18"/>
              </w:rPr>
            </w:pPr>
            <w:r>
              <w:rPr>
                <w:rFonts w:ascii="Times New Roman"/>
                <w:sz w:val="18"/>
              </w:rPr>
              <w:t>6</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21"/>
              <w:jc w:val="right"/>
              <w:rPr>
                <w:rFonts w:ascii="Times New Roman" w:hAnsi="Times New Roman" w:cs="Times New Roman" w:eastAsia="Times New Roman" w:hint="default"/>
                <w:sz w:val="18"/>
                <w:szCs w:val="18"/>
              </w:rPr>
            </w:pPr>
            <w:r>
              <w:rPr>
                <w:rFonts w:ascii="Times New Roman"/>
                <w:sz w:val="18"/>
              </w:rPr>
              <w:t>9.7971</w:t>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6"/>
              <w:jc w:val="right"/>
              <w:rPr>
                <w:rFonts w:ascii="Times New Roman" w:hAnsi="Times New Roman" w:cs="Times New Roman" w:eastAsia="Times New Roman" w:hint="default"/>
                <w:sz w:val="18"/>
                <w:szCs w:val="18"/>
              </w:rPr>
            </w:pPr>
            <w:r>
              <w:rPr>
                <w:rFonts w:ascii="Times New Roman"/>
                <w:sz w:val="18"/>
              </w:rPr>
              <w:t>59</w:t>
            </w:r>
          </w:p>
        </w:tc>
        <w:tc>
          <w:tcPr>
            <w:tcW w:w="1272"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
        </w:tc>
      </w:tr>
      <w:tr>
        <w:trPr>
          <w:trHeight w:val="410" w:hRule="exact"/>
        </w:trPr>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  小计</w:t>
            </w:r>
          </w:p>
        </w:tc>
        <w:tc>
          <w:tcPr>
            <w:tcW w:w="1349"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155,016</w:t>
            </w:r>
          </w:p>
        </w:tc>
        <w:tc>
          <w:tcPr>
            <w:tcW w:w="1272"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496,480</w:t>
            </w:r>
          </w:p>
        </w:tc>
      </w:tr>
      <w:tr>
        <w:trPr>
          <w:trHeight w:val="400" w:hRule="exact"/>
        </w:trPr>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349"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
        </w:tc>
        <w:tc>
          <w:tcPr>
            <w:tcW w:w="1299"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
        </w:tc>
      </w:tr>
      <w:tr>
        <w:trPr>
          <w:trHeight w:val="420" w:hRule="exact"/>
        </w:trPr>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  人民币</w:t>
            </w:r>
          </w:p>
        </w:tc>
        <w:tc>
          <w:tcPr>
            <w:tcW w:w="1349"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6"/>
              <w:jc w:val="right"/>
              <w:rPr>
                <w:rFonts w:ascii="Times New Roman" w:hAnsi="Times New Roman" w:cs="Times New Roman" w:eastAsia="Times New Roman" w:hint="default"/>
                <w:sz w:val="18"/>
                <w:szCs w:val="18"/>
              </w:rPr>
            </w:pPr>
            <w:r>
              <w:rPr>
                <w:rFonts w:ascii="Times New Roman"/>
                <w:spacing w:val="-1"/>
                <w:sz w:val="18"/>
              </w:rPr>
              <w:t>1,244,366,301</w:t>
            </w:r>
          </w:p>
        </w:tc>
        <w:tc>
          <w:tcPr>
            <w:tcW w:w="1272"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7"/>
              <w:jc w:val="right"/>
              <w:rPr>
                <w:rFonts w:ascii="Times New Roman" w:hAnsi="Times New Roman" w:cs="Times New Roman" w:eastAsia="Times New Roman" w:hint="default"/>
                <w:sz w:val="18"/>
                <w:szCs w:val="18"/>
              </w:rPr>
            </w:pPr>
            <w:r>
              <w:rPr>
                <w:rFonts w:ascii="Times New Roman"/>
                <w:sz w:val="18"/>
              </w:rPr>
              <w:t>681,348,092</w:t>
            </w:r>
          </w:p>
        </w:tc>
      </w:tr>
      <w:tr>
        <w:trPr>
          <w:trHeight w:val="410" w:hRule="exact"/>
        </w:trPr>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  美元</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19,859,400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1"/>
              <w:jc w:val="right"/>
              <w:rPr>
                <w:rFonts w:ascii="Times New Roman" w:hAnsi="Times New Roman" w:cs="Times New Roman" w:eastAsia="Times New Roman" w:hint="default"/>
                <w:sz w:val="18"/>
                <w:szCs w:val="18"/>
              </w:rPr>
            </w:pPr>
            <w:r>
              <w:rPr>
                <w:rFonts w:ascii="Times New Roman"/>
                <w:sz w:val="18"/>
              </w:rPr>
              <w:t>6.8282</w:t>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135,603,955</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10,836,641</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07" w:right="0"/>
              <w:jc w:val="left"/>
              <w:rPr>
                <w:rFonts w:ascii="Times New Roman" w:hAnsi="Times New Roman" w:cs="Times New Roman" w:eastAsia="Times New Roman" w:hint="default"/>
                <w:sz w:val="18"/>
                <w:szCs w:val="18"/>
              </w:rPr>
            </w:pPr>
            <w:r>
              <w:rPr>
                <w:rFonts w:ascii="Times New Roman"/>
                <w:sz w:val="18"/>
              </w:rPr>
              <w:t>6.8346</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74,064,107</w:t>
            </w:r>
          </w:p>
        </w:tc>
      </w:tr>
      <w:tr>
        <w:trPr>
          <w:trHeight w:val="410" w:hRule="exact"/>
        </w:trPr>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  日元</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7"/>
              <w:jc w:val="right"/>
              <w:rPr>
                <w:rFonts w:ascii="Times New Roman" w:hAnsi="Times New Roman" w:cs="Times New Roman" w:eastAsia="Times New Roman" w:hint="default"/>
                <w:sz w:val="18"/>
                <w:szCs w:val="18"/>
              </w:rPr>
            </w:pPr>
            <w:r>
              <w:rPr>
                <w:rFonts w:ascii="Times New Roman"/>
                <w:spacing w:val="-1"/>
                <w:sz w:val="18"/>
              </w:rPr>
              <w:t>2,276,766,966</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1"/>
              <w:jc w:val="right"/>
              <w:rPr>
                <w:rFonts w:ascii="Times New Roman" w:hAnsi="Times New Roman" w:cs="Times New Roman" w:eastAsia="Times New Roman" w:hint="default"/>
                <w:sz w:val="18"/>
                <w:szCs w:val="18"/>
              </w:rPr>
            </w:pPr>
            <w:r>
              <w:rPr>
                <w:rFonts w:ascii="Times New Roman"/>
                <w:sz w:val="18"/>
              </w:rPr>
              <w:t>0.073782</w:t>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167,984,420</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pacing w:val="-1"/>
                <w:sz w:val="18"/>
              </w:rPr>
              <w:t>2,319,271,978</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26" w:right="0"/>
              <w:jc w:val="left"/>
              <w:rPr>
                <w:rFonts w:ascii="Times New Roman" w:hAnsi="Times New Roman" w:cs="Times New Roman" w:eastAsia="Times New Roman" w:hint="default"/>
                <w:sz w:val="18"/>
                <w:szCs w:val="18"/>
              </w:rPr>
            </w:pPr>
            <w:r>
              <w:rPr>
                <w:rFonts w:ascii="Times New Roman"/>
                <w:sz w:val="18"/>
              </w:rPr>
              <w:t>0.075650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175,452,925</w:t>
            </w:r>
          </w:p>
        </w:tc>
      </w:tr>
      <w:tr>
        <w:trPr>
          <w:trHeight w:val="410" w:hRule="exact"/>
        </w:trPr>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  港币</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351,213</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1"/>
              <w:jc w:val="right"/>
              <w:rPr>
                <w:rFonts w:ascii="Times New Roman" w:hAnsi="Times New Roman" w:cs="Times New Roman" w:eastAsia="Times New Roman" w:hint="default"/>
                <w:sz w:val="18"/>
                <w:szCs w:val="18"/>
              </w:rPr>
            </w:pPr>
            <w:r>
              <w:rPr>
                <w:rFonts w:ascii="Times New Roman"/>
                <w:sz w:val="18"/>
              </w:rPr>
              <w:t>0.8805</w:t>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309,243</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pacing w:val="-2"/>
                <w:sz w:val="18"/>
              </w:rPr>
              <w:t>113,915</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07" w:right="0"/>
              <w:jc w:val="left"/>
              <w:rPr>
                <w:rFonts w:ascii="Times New Roman" w:hAnsi="Times New Roman" w:cs="Times New Roman" w:eastAsia="Times New Roman" w:hint="default"/>
                <w:sz w:val="18"/>
                <w:szCs w:val="18"/>
              </w:rPr>
            </w:pPr>
            <w:r>
              <w:rPr>
                <w:rFonts w:ascii="Times New Roman"/>
                <w:sz w:val="18"/>
              </w:rPr>
              <w:t>0.8819</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100,462</w:t>
            </w:r>
          </w:p>
        </w:tc>
      </w:tr>
      <w:tr>
        <w:trPr>
          <w:trHeight w:val="410" w:hRule="exact"/>
        </w:trPr>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新加坡元</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949,292</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1"/>
              <w:jc w:val="right"/>
              <w:rPr>
                <w:rFonts w:ascii="Times New Roman" w:hAnsi="Times New Roman" w:cs="Times New Roman" w:eastAsia="Times New Roman" w:hint="default"/>
                <w:sz w:val="18"/>
                <w:szCs w:val="18"/>
              </w:rPr>
            </w:pPr>
            <w:r>
              <w:rPr>
                <w:rFonts w:ascii="Times New Roman"/>
                <w:sz w:val="18"/>
              </w:rPr>
              <w:t>4.8605</w:t>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4,614,034</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4"/>
              <w:jc w:val="right"/>
              <w:rPr>
                <w:rFonts w:ascii="Times New Roman" w:hAnsi="Times New Roman" w:cs="Times New Roman" w:eastAsia="Times New Roman" w:hint="default"/>
                <w:sz w:val="18"/>
                <w:szCs w:val="18"/>
              </w:rPr>
            </w:pPr>
            <w:r>
              <w:rPr>
                <w:rFonts w:ascii="Times New Roman"/>
                <w:sz w:val="18"/>
              </w:rPr>
              <w:t>23,714,443</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07" w:right="0"/>
              <w:jc w:val="left"/>
              <w:rPr>
                <w:rFonts w:ascii="Times New Roman" w:hAnsi="Times New Roman" w:cs="Times New Roman" w:eastAsia="Times New Roman" w:hint="default"/>
                <w:sz w:val="18"/>
                <w:szCs w:val="18"/>
              </w:rPr>
            </w:pPr>
            <w:r>
              <w:rPr>
                <w:rFonts w:ascii="Times New Roman"/>
                <w:sz w:val="18"/>
              </w:rPr>
              <w:t>4.7530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pacing w:val="-1"/>
                <w:sz w:val="18"/>
              </w:rPr>
              <w:t>112,714,748</w:t>
            </w:r>
          </w:p>
        </w:tc>
      </w:tr>
      <w:tr>
        <w:trPr>
          <w:trHeight w:val="410" w:hRule="exact"/>
        </w:trPr>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  欧元</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6,132,689</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1"/>
              <w:jc w:val="right"/>
              <w:rPr>
                <w:rFonts w:ascii="Times New Roman" w:hAnsi="Times New Roman" w:cs="Times New Roman" w:eastAsia="Times New Roman" w:hint="default"/>
                <w:sz w:val="18"/>
                <w:szCs w:val="18"/>
              </w:rPr>
            </w:pPr>
            <w:r>
              <w:rPr>
                <w:rFonts w:ascii="Times New Roman"/>
                <w:sz w:val="18"/>
              </w:rPr>
              <w:t>9.7971</w:t>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60,082,567</w:t>
            </w:r>
          </w:p>
        </w:tc>
        <w:tc>
          <w:tcPr>
            <w:tcW w:w="127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pacing w:val="-1"/>
                <w:sz w:val="18"/>
              </w:rPr>
              <w:t>11,458,222</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06" w:right="0"/>
              <w:jc w:val="left"/>
              <w:rPr>
                <w:rFonts w:ascii="Times New Roman" w:hAnsi="Times New Roman" w:cs="Times New Roman" w:eastAsia="Times New Roman" w:hint="default"/>
                <w:sz w:val="18"/>
                <w:szCs w:val="18"/>
              </w:rPr>
            </w:pPr>
            <w:r>
              <w:rPr>
                <w:rFonts w:ascii="Times New Roman"/>
                <w:sz w:val="18"/>
              </w:rPr>
              <w:t>9.6590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pacing w:val="-1"/>
                <w:sz w:val="18"/>
              </w:rPr>
              <w:t>110,674,966</w:t>
            </w:r>
          </w:p>
        </w:tc>
      </w:tr>
      <w:tr>
        <w:trPr>
          <w:trHeight w:val="410" w:hRule="exact"/>
        </w:trPr>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瑞士法郎</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376,122</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0"/>
              <w:jc w:val="right"/>
              <w:rPr>
                <w:rFonts w:ascii="Times New Roman" w:hAnsi="Times New Roman" w:cs="Times New Roman" w:eastAsia="Times New Roman" w:hint="default"/>
                <w:sz w:val="18"/>
                <w:szCs w:val="18"/>
              </w:rPr>
            </w:pPr>
            <w:r>
              <w:rPr>
                <w:rFonts w:ascii="Times New Roman"/>
                <w:sz w:val="18"/>
              </w:rPr>
              <w:t>6.5938</w:t>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2,480,073</w:t>
            </w:r>
          </w:p>
        </w:tc>
        <w:tc>
          <w:tcPr>
            <w:tcW w:w="1272"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
        </w:tc>
      </w:tr>
      <w:tr>
        <w:trPr>
          <w:trHeight w:val="410" w:hRule="exact"/>
        </w:trPr>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罗马尼亚列伊</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169,685</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1"/>
              <w:jc w:val="right"/>
              <w:rPr>
                <w:rFonts w:ascii="Times New Roman" w:hAnsi="Times New Roman" w:cs="Times New Roman" w:eastAsia="Times New Roman" w:hint="default"/>
                <w:sz w:val="18"/>
                <w:szCs w:val="18"/>
              </w:rPr>
            </w:pPr>
            <w:r>
              <w:rPr>
                <w:rFonts w:ascii="Times New Roman"/>
                <w:sz w:val="18"/>
              </w:rPr>
              <w:t>2.3159</w:t>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392,973</w:t>
            </w:r>
          </w:p>
        </w:tc>
        <w:tc>
          <w:tcPr>
            <w:tcW w:w="1272"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
        </w:tc>
      </w:tr>
      <w:tr>
        <w:trPr>
          <w:trHeight w:val="410" w:hRule="exact"/>
        </w:trPr>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  小计</w:t>
            </w:r>
          </w:p>
        </w:tc>
        <w:tc>
          <w:tcPr>
            <w:tcW w:w="1349"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1"/>
                <w:sz w:val="18"/>
              </w:rPr>
              <w:t>1,615,833,566</w:t>
            </w:r>
          </w:p>
        </w:tc>
        <w:tc>
          <w:tcPr>
            <w:tcW w:w="1272"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pacing w:val="-1"/>
                <w:sz w:val="18"/>
              </w:rPr>
              <w:t>1,154,355,300</w:t>
            </w:r>
          </w:p>
        </w:tc>
      </w:tr>
      <w:tr>
        <w:trPr>
          <w:trHeight w:val="401" w:hRule="exact"/>
        </w:trPr>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1349"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
        </w:tc>
        <w:tc>
          <w:tcPr>
            <w:tcW w:w="1299" w:type="dxa"/>
            <w:tcBorders>
              <w:top w:val="nil" w:sz="6" w:space="0" w:color="auto"/>
              <w:left w:val="nil" w:sz="6" w:space="0" w:color="auto"/>
              <w:bottom w:val="nil" w:sz="6" w:space="0" w:color="auto"/>
              <w:right w:val="nil" w:sz="6" w:space="0" w:color="auto"/>
            </w:tcBorders>
          </w:tcPr>
          <w:p>
            <w:pPr/>
          </w:p>
        </w:tc>
        <w:tc>
          <w:tcPr>
            <w:tcW w:w="1272"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
        </w:tc>
      </w:tr>
      <w:tr>
        <w:trPr>
          <w:trHeight w:val="420" w:hRule="exact"/>
        </w:trPr>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  人民币</w:t>
            </w:r>
          </w:p>
        </w:tc>
        <w:tc>
          <w:tcPr>
            <w:tcW w:w="1349"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6"/>
              <w:jc w:val="right"/>
              <w:rPr>
                <w:rFonts w:ascii="Times New Roman" w:hAnsi="Times New Roman" w:cs="Times New Roman" w:eastAsia="Times New Roman" w:hint="default"/>
                <w:sz w:val="18"/>
                <w:szCs w:val="18"/>
              </w:rPr>
            </w:pPr>
            <w:r>
              <w:rPr>
                <w:rFonts w:ascii="Times New Roman"/>
                <w:sz w:val="18"/>
              </w:rPr>
              <w:t>1,979,134</w:t>
            </w:r>
          </w:p>
        </w:tc>
        <w:tc>
          <w:tcPr>
            <w:tcW w:w="1272"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7"/>
              <w:jc w:val="right"/>
              <w:rPr>
                <w:rFonts w:ascii="Times New Roman" w:hAnsi="Times New Roman" w:cs="Times New Roman" w:eastAsia="Times New Roman" w:hint="default"/>
                <w:sz w:val="18"/>
                <w:szCs w:val="18"/>
              </w:rPr>
            </w:pPr>
            <w:r>
              <w:rPr>
                <w:rFonts w:ascii="Times New Roman"/>
                <w:sz w:val="18"/>
              </w:rPr>
              <w:t>2,294,922</w:t>
            </w:r>
          </w:p>
        </w:tc>
      </w:tr>
      <w:tr>
        <w:trPr>
          <w:trHeight w:val="410" w:hRule="exact"/>
        </w:trPr>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  小计</w:t>
            </w:r>
          </w:p>
        </w:tc>
        <w:tc>
          <w:tcPr>
            <w:tcW w:w="1349"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1,979,134</w:t>
            </w:r>
          </w:p>
        </w:tc>
        <w:tc>
          <w:tcPr>
            <w:tcW w:w="1272"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2,294,922</w:t>
            </w:r>
          </w:p>
        </w:tc>
      </w:tr>
      <w:tr>
        <w:trPr>
          <w:trHeight w:val="324" w:hRule="exact"/>
        </w:trPr>
        <w:tc>
          <w:tcPr>
            <w:tcW w:w="1348" w:type="dxa"/>
            <w:tcBorders>
              <w:top w:val="nil" w:sz="6" w:space="0" w:color="auto"/>
              <w:left w:val="nil" w:sz="6" w:space="0" w:color="auto"/>
              <w:bottom w:val="single" w:sz="8" w:space="0" w:color="000000"/>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349" w:type="dxa"/>
            <w:tcBorders>
              <w:top w:val="nil" w:sz="6" w:space="0" w:color="auto"/>
              <w:left w:val="nil" w:sz="6" w:space="0" w:color="auto"/>
              <w:bottom w:val="single" w:sz="8" w:space="0" w:color="000000"/>
              <w:right w:val="nil" w:sz="6" w:space="0" w:color="auto"/>
            </w:tcBorders>
          </w:tcPr>
          <w:p>
            <w:pPr/>
          </w:p>
        </w:tc>
        <w:tc>
          <w:tcPr>
            <w:tcW w:w="1078" w:type="dxa"/>
            <w:tcBorders>
              <w:top w:val="nil" w:sz="6" w:space="0" w:color="auto"/>
              <w:left w:val="nil" w:sz="6" w:space="0" w:color="auto"/>
              <w:bottom w:val="single" w:sz="8" w:space="0" w:color="000000"/>
              <w:right w:val="nil" w:sz="6" w:space="0" w:color="auto"/>
            </w:tcBorders>
          </w:tcPr>
          <w:p>
            <w:pPr/>
          </w:p>
        </w:tc>
        <w:tc>
          <w:tcPr>
            <w:tcW w:w="1299"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38"/>
              <w:jc w:val="right"/>
              <w:rPr>
                <w:rFonts w:ascii="Times New Roman" w:hAnsi="Times New Roman" w:cs="Times New Roman" w:eastAsia="Times New Roman" w:hint="default"/>
                <w:sz w:val="18"/>
                <w:szCs w:val="18"/>
              </w:rPr>
            </w:pPr>
            <w:r>
              <w:rPr>
                <w:rFonts w:ascii="Times New Roman"/>
                <w:spacing w:val="-1"/>
                <w:sz w:val="18"/>
              </w:rPr>
              <w:t>1,617,967,716</w:t>
            </w:r>
          </w:p>
        </w:tc>
        <w:tc>
          <w:tcPr>
            <w:tcW w:w="1272" w:type="dxa"/>
            <w:tcBorders>
              <w:top w:val="nil" w:sz="6" w:space="0" w:color="auto"/>
              <w:left w:val="nil" w:sz="6" w:space="0" w:color="auto"/>
              <w:bottom w:val="single" w:sz="8" w:space="0" w:color="000000"/>
              <w:right w:val="nil" w:sz="6" w:space="0" w:color="auto"/>
            </w:tcBorders>
          </w:tcPr>
          <w:p>
            <w:pPr/>
          </w:p>
        </w:tc>
        <w:tc>
          <w:tcPr>
            <w:tcW w:w="1003" w:type="dxa"/>
            <w:tcBorders>
              <w:top w:val="nil" w:sz="6" w:space="0" w:color="auto"/>
              <w:left w:val="nil" w:sz="6" w:space="0" w:color="auto"/>
              <w:bottom w:val="single" w:sz="8" w:space="0" w:color="000000"/>
              <w:right w:val="nil" w:sz="6" w:space="0" w:color="auto"/>
            </w:tcBorders>
          </w:tcPr>
          <w:p>
            <w:pPr/>
          </w:p>
        </w:tc>
        <w:tc>
          <w:tcPr>
            <w:tcW w:w="1282"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pacing w:val="-1"/>
                <w:sz w:val="18"/>
              </w:rPr>
              <w:t>1,157,146,702</w:t>
            </w:r>
          </w:p>
        </w:tc>
      </w:tr>
    </w:tbl>
    <w:p>
      <w:pPr>
        <w:spacing w:before="83"/>
        <w:ind w:left="857" w:right="0" w:firstLine="0"/>
        <w:jc w:val="left"/>
        <w:rPr>
          <w:rFonts w:ascii="宋体" w:hAnsi="宋体" w:cs="宋体" w:eastAsia="宋体" w:hint="default"/>
          <w:sz w:val="21"/>
          <w:szCs w:val="21"/>
        </w:rPr>
      </w:pPr>
      <w:r>
        <w:rPr/>
        <w:pict>
          <v:group style="position:absolute;margin-left:70.260010pt;margin-top:-371.485992pt;width:463.2pt;height:370.05pt;mso-position-horizontal-relative:page;mso-position-vertical-relative:paragraph;z-index:-993112" coordorigin="1405,-7430" coordsize="9264,7401">
            <v:group style="position:absolute;left:1410;top:-7425;width:9232;height:2" coordorigin="1410,-7425" coordsize="9232,2">
              <v:shape style="position:absolute;left:1410;top:-7425;width:9232;height:2" coordorigin="1410,-7425" coordsize="9232,0" path="m1410,-7425l10642,-7425e" filled="false" stroked="true" strokeweight=".47998pt" strokecolor="#000000">
                <v:path arrowok="t"/>
              </v:shape>
            </v:group>
            <v:group style="position:absolute;left:2057;top:-7411;width:1350;height:2" coordorigin="2057,-7411" coordsize="1350,2">
              <v:shape style="position:absolute;left:2057;top:-7411;width:1350;height:2" coordorigin="2057,-7411" coordsize="1350,0" path="m2057,-7411l3407,-7411e" filled="false" stroked="true" strokeweight=".96002pt" strokecolor="#000000">
                <v:path arrowok="t"/>
              </v:shape>
            </v:group>
            <v:group style="position:absolute;left:3407;top:-7411;width:3698;height:2" coordorigin="3407,-7411" coordsize="3698,2">
              <v:shape style="position:absolute;left:3407;top:-7411;width:3698;height:2" coordorigin="3407,-7411" coordsize="3698,0" path="m3407,-7411l7104,-7411e" filled="false" stroked="true" strokeweight=".96002pt" strokecolor="#000000">
                <v:path arrowok="t"/>
              </v:shape>
            </v:group>
            <v:group style="position:absolute;left:7104;top:-7411;width:3555;height:2" coordorigin="7104,-7411" coordsize="3555,2">
              <v:shape style="position:absolute;left:7104;top:-7411;width:3555;height:2" coordorigin="7104,-7411" coordsize="3555,0" path="m7104,-7411l10658,-7411e" filled="false" stroked="true" strokeweight=".96002pt" strokecolor="#000000">
                <v:path arrowok="t"/>
              </v:shape>
              <v:shape style="position:absolute;left:2050;top:-7401;width:8620;height:7372" type="#_x0000_t75" stroked="false">
                <v:imagedata r:id="rId47" o:title=""/>
              </v:shape>
            </v:group>
            <w10:wrap type="none"/>
          </v:group>
        </w:pict>
      </w:r>
      <w:r>
        <w:rPr>
          <w:rFonts w:ascii="Times New Roman" w:hAnsi="Times New Roman" w:cs="Times New Roman" w:eastAsia="Times New Roman" w:hint="default"/>
          <w:sz w:val="21"/>
          <w:szCs w:val="21"/>
        </w:rPr>
        <w:t>1</w:t>
      </w:r>
      <w:r>
        <w:rPr>
          <w:rFonts w:ascii="宋体" w:hAnsi="宋体" w:cs="宋体" w:eastAsia="宋体" w:hint="default"/>
          <w:sz w:val="21"/>
          <w:szCs w:val="21"/>
        </w:rPr>
        <w:t>、期末货币资金中存放在境外的款项余额折合计人民币为</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203,280,065</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元。</w:t>
      </w:r>
    </w:p>
    <w:p>
      <w:pPr>
        <w:spacing w:line="328" w:lineRule="auto" w:before="110"/>
        <w:ind w:left="857" w:right="94"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、期末其他货币资金中 </w:t>
      </w:r>
      <w:r>
        <w:rPr>
          <w:rFonts w:ascii="Times New Roman" w:hAnsi="Times New Roman" w:cs="Times New Roman" w:eastAsia="Times New Roman" w:hint="default"/>
          <w:sz w:val="21"/>
          <w:szCs w:val="21"/>
        </w:rPr>
        <w:t>1,978,670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元为本公司之子公司沈阳东软医疗系统有限公司由于涉及 诉讼被冻结的银行资金（期初亦为 </w:t>
      </w:r>
      <w:r>
        <w:rPr>
          <w:rFonts w:ascii="Times New Roman" w:hAnsi="Times New Roman" w:cs="Times New Roman" w:eastAsia="Times New Roman" w:hint="default"/>
          <w:spacing w:val="-1"/>
          <w:sz w:val="21"/>
          <w:szCs w:val="21"/>
        </w:rPr>
        <w:t>1,978,670</w:t>
      </w:r>
      <w:r>
        <w:rPr>
          <w:rFonts w:ascii="Times New Roman" w:hAnsi="Times New Roman" w:cs="Times New Roman" w:eastAsia="Times New Roman" w:hint="default"/>
          <w:sz w:val="21"/>
          <w:szCs w:val="21"/>
        </w:rPr>
        <w:t> </w:t>
      </w:r>
      <w:r>
        <w:rPr>
          <w:rFonts w:ascii="宋体" w:hAnsi="宋体" w:cs="宋体" w:eastAsia="宋体" w:hint="default"/>
          <w:spacing w:val="-18"/>
          <w:sz w:val="21"/>
          <w:szCs w:val="21"/>
        </w:rPr>
        <w:t>元）；</w:t>
      </w:r>
      <w:r>
        <w:rPr>
          <w:rFonts w:ascii="Times New Roman" w:hAnsi="Times New Roman" w:cs="Times New Roman" w:eastAsia="Times New Roman" w:hint="default"/>
          <w:spacing w:val="-18"/>
          <w:sz w:val="21"/>
          <w:szCs w:val="21"/>
        </w:rPr>
        <w:t>464</w:t>
      </w:r>
      <w:r>
        <w:rPr>
          <w:rFonts w:ascii="Times New Roman" w:hAnsi="Times New Roman" w:cs="Times New Roman" w:eastAsia="Times New Roman" w:hint="default"/>
          <w:spacing w:val="-32"/>
          <w:sz w:val="21"/>
          <w:szCs w:val="21"/>
        </w:rPr>
        <w:t> </w:t>
      </w:r>
      <w:r>
        <w:rPr>
          <w:rFonts w:ascii="宋体" w:hAnsi="宋体" w:cs="宋体" w:eastAsia="宋体" w:hint="default"/>
          <w:spacing w:val="-1"/>
          <w:sz w:val="21"/>
          <w:szCs w:val="21"/>
        </w:rPr>
        <w:t>元为本公司在证券公司的存出投资款。</w:t>
      </w:r>
    </w:p>
    <w:p>
      <w:pPr>
        <w:spacing w:line="240" w:lineRule="auto" w:before="5"/>
        <w:rPr>
          <w:rFonts w:ascii="宋体" w:hAnsi="宋体" w:cs="宋体" w:eastAsia="宋体" w:hint="default"/>
          <w:sz w:val="32"/>
          <w:szCs w:val="32"/>
        </w:rPr>
      </w:pPr>
    </w:p>
    <w:p>
      <w:pPr>
        <w:tabs>
          <w:tab w:pos="853" w:val="left" w:leader="none"/>
        </w:tabs>
        <w:spacing w:before="0"/>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交易性金融资产</w:t>
      </w:r>
    </w:p>
    <w:p>
      <w:pPr>
        <w:spacing w:line="1670" w:lineRule="exact"/>
        <w:ind w:left="725"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31.7pt;height:83.55pt;mso-position-horizontal-relative:char;mso-position-vertical-relative:line" coordorigin="0,0" coordsize="8634,1671">
            <v:group style="position:absolute;left:24;top:10;width:3560;height:2" coordorigin="24,10" coordsize="3560,2">
              <v:shape style="position:absolute;left:24;top:10;width:3560;height:2" coordorigin="24,10" coordsize="3560,0" path="m24,10l3583,10e" filled="false" stroked="true" strokeweight=".96002pt" strokecolor="#000000">
                <v:path arrowok="t"/>
              </v:shape>
            </v:group>
            <v:group style="position:absolute;left:3583;top:10;width:2632;height:2" coordorigin="3583,10" coordsize="2632,2">
              <v:shape style="position:absolute;left:3583;top:10;width:2632;height:2" coordorigin="3583,10" coordsize="2632,0" path="m3583,10l6215,10e" filled="false" stroked="true" strokeweight=".96002pt" strokecolor="#000000">
                <v:path arrowok="t"/>
              </v:shape>
            </v:group>
            <v:group style="position:absolute;left:6215;top:10;width:2403;height:2" coordorigin="6215,10" coordsize="2403,2">
              <v:shape style="position:absolute;left:6215;top:10;width:2403;height:2" coordorigin="6215,10" coordsize="2403,0" path="m6215,10l8617,10e" filled="false" stroked="true" strokeweight=".96002pt" strokecolor="#000000">
                <v:path arrowok="t"/>
              </v:shape>
            </v:group>
            <v:group style="position:absolute;left:10;top:1661;width:3574;height:2" coordorigin="10,1661" coordsize="3574,2">
              <v:shape style="position:absolute;left:10;top:1661;width:3574;height:2" coordorigin="10,1661" coordsize="3574,0" path="m10,1661l3583,1661e" filled="false" stroked="true" strokeweight=".95999pt" strokecolor="#000000">
                <v:path arrowok="t"/>
              </v:shape>
            </v:group>
            <v:group style="position:absolute;left:3583;top:1661;width:2632;height:2" coordorigin="3583,1661" coordsize="2632,2">
              <v:shape style="position:absolute;left:3583;top:1661;width:2632;height:2" coordorigin="3583,1661" coordsize="2632,0" path="m3583,1661l6215,1661e" filled="false" stroked="true" strokeweight=".95999pt" strokecolor="#000000">
                <v:path arrowok="t"/>
              </v:shape>
              <v:shape style="position:absolute;left:24;top:19;width:8596;height:1632" type="#_x0000_t75" stroked="false">
                <v:imagedata r:id="rId48" o:title=""/>
              </v:shape>
            </v:group>
            <v:group style="position:absolute;left:6215;top:1661;width:2410;height:2" coordorigin="6215,1661" coordsize="2410,2">
              <v:shape style="position:absolute;left:6215;top:1661;width:2410;height:2" coordorigin="6215,1661" coordsize="2410,0" path="m6215,1661l8624,1661e" filled="false" stroked="true" strokeweight=".95999pt" strokecolor="#000000">
                <v:path arrowok="t"/>
              </v:shape>
              <v:shape style="position:absolute;left:132;top:178;width:2730;height:1439" type="#_x0000_t202" filled="false" stroked="false">
                <v:textbox inset="0,0,0,0">
                  <w:txbxContent>
                    <w:p>
                      <w:pPr>
                        <w:spacing w:line="210" w:lineRule="exact" w:before="0"/>
                        <w:ind w:left="1252" w:right="0" w:firstLine="0"/>
                        <w:jc w:val="left"/>
                        <w:rPr>
                          <w:rFonts w:ascii="宋体" w:hAnsi="宋体" w:cs="宋体" w:eastAsia="宋体" w:hint="default"/>
                          <w:sz w:val="21"/>
                          <w:szCs w:val="21"/>
                        </w:rPr>
                      </w:pPr>
                      <w:r>
                        <w:rPr>
                          <w:rFonts w:ascii="宋体" w:hAnsi="宋体" w:cs="宋体" w:eastAsia="宋体" w:hint="default"/>
                          <w:sz w:val="21"/>
                          <w:szCs w:val="21"/>
                        </w:rPr>
                        <w:t>项    目</w:t>
                      </w:r>
                    </w:p>
                    <w:p>
                      <w:pPr>
                        <w:spacing w:line="357" w:lineRule="auto" w:before="134"/>
                        <w:ind w:left="420" w:right="0" w:hanging="420"/>
                        <w:jc w:val="left"/>
                        <w:rPr>
                          <w:rFonts w:ascii="宋体" w:hAnsi="宋体" w:cs="宋体" w:eastAsia="宋体" w:hint="default"/>
                          <w:sz w:val="21"/>
                          <w:szCs w:val="21"/>
                        </w:rPr>
                      </w:pPr>
                      <w:r>
                        <w:rPr>
                          <w:rFonts w:ascii="宋体" w:hAnsi="宋体" w:cs="宋体" w:eastAsia="宋体" w:hint="default"/>
                          <w:sz w:val="21"/>
                          <w:szCs w:val="21"/>
                        </w:rPr>
                        <w:t>交易性金融资产 外币远期结汇合同（注）</w:t>
                      </w:r>
                    </w:p>
                    <w:p>
                      <w:pPr>
                        <w:spacing w:before="31"/>
                        <w:ind w:left="1252" w:right="0" w:firstLine="0"/>
                        <w:jc w:val="left"/>
                        <w:rPr>
                          <w:rFonts w:ascii="宋体" w:hAnsi="宋体" w:cs="宋体" w:eastAsia="宋体" w:hint="default"/>
                          <w:sz w:val="21"/>
                          <w:szCs w:val="21"/>
                        </w:rPr>
                      </w:pPr>
                      <w:r>
                        <w:rPr>
                          <w:rFonts w:ascii="宋体" w:hAnsi="宋体" w:cs="宋体" w:eastAsia="宋体" w:hint="default"/>
                          <w:sz w:val="21"/>
                          <w:szCs w:val="21"/>
                        </w:rPr>
                        <w:t>合    计</w:t>
                      </w:r>
                    </w:p>
                  </w:txbxContent>
                </v:textbox>
                <w10:wrap type="none"/>
              </v:shape>
              <v:shape style="position:absolute;left:4273;top:17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期末公允价值</w:t>
                      </w:r>
                    </w:p>
                  </w:txbxContent>
                </v:textbox>
                <w10:wrap type="none"/>
              </v:shape>
              <v:shape style="position:absolute;left:6792;top:17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期初公允价值</w:t>
                      </w:r>
                    </w:p>
                  </w:txbxContent>
                </v:textbox>
                <w10:wrap type="none"/>
              </v:shape>
              <v:shape style="position:absolute;left:5428;top:1024;width:684;height:620"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z w:val="21"/>
                        </w:rPr>
                        <w:t>436,360</w:t>
                      </w:r>
                    </w:p>
                    <w:p>
                      <w:pPr>
                        <w:spacing w:line="237" w:lineRule="exact" w:before="167"/>
                        <w:ind w:left="0" w:right="0" w:firstLine="0"/>
                        <w:jc w:val="left"/>
                        <w:rPr>
                          <w:rFonts w:ascii="Times New Roman" w:hAnsi="Times New Roman" w:cs="Times New Roman" w:eastAsia="Times New Roman" w:hint="default"/>
                          <w:sz w:val="21"/>
                          <w:szCs w:val="21"/>
                        </w:rPr>
                      </w:pPr>
                      <w:r>
                        <w:rPr>
                          <w:rFonts w:ascii="Times New Roman"/>
                          <w:sz w:val="21"/>
                        </w:rPr>
                        <w:t>436,360</w:t>
                      </w:r>
                    </w:p>
                  </w:txbxContent>
                </v:textbox>
                <w10:wrap type="none"/>
              </v:shape>
            </v:group>
          </v:group>
        </w:pict>
      </w:r>
      <w:r>
        <w:rPr>
          <w:rFonts w:ascii="宋体" w:hAnsi="宋体" w:cs="宋体" w:eastAsia="宋体" w:hint="default"/>
          <w:position w:val="-32"/>
          <w:sz w:val="20"/>
          <w:szCs w:val="20"/>
        </w:rPr>
      </w:r>
    </w:p>
    <w:p>
      <w:pPr>
        <w:spacing w:line="240" w:lineRule="auto" w:before="9"/>
        <w:rPr>
          <w:rFonts w:ascii="宋体" w:hAnsi="宋体" w:cs="宋体" w:eastAsia="宋体" w:hint="default"/>
          <w:sz w:val="5"/>
          <w:szCs w:val="5"/>
        </w:rPr>
      </w:pPr>
    </w:p>
    <w:p>
      <w:pPr>
        <w:spacing w:line="348" w:lineRule="auto" w:before="35"/>
        <w:ind w:left="857" w:right="204" w:firstLine="0"/>
        <w:jc w:val="both"/>
        <w:rPr>
          <w:rFonts w:ascii="宋体" w:hAnsi="宋体" w:cs="宋体" w:eastAsia="宋体" w:hint="default"/>
          <w:sz w:val="21"/>
          <w:szCs w:val="21"/>
        </w:rPr>
      </w:pPr>
      <w:r>
        <w:rPr>
          <w:rFonts w:ascii="宋体" w:hAnsi="宋体" w:cs="宋体" w:eastAsia="宋体" w:hint="default"/>
          <w:sz w:val="21"/>
          <w:szCs w:val="21"/>
        </w:rPr>
        <w:t>注：本公司为锁定部分外汇变动风险，选择签订外币远期结汇合同作为一种金融工具，期末</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以公允价值计量并将公允价值变动计入当期损益。报告期末根据公开市场的汇率报价计算，</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将预计的浮动收益计入公允价值变动收益并作为交易性金融资产列报。</w:t>
      </w:r>
    </w:p>
    <w:p>
      <w:pPr>
        <w:spacing w:after="0" w:line="348" w:lineRule="auto"/>
        <w:jc w:val="both"/>
        <w:rPr>
          <w:rFonts w:ascii="宋体" w:hAnsi="宋体" w:cs="宋体" w:eastAsia="宋体" w:hint="default"/>
          <w:sz w:val="21"/>
          <w:szCs w:val="21"/>
        </w:rPr>
        <w:sectPr>
          <w:pgSz w:w="11900" w:h="16840"/>
          <w:pgMar w:header="883" w:footer="1003" w:top="1540" w:bottom="1200" w:left="1300" w:right="1080"/>
        </w:sectPr>
      </w:pPr>
    </w:p>
    <w:p>
      <w:pPr>
        <w:spacing w:line="240" w:lineRule="auto" w:before="7"/>
        <w:rPr>
          <w:rFonts w:ascii="宋体" w:hAnsi="宋体" w:cs="宋体" w:eastAsia="宋体" w:hint="default"/>
          <w:sz w:val="3"/>
          <w:szCs w:val="3"/>
        </w:rPr>
      </w:pPr>
    </w:p>
    <w:p>
      <w:pPr>
        <w:spacing w:line="20" w:lineRule="exact"/>
        <w:ind w:left="125" w:right="0" w:firstLine="0"/>
        <w:rPr>
          <w:rFonts w:ascii="宋体" w:hAnsi="宋体" w:cs="宋体" w:eastAsia="宋体" w:hint="default"/>
          <w:sz w:val="2"/>
          <w:szCs w:val="2"/>
        </w:rPr>
      </w:pPr>
      <w:r>
        <w:rPr>
          <w:rFonts w:ascii="宋体" w:hAnsi="宋体" w:cs="宋体" w:eastAsia="宋体" w:hint="default"/>
          <w:sz w:val="2"/>
          <w:szCs w:val="2"/>
        </w:rPr>
        <w:pict>
          <v:group style="width:462.1pt;height:.5pt;mso-position-horizontal-relative:char;mso-position-vertical-relative:line" coordorigin="0,0" coordsize="9242,10">
            <v:group style="position:absolute;left:5;top:5;width:9232;height:2" coordorigin="5,5" coordsize="9232,2">
              <v:shape style="position:absolute;left:5;top:5;width:9232;height:2" coordorigin="5,5" coordsize="9232,0" path="m5,5l9236,5e" filled="false" stroked="true" strokeweight=".47998pt" strokecolor="#000000">
                <v:path arrowok="t"/>
              </v:shape>
            </v:group>
          </v:group>
        </w:pict>
      </w:r>
      <w:r>
        <w:rPr>
          <w:rFonts w:ascii="宋体" w:hAnsi="宋体" w:cs="宋体" w:eastAsia="宋体" w:hint="default"/>
          <w:sz w:val="2"/>
          <w:szCs w:val="2"/>
        </w:rPr>
      </w:r>
    </w:p>
    <w:tbl>
      <w:tblPr>
        <w:tblW w:w="0" w:type="auto"/>
        <w:jc w:val="left"/>
        <w:tblInd w:w="110" w:type="dxa"/>
        <w:tblLayout w:type="fixed"/>
        <w:tblCellMar>
          <w:top w:w="0" w:type="dxa"/>
          <w:left w:w="0" w:type="dxa"/>
          <w:bottom w:w="0" w:type="dxa"/>
          <w:right w:w="0" w:type="dxa"/>
        </w:tblCellMar>
        <w:tblLook w:val="01E0"/>
      </w:tblPr>
      <w:tblGrid>
        <w:gridCol w:w="3990"/>
        <w:gridCol w:w="3198"/>
        <w:gridCol w:w="2051"/>
      </w:tblGrid>
      <w:tr>
        <w:trPr>
          <w:trHeight w:val="1071" w:hRule="exact"/>
        </w:trPr>
        <w:tc>
          <w:tcPr>
            <w:tcW w:w="3990" w:type="dxa"/>
            <w:tcBorders>
              <w:top w:val="nil" w:sz="6" w:space="0" w:color="auto"/>
              <w:left w:val="nil" w:sz="6" w:space="0" w:color="auto"/>
              <w:bottom w:val="single" w:sz="8" w:space="0" w:color="000000"/>
              <w:right w:val="nil" w:sz="6" w:space="0" w:color="auto"/>
            </w:tcBorders>
          </w:tcPr>
          <w:p>
            <w:pPr>
              <w:pStyle w:val="TableParagraph"/>
              <w:tabs>
                <w:tab w:pos="763" w:val="left" w:leader="none"/>
              </w:tabs>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应收票据</w:t>
            </w:r>
          </w:p>
          <w:p>
            <w:pPr>
              <w:pStyle w:val="TableParagraph"/>
              <w:spacing w:line="240" w:lineRule="auto" w:before="11"/>
              <w:ind w:right="0"/>
              <w:jc w:val="left"/>
              <w:rPr>
                <w:rFonts w:ascii="宋体" w:hAnsi="宋体" w:cs="宋体" w:eastAsia="宋体" w:hint="default"/>
                <w:sz w:val="32"/>
                <w:szCs w:val="32"/>
              </w:rPr>
            </w:pPr>
          </w:p>
          <w:p>
            <w:pPr>
              <w:pStyle w:val="TableParagraph"/>
              <w:tabs>
                <w:tab w:pos="1305" w:val="left" w:leader="none"/>
              </w:tabs>
              <w:spacing w:line="240" w:lineRule="auto"/>
              <w:ind w:left="766"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应收票据的分类</w:t>
            </w:r>
          </w:p>
        </w:tc>
        <w:tc>
          <w:tcPr>
            <w:tcW w:w="5249" w:type="dxa"/>
            <w:gridSpan w:val="2"/>
            <w:tcBorders>
              <w:top w:val="nil" w:sz="6" w:space="0" w:color="auto"/>
              <w:left w:val="nil" w:sz="6" w:space="0" w:color="auto"/>
              <w:bottom w:val="single" w:sz="8" w:space="0" w:color="000000"/>
              <w:right w:val="nil" w:sz="6" w:space="0" w:color="auto"/>
            </w:tcBorders>
          </w:tcPr>
          <w:p>
            <w:pPr/>
          </w:p>
        </w:tc>
      </w:tr>
      <w:tr>
        <w:trPr>
          <w:trHeight w:val="419" w:hRule="exact"/>
        </w:trPr>
        <w:tc>
          <w:tcPr>
            <w:tcW w:w="3990" w:type="dxa"/>
            <w:tcBorders>
              <w:top w:val="single" w:sz="8" w:space="0" w:color="000000"/>
              <w:left w:val="nil" w:sz="6" w:space="0" w:color="auto"/>
              <w:bottom w:val="nil" w:sz="6" w:space="0" w:color="auto"/>
              <w:right w:val="nil" w:sz="6" w:space="0" w:color="auto"/>
            </w:tcBorders>
          </w:tcPr>
          <w:p>
            <w:pPr>
              <w:pStyle w:val="TableParagraph"/>
              <w:spacing w:line="240" w:lineRule="auto" w:before="54"/>
              <w:ind w:right="1127"/>
              <w:jc w:val="right"/>
              <w:rPr>
                <w:rFonts w:ascii="宋体" w:hAnsi="宋体" w:cs="宋体" w:eastAsia="宋体" w:hint="default"/>
                <w:sz w:val="21"/>
                <w:szCs w:val="21"/>
              </w:rPr>
            </w:pPr>
            <w:r>
              <w:rPr>
                <w:rFonts w:ascii="宋体" w:hAnsi="宋体" w:cs="宋体" w:eastAsia="宋体" w:hint="default"/>
                <w:sz w:val="21"/>
                <w:szCs w:val="21"/>
              </w:rPr>
              <w:t>种    类</w:t>
            </w:r>
          </w:p>
        </w:tc>
        <w:tc>
          <w:tcPr>
            <w:tcW w:w="3198" w:type="dxa"/>
            <w:tcBorders>
              <w:top w:val="single" w:sz="8" w:space="0" w:color="000000"/>
              <w:left w:val="nil" w:sz="6" w:space="0" w:color="auto"/>
              <w:bottom w:val="nil" w:sz="6" w:space="0" w:color="auto"/>
              <w:right w:val="nil" w:sz="6" w:space="0" w:color="auto"/>
            </w:tcBorders>
          </w:tcPr>
          <w:p>
            <w:pPr>
              <w:pStyle w:val="TableParagraph"/>
              <w:spacing w:line="240" w:lineRule="auto" w:before="54"/>
              <w:ind w:right="97"/>
              <w:jc w:val="center"/>
              <w:rPr>
                <w:rFonts w:ascii="宋体" w:hAnsi="宋体" w:cs="宋体" w:eastAsia="宋体" w:hint="default"/>
                <w:sz w:val="21"/>
                <w:szCs w:val="21"/>
              </w:rPr>
            </w:pPr>
            <w:r>
              <w:rPr>
                <w:rFonts w:ascii="宋体" w:hAnsi="宋体" w:cs="宋体" w:eastAsia="宋体" w:hint="default"/>
                <w:sz w:val="21"/>
                <w:szCs w:val="21"/>
              </w:rPr>
              <w:t>期末金额</w:t>
            </w:r>
          </w:p>
        </w:tc>
        <w:tc>
          <w:tcPr>
            <w:tcW w:w="2051" w:type="dxa"/>
            <w:tcBorders>
              <w:top w:val="single" w:sz="8" w:space="0" w:color="000000"/>
              <w:left w:val="nil" w:sz="6" w:space="0" w:color="auto"/>
              <w:bottom w:val="nil" w:sz="6" w:space="0" w:color="auto"/>
              <w:right w:val="nil" w:sz="6" w:space="0" w:color="auto"/>
            </w:tcBorders>
          </w:tcPr>
          <w:p>
            <w:pPr>
              <w:pStyle w:val="TableParagraph"/>
              <w:spacing w:line="240" w:lineRule="auto" w:before="54"/>
              <w:ind w:left="441" w:right="0"/>
              <w:jc w:val="left"/>
              <w:rPr>
                <w:rFonts w:ascii="宋体" w:hAnsi="宋体" w:cs="宋体" w:eastAsia="宋体" w:hint="default"/>
                <w:sz w:val="21"/>
                <w:szCs w:val="21"/>
              </w:rPr>
            </w:pPr>
            <w:r>
              <w:rPr>
                <w:rFonts w:ascii="宋体" w:hAnsi="宋体" w:cs="宋体" w:eastAsia="宋体" w:hint="default"/>
                <w:sz w:val="21"/>
                <w:szCs w:val="21"/>
              </w:rPr>
              <w:t>期初金额</w:t>
            </w:r>
          </w:p>
        </w:tc>
      </w:tr>
      <w:tr>
        <w:trPr>
          <w:trHeight w:val="740" w:hRule="exact"/>
        </w:trPr>
        <w:tc>
          <w:tcPr>
            <w:tcW w:w="3990" w:type="dxa"/>
            <w:tcBorders>
              <w:top w:val="nil" w:sz="6" w:space="0" w:color="auto"/>
              <w:left w:val="nil" w:sz="6" w:space="0" w:color="auto"/>
              <w:bottom w:val="nil" w:sz="6" w:space="0" w:color="auto"/>
              <w:right w:val="nil" w:sz="6" w:space="0" w:color="auto"/>
            </w:tcBorders>
          </w:tcPr>
          <w:p>
            <w:pPr>
              <w:pStyle w:val="TableParagraph"/>
              <w:spacing w:line="321" w:lineRule="auto" w:before="15"/>
              <w:ind w:left="766" w:right="1961"/>
              <w:jc w:val="left"/>
              <w:rPr>
                <w:rFonts w:ascii="宋体" w:hAnsi="宋体" w:cs="宋体" w:eastAsia="宋体" w:hint="default"/>
                <w:sz w:val="21"/>
                <w:szCs w:val="21"/>
              </w:rPr>
            </w:pPr>
            <w:r>
              <w:rPr>
                <w:rFonts w:ascii="宋体" w:hAnsi="宋体" w:cs="宋体" w:eastAsia="宋体" w:hint="default"/>
                <w:sz w:val="21"/>
                <w:szCs w:val="21"/>
              </w:rPr>
              <w:t>银行承兑汇票 商业承兑汇票</w:t>
            </w:r>
          </w:p>
        </w:tc>
        <w:tc>
          <w:tcPr>
            <w:tcW w:w="3198"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439"/>
              <w:jc w:val="right"/>
              <w:rPr>
                <w:rFonts w:ascii="Times New Roman" w:hAnsi="Times New Roman" w:cs="Times New Roman" w:eastAsia="Times New Roman" w:hint="default"/>
                <w:sz w:val="21"/>
                <w:szCs w:val="21"/>
              </w:rPr>
            </w:pPr>
            <w:r>
              <w:rPr>
                <w:rFonts w:ascii="Times New Roman"/>
                <w:spacing w:val="-1"/>
                <w:sz w:val="21"/>
              </w:rPr>
              <w:t>56,402,570</w:t>
            </w:r>
          </w:p>
        </w:tc>
        <w:tc>
          <w:tcPr>
            <w:tcW w:w="205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99"/>
              <w:jc w:val="right"/>
              <w:rPr>
                <w:rFonts w:ascii="Times New Roman" w:hAnsi="Times New Roman" w:cs="Times New Roman" w:eastAsia="Times New Roman" w:hint="default"/>
                <w:sz w:val="21"/>
                <w:szCs w:val="21"/>
              </w:rPr>
            </w:pPr>
            <w:r>
              <w:rPr>
                <w:rFonts w:ascii="Times New Roman"/>
                <w:spacing w:val="-1"/>
                <w:sz w:val="21"/>
              </w:rPr>
              <w:t>29,721,864</w:t>
            </w:r>
          </w:p>
        </w:tc>
      </w:tr>
      <w:tr>
        <w:trPr>
          <w:trHeight w:val="333" w:hRule="exact"/>
        </w:trPr>
        <w:tc>
          <w:tcPr>
            <w:tcW w:w="3990" w:type="dxa"/>
            <w:tcBorders>
              <w:top w:val="nil" w:sz="6" w:space="0" w:color="auto"/>
              <w:left w:val="nil" w:sz="6" w:space="0" w:color="auto"/>
              <w:bottom w:val="single" w:sz="8" w:space="0" w:color="000000"/>
              <w:right w:val="nil" w:sz="6" w:space="0" w:color="auto"/>
            </w:tcBorders>
          </w:tcPr>
          <w:p>
            <w:pPr>
              <w:pStyle w:val="TableParagraph"/>
              <w:spacing w:line="240" w:lineRule="auto" w:before="15"/>
              <w:ind w:right="1127"/>
              <w:jc w:val="right"/>
              <w:rPr>
                <w:rFonts w:ascii="宋体" w:hAnsi="宋体" w:cs="宋体" w:eastAsia="宋体" w:hint="default"/>
                <w:sz w:val="21"/>
                <w:szCs w:val="21"/>
              </w:rPr>
            </w:pPr>
            <w:r>
              <w:rPr>
                <w:rFonts w:ascii="宋体" w:hAnsi="宋体" w:cs="宋体" w:eastAsia="宋体" w:hint="default"/>
                <w:sz w:val="21"/>
                <w:szCs w:val="21"/>
              </w:rPr>
              <w:t>合    计</w:t>
            </w:r>
          </w:p>
        </w:tc>
        <w:tc>
          <w:tcPr>
            <w:tcW w:w="3198" w:type="dxa"/>
            <w:tcBorders>
              <w:top w:val="nil" w:sz="6" w:space="0" w:color="auto"/>
              <w:left w:val="nil" w:sz="6" w:space="0" w:color="auto"/>
              <w:bottom w:val="single" w:sz="8" w:space="0" w:color="000000"/>
              <w:right w:val="nil" w:sz="6" w:space="0" w:color="auto"/>
            </w:tcBorders>
          </w:tcPr>
          <w:p>
            <w:pPr>
              <w:pStyle w:val="TableParagraph"/>
              <w:spacing w:line="240" w:lineRule="auto" w:before="79"/>
              <w:ind w:right="439"/>
              <w:jc w:val="right"/>
              <w:rPr>
                <w:rFonts w:ascii="Times New Roman" w:hAnsi="Times New Roman" w:cs="Times New Roman" w:eastAsia="Times New Roman" w:hint="default"/>
                <w:sz w:val="21"/>
                <w:szCs w:val="21"/>
              </w:rPr>
            </w:pPr>
            <w:r>
              <w:rPr>
                <w:rFonts w:ascii="Times New Roman"/>
                <w:spacing w:val="-1"/>
                <w:sz w:val="21"/>
              </w:rPr>
              <w:t>56,402,570</w:t>
            </w:r>
          </w:p>
        </w:tc>
        <w:tc>
          <w:tcPr>
            <w:tcW w:w="2051" w:type="dxa"/>
            <w:tcBorders>
              <w:top w:val="nil" w:sz="6" w:space="0" w:color="auto"/>
              <w:left w:val="nil" w:sz="6" w:space="0" w:color="auto"/>
              <w:bottom w:val="single" w:sz="8" w:space="0" w:color="000000"/>
              <w:right w:val="nil" w:sz="6" w:space="0" w:color="auto"/>
            </w:tcBorders>
          </w:tcPr>
          <w:p>
            <w:pPr>
              <w:pStyle w:val="TableParagraph"/>
              <w:spacing w:line="240" w:lineRule="auto" w:before="79"/>
              <w:ind w:right="99"/>
              <w:jc w:val="right"/>
              <w:rPr>
                <w:rFonts w:ascii="Times New Roman" w:hAnsi="Times New Roman" w:cs="Times New Roman" w:eastAsia="Times New Roman" w:hint="default"/>
                <w:sz w:val="21"/>
                <w:szCs w:val="21"/>
              </w:rPr>
            </w:pPr>
            <w:r>
              <w:rPr>
                <w:rFonts w:ascii="Times New Roman"/>
                <w:spacing w:val="-1"/>
                <w:sz w:val="21"/>
              </w:rPr>
              <w:t>29,721,864</w:t>
            </w:r>
          </w:p>
        </w:tc>
      </w:tr>
    </w:tbl>
    <w:p>
      <w:pPr>
        <w:tabs>
          <w:tab w:pos="1416" w:val="left" w:leader="none"/>
        </w:tabs>
        <w:spacing w:before="52"/>
        <w:ind w:left="877" w:right="0" w:firstLine="0"/>
        <w:jc w:val="left"/>
        <w:rPr>
          <w:rFonts w:ascii="宋体" w:hAnsi="宋体" w:cs="宋体" w:eastAsia="宋体" w:hint="default"/>
          <w:sz w:val="21"/>
          <w:szCs w:val="21"/>
        </w:rPr>
      </w:pPr>
      <w:r>
        <w:rPr/>
        <w:pict>
          <v:shape style="position:absolute;margin-left:102.480003pt;margin-top:-74.656349pt;width:429.539965pt;height:73.62pt;mso-position-horizontal-relative:page;mso-position-vertical-relative:paragraph;z-index:-993064" type="#_x0000_t75" stroked="false">
            <v:imagedata r:id="rId49" o:title=""/>
          </v:shape>
        </w:pict>
      </w: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期末无已质押的应收票据情况；</w:t>
      </w:r>
    </w:p>
    <w:p>
      <w:pPr>
        <w:spacing w:line="240" w:lineRule="auto" w:before="11"/>
        <w:rPr>
          <w:rFonts w:ascii="宋体" w:hAnsi="宋体" w:cs="宋体" w:eastAsia="宋体" w:hint="default"/>
          <w:sz w:val="32"/>
          <w:szCs w:val="32"/>
        </w:rPr>
      </w:pPr>
    </w:p>
    <w:p>
      <w:pPr>
        <w:tabs>
          <w:tab w:pos="1416" w:val="left" w:leader="none"/>
        </w:tabs>
        <w:spacing w:line="297" w:lineRule="auto" w:before="0"/>
        <w:ind w:left="1416" w:right="147" w:hanging="539"/>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r>
      <w:r>
        <w:rPr>
          <w:rFonts w:ascii="宋体" w:hAnsi="宋体" w:cs="宋体" w:eastAsia="宋体" w:hint="default"/>
          <w:spacing w:val="-2"/>
          <w:sz w:val="21"/>
          <w:szCs w:val="21"/>
        </w:rPr>
        <w:t>期末无因出票人无力履约而将票据转为应收账款的票据，以及期末公司已经背书给他方</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但尚未到期的票据情况。</w:t>
      </w:r>
    </w:p>
    <w:p>
      <w:pPr>
        <w:spacing w:line="240" w:lineRule="auto" w:before="0"/>
        <w:rPr>
          <w:rFonts w:ascii="宋体" w:hAnsi="宋体" w:cs="宋体" w:eastAsia="宋体" w:hint="default"/>
          <w:sz w:val="20"/>
          <w:szCs w:val="20"/>
        </w:rPr>
      </w:pPr>
    </w:p>
    <w:p>
      <w:pPr>
        <w:tabs>
          <w:tab w:pos="873" w:val="left" w:leader="none"/>
        </w:tabs>
        <w:spacing w:before="133"/>
        <w:ind w:left="14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应收账款</w:t>
      </w:r>
    </w:p>
    <w:p>
      <w:pPr>
        <w:spacing w:line="240" w:lineRule="auto" w:before="11"/>
        <w:rPr>
          <w:rFonts w:ascii="宋体" w:hAnsi="宋体" w:cs="宋体" w:eastAsia="宋体" w:hint="default"/>
          <w:sz w:val="32"/>
          <w:szCs w:val="32"/>
        </w:rPr>
      </w:pPr>
    </w:p>
    <w:p>
      <w:pPr>
        <w:tabs>
          <w:tab w:pos="1416" w:val="left" w:leader="none"/>
        </w:tabs>
        <w:spacing w:before="0"/>
        <w:ind w:left="877" w:right="0" w:firstLine="0"/>
        <w:jc w:val="left"/>
        <w:rPr>
          <w:rFonts w:ascii="宋体" w:hAnsi="宋体" w:cs="宋体" w:eastAsia="宋体" w:hint="default"/>
          <w:sz w:val="21"/>
          <w:szCs w:val="21"/>
        </w:rPr>
      </w:pPr>
      <w:r>
        <w:rPr/>
        <w:pict>
          <v:group style="position:absolute;margin-left:102.360008pt;margin-top:15.32293pt;width:430.45pt;height:147.550pt;mso-position-horizontal-relative:page;mso-position-vertical-relative:paragraph;z-index:-992680" coordorigin="2047,306" coordsize="8609,2951">
            <v:group style="position:absolute;left:2057;top:316;width:2556;height:2" coordorigin="2057,316" coordsize="2556,2">
              <v:shape style="position:absolute;left:2057;top:316;width:2556;height:2" coordorigin="2057,316" coordsize="2556,0" path="m2057,316l4613,316e" filled="false" stroked="true" strokeweight=".95999pt" strokecolor="#000000">
                <v:path arrowok="t"/>
              </v:shape>
            </v:group>
            <v:group style="position:absolute;left:4613;top:316;width:3030;height:2" coordorigin="4613,316" coordsize="3030,2">
              <v:shape style="position:absolute;left:4613;top:316;width:3030;height:2" coordorigin="4613,316" coordsize="3030,0" path="m4613,316l7643,316e" filled="false" stroked="true" strokeweight=".95999pt" strokecolor="#000000">
                <v:path arrowok="t"/>
              </v:shape>
            </v:group>
            <v:group style="position:absolute;left:7643;top:316;width:3004;height:2" coordorigin="7643,316" coordsize="3004,2">
              <v:shape style="position:absolute;left:7643;top:316;width:3004;height:2" coordorigin="7643,316" coordsize="3004,0" path="m7643,316l10646,316e" filled="false" stroked="true" strokeweight=".95999pt" strokecolor="#000000">
                <v:path arrowok="t"/>
              </v:shape>
              <v:shape style="position:absolute;left:2050;top:326;width:8605;height:2932" type="#_x0000_t75" stroked="false">
                <v:imagedata r:id="rId50" o:title=""/>
              </v:shape>
              <v:shape style="position:absolute;left:5815;top:51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期末金额</w:t>
                      </w:r>
                    </w:p>
                  </w:txbxContent>
                </v:textbox>
                <w10:wrap type="none"/>
              </v:shape>
              <v:shape style="position:absolute;left:8833;top:51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期初金额</w:t>
                      </w:r>
                    </w:p>
                  </w:txbxContent>
                </v:textbox>
                <w10:wrap type="none"/>
              </v:shape>
              <v:shape style="position:absolute;left:3017;top:868;width:67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    类 </w:t>
                      </w:r>
                    </w:p>
                  </w:txbxContent>
                </v:textbox>
                <w10:wrap type="none"/>
              </v:shape>
              <v:shape style="position:absolute;left:5574;top:882;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6976;top:88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8556;top:882;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9943;top:88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4740;top:1062;width:5766;height:339" type="#_x0000_t202" filled="false" stroked="false">
                <v:textbox inset="0,0,0,0">
                  <w:txbxContent>
                    <w:p>
                      <w:pPr>
                        <w:tabs>
                          <w:tab w:pos="1479" w:val="left" w:leader="none"/>
                          <w:tab w:pos="3005" w:val="left" w:leader="none"/>
                          <w:tab w:pos="4435" w:val="left" w:leader="none"/>
                        </w:tabs>
                        <w:spacing w:line="142"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账面金额</w:t>
                        <w:tab/>
                        <w:t>坏账准备</w:t>
                        <w:tab/>
                        <w:t>账面金额</w:t>
                        <w:tab/>
                        <w:t>坏账准备</w:t>
                      </w:r>
                    </w:p>
                    <w:p>
                      <w:pPr>
                        <w:tabs>
                          <w:tab w:pos="2272" w:val="left" w:leader="none"/>
                          <w:tab w:pos="3777" w:val="left" w:leader="none"/>
                          <w:tab w:pos="5240" w:val="left" w:leader="none"/>
                        </w:tabs>
                        <w:spacing w:line="196" w:lineRule="exact" w:before="0"/>
                        <w:ind w:left="796"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2071;top:1613;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单项金额重大的应收账款</w:t>
                      </w:r>
                    </w:p>
                  </w:txbxContent>
                </v:textbox>
                <w10:wrap type="none"/>
              </v:shape>
              <v:shape style="position:absolute;left:4691;top:1629;width:75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183,393,738</w:t>
                      </w:r>
                    </w:p>
                  </w:txbxContent>
                </v:textbox>
                <w10:wrap type="none"/>
              </v:shape>
              <v:shape style="position:absolute;left:5742;top:1629;width:114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23.70  </w:t>
                      </w:r>
                      <w:r>
                        <w:rPr>
                          <w:rFonts w:ascii="Times New Roman"/>
                          <w:spacing w:val="7"/>
                          <w:sz w:val="15"/>
                        </w:rPr>
                        <w:t> </w:t>
                      </w:r>
                      <w:r>
                        <w:rPr>
                          <w:rFonts w:ascii="Times New Roman"/>
                          <w:sz w:val="15"/>
                        </w:rPr>
                        <w:t>14,633,915</w:t>
                      </w:r>
                    </w:p>
                  </w:txbxContent>
                </v:textbox>
                <w10:wrap type="none"/>
              </v:shape>
              <v:shape style="position:absolute;left:7330;top:1629;width:109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7.98</w:t>
                      </w:r>
                      <w:r>
                        <w:rPr>
                          <w:rFonts w:ascii="Times New Roman"/>
                          <w:spacing w:val="35"/>
                          <w:sz w:val="15"/>
                        </w:rPr>
                        <w:t> </w:t>
                      </w:r>
                      <w:r>
                        <w:rPr>
                          <w:rFonts w:ascii="Times New Roman"/>
                          <w:sz w:val="15"/>
                        </w:rPr>
                        <w:t>191,930,397</w:t>
                      </w:r>
                    </w:p>
                  </w:txbxContent>
                </v:textbox>
                <w10:wrap type="none"/>
              </v:shape>
              <v:shape style="position:absolute;left:8723;top:1629;width:109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26.36</w:t>
                      </w:r>
                      <w:r>
                        <w:rPr>
                          <w:rFonts w:ascii="Times New Roman"/>
                          <w:spacing w:val="32"/>
                          <w:sz w:val="15"/>
                        </w:rPr>
                        <w:t> </w:t>
                      </w:r>
                      <w:r>
                        <w:rPr>
                          <w:rFonts w:ascii="Times New Roman"/>
                          <w:sz w:val="15"/>
                        </w:rPr>
                        <w:t>11,229,135</w:t>
                      </w:r>
                    </w:p>
                  </w:txbxContent>
                </v:textbox>
                <w10:wrap type="none"/>
              </v:shape>
              <v:shape style="position:absolute;left:10334;top:1629;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5.85</w:t>
                      </w:r>
                    </w:p>
                  </w:txbxContent>
                </v:textbox>
                <w10:wrap type="none"/>
              </v:shape>
              <v:shape style="position:absolute;left:2071;top:1982;width:2496;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6"/>
                          <w:sz w:val="15"/>
                          <w:szCs w:val="15"/>
                        </w:rPr>
                        <w:t>单项金额不重大但按信用风险特征组</w:t>
                      </w:r>
                      <w:r>
                        <w:rPr>
                          <w:rFonts w:ascii="宋体" w:hAnsi="宋体" w:cs="宋体" w:eastAsia="宋体" w:hint="default"/>
                          <w:sz w:val="15"/>
                          <w:szCs w:val="15"/>
                        </w:rPr>
                      </w:r>
                    </w:p>
                  </w:txbxContent>
                </v:textbox>
                <w10:wrap type="none"/>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应收账款按种类披露</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2"/>
          <w:szCs w:val="22"/>
        </w:rPr>
      </w:pPr>
    </w:p>
    <w:tbl>
      <w:tblPr>
        <w:tblW w:w="0" w:type="auto"/>
        <w:jc w:val="left"/>
        <w:tblInd w:w="755" w:type="dxa"/>
        <w:tblLayout w:type="fixed"/>
        <w:tblCellMar>
          <w:top w:w="0" w:type="dxa"/>
          <w:left w:w="0" w:type="dxa"/>
          <w:bottom w:w="0" w:type="dxa"/>
          <w:right w:w="0" w:type="dxa"/>
        </w:tblCellMar>
        <w:tblLook w:val="01E0"/>
      </w:tblPr>
      <w:tblGrid>
        <w:gridCol w:w="3519"/>
        <w:gridCol w:w="589"/>
        <w:gridCol w:w="887"/>
        <w:gridCol w:w="1505"/>
        <w:gridCol w:w="1463"/>
        <w:gridCol w:w="655"/>
      </w:tblGrid>
      <w:tr>
        <w:trPr>
          <w:trHeight w:val="370" w:hRule="exact"/>
        </w:trPr>
        <w:tc>
          <w:tcPr>
            <w:tcW w:w="3519" w:type="dxa"/>
            <w:tcBorders>
              <w:top w:val="nil" w:sz="6" w:space="0" w:color="auto"/>
              <w:left w:val="nil" w:sz="6" w:space="0" w:color="auto"/>
              <w:bottom w:val="nil" w:sz="6" w:space="0" w:color="auto"/>
              <w:right w:val="nil" w:sz="6" w:space="0" w:color="auto"/>
            </w:tcBorders>
          </w:tcPr>
          <w:p>
            <w:pPr>
              <w:pStyle w:val="TableParagraph"/>
              <w:spacing w:line="154" w:lineRule="exact"/>
              <w:ind w:right="110"/>
              <w:jc w:val="right"/>
              <w:rPr>
                <w:rFonts w:ascii="Times New Roman" w:hAnsi="Times New Roman" w:cs="Times New Roman" w:eastAsia="Times New Roman" w:hint="default"/>
                <w:sz w:val="15"/>
                <w:szCs w:val="15"/>
              </w:rPr>
            </w:pPr>
            <w:r>
              <w:rPr>
                <w:rFonts w:ascii="Times New Roman"/>
                <w:spacing w:val="-2"/>
                <w:sz w:val="15"/>
              </w:rPr>
              <w:t>7,951,711</w:t>
            </w:r>
          </w:p>
          <w:p>
            <w:pPr>
              <w:pStyle w:val="TableParagraph"/>
              <w:spacing w:line="178" w:lineRule="exact"/>
              <w:ind w:left="35" w:right="0"/>
              <w:jc w:val="left"/>
              <w:rPr>
                <w:rFonts w:ascii="宋体" w:hAnsi="宋体" w:cs="宋体" w:eastAsia="宋体" w:hint="default"/>
                <w:sz w:val="15"/>
                <w:szCs w:val="15"/>
              </w:rPr>
            </w:pPr>
            <w:r>
              <w:rPr>
                <w:rFonts w:ascii="宋体" w:hAnsi="宋体" w:cs="宋体" w:eastAsia="宋体" w:hint="default"/>
                <w:sz w:val="15"/>
                <w:szCs w:val="15"/>
              </w:rPr>
              <w:t>合后该组合的风险较大的应收账款</w:t>
            </w:r>
          </w:p>
        </w:tc>
        <w:tc>
          <w:tcPr>
            <w:tcW w:w="589" w:type="dxa"/>
            <w:tcBorders>
              <w:top w:val="nil" w:sz="6" w:space="0" w:color="auto"/>
              <w:left w:val="nil" w:sz="6" w:space="0" w:color="auto"/>
              <w:bottom w:val="nil" w:sz="6" w:space="0" w:color="auto"/>
              <w:right w:val="nil" w:sz="6" w:space="0" w:color="auto"/>
            </w:tcBorders>
          </w:tcPr>
          <w:p>
            <w:pPr>
              <w:pStyle w:val="TableParagraph"/>
              <w:spacing w:line="240" w:lineRule="auto"/>
              <w:ind w:right="61"/>
              <w:jc w:val="right"/>
              <w:rPr>
                <w:rFonts w:ascii="Times New Roman" w:hAnsi="Times New Roman" w:cs="Times New Roman" w:eastAsia="Times New Roman" w:hint="default"/>
                <w:sz w:val="15"/>
                <w:szCs w:val="15"/>
              </w:rPr>
            </w:pPr>
            <w:r>
              <w:rPr>
                <w:rFonts w:ascii="Times New Roman"/>
                <w:spacing w:val="-1"/>
                <w:sz w:val="15"/>
              </w:rPr>
              <w:t>1.03</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ind w:right="147"/>
              <w:jc w:val="right"/>
              <w:rPr>
                <w:rFonts w:ascii="Times New Roman" w:hAnsi="Times New Roman" w:cs="Times New Roman" w:eastAsia="Times New Roman" w:hint="default"/>
                <w:sz w:val="15"/>
                <w:szCs w:val="15"/>
              </w:rPr>
            </w:pPr>
            <w:r>
              <w:rPr>
                <w:rFonts w:ascii="Times New Roman"/>
                <w:spacing w:val="-2"/>
                <w:sz w:val="15"/>
              </w:rPr>
              <w:t>7,951,711</w:t>
            </w:r>
          </w:p>
        </w:tc>
        <w:tc>
          <w:tcPr>
            <w:tcW w:w="1505" w:type="dxa"/>
            <w:tcBorders>
              <w:top w:val="nil" w:sz="6" w:space="0" w:color="auto"/>
              <w:left w:val="nil" w:sz="6" w:space="0" w:color="auto"/>
              <w:bottom w:val="nil" w:sz="6" w:space="0" w:color="auto"/>
              <w:right w:val="nil" w:sz="6" w:space="0" w:color="auto"/>
            </w:tcBorders>
          </w:tcPr>
          <w:p>
            <w:pPr>
              <w:pStyle w:val="TableParagraph"/>
              <w:tabs>
                <w:tab w:pos="643" w:val="left" w:leader="none"/>
              </w:tabs>
              <w:spacing w:line="240" w:lineRule="auto"/>
              <w:ind w:right="109"/>
              <w:jc w:val="right"/>
              <w:rPr>
                <w:rFonts w:ascii="Times New Roman" w:hAnsi="Times New Roman" w:cs="Times New Roman" w:eastAsia="Times New Roman" w:hint="default"/>
                <w:sz w:val="15"/>
                <w:szCs w:val="15"/>
              </w:rPr>
            </w:pPr>
            <w:r>
              <w:rPr>
                <w:rFonts w:ascii="Times New Roman"/>
                <w:spacing w:val="-1"/>
                <w:sz w:val="15"/>
              </w:rPr>
              <w:t>100.00</w:t>
              <w:tab/>
              <w:t>1,717,305</w:t>
            </w: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ind w:right="183"/>
              <w:jc w:val="right"/>
              <w:rPr>
                <w:rFonts w:ascii="Times New Roman" w:hAnsi="Times New Roman" w:cs="Times New Roman" w:eastAsia="Times New Roman" w:hint="default"/>
                <w:sz w:val="15"/>
                <w:szCs w:val="15"/>
              </w:rPr>
            </w:pPr>
            <w:r>
              <w:rPr>
                <w:rFonts w:ascii="Times New Roman"/>
                <w:sz w:val="15"/>
              </w:rPr>
              <w:t>0.24  </w:t>
            </w:r>
            <w:r>
              <w:rPr>
                <w:rFonts w:ascii="Times New Roman"/>
                <w:spacing w:val="33"/>
                <w:sz w:val="15"/>
              </w:rPr>
              <w:t> </w:t>
            </w:r>
            <w:r>
              <w:rPr>
                <w:rFonts w:ascii="Times New Roman"/>
                <w:sz w:val="15"/>
              </w:rPr>
              <w:t>1,717,305</w:t>
            </w:r>
          </w:p>
        </w:tc>
        <w:tc>
          <w:tcPr>
            <w:tcW w:w="655" w:type="dxa"/>
            <w:tcBorders>
              <w:top w:val="nil" w:sz="6" w:space="0" w:color="auto"/>
              <w:left w:val="nil" w:sz="6" w:space="0" w:color="auto"/>
              <w:bottom w:val="nil" w:sz="6" w:space="0" w:color="auto"/>
              <w:right w:val="nil" w:sz="6" w:space="0" w:color="auto"/>
            </w:tcBorders>
          </w:tcPr>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spacing w:val="-1"/>
                <w:sz w:val="15"/>
              </w:rPr>
              <w:t>100.00</w:t>
            </w:r>
          </w:p>
        </w:tc>
      </w:tr>
      <w:tr>
        <w:trPr>
          <w:trHeight w:val="460" w:hRule="exact"/>
        </w:trPr>
        <w:tc>
          <w:tcPr>
            <w:tcW w:w="3519" w:type="dxa"/>
            <w:tcBorders>
              <w:top w:val="nil" w:sz="6" w:space="0" w:color="auto"/>
              <w:left w:val="nil" w:sz="6" w:space="0" w:color="auto"/>
              <w:bottom w:val="nil" w:sz="6" w:space="0" w:color="auto"/>
              <w:right w:val="nil" w:sz="6" w:space="0" w:color="auto"/>
            </w:tcBorders>
          </w:tcPr>
          <w:p>
            <w:pPr>
              <w:pStyle w:val="TableParagraph"/>
              <w:tabs>
                <w:tab w:pos="2619" w:val="left" w:leader="none"/>
              </w:tabs>
              <w:spacing w:line="240" w:lineRule="auto" w:before="135"/>
              <w:ind w:right="110"/>
              <w:jc w:val="right"/>
              <w:rPr>
                <w:rFonts w:ascii="Times New Roman" w:hAnsi="Times New Roman" w:cs="Times New Roman" w:eastAsia="Times New Roman" w:hint="default"/>
                <w:sz w:val="15"/>
                <w:szCs w:val="15"/>
              </w:rPr>
            </w:pPr>
            <w:r>
              <w:rPr>
                <w:rFonts w:ascii="宋体" w:hAnsi="宋体" w:cs="宋体" w:eastAsia="宋体" w:hint="default"/>
                <w:position w:val="1"/>
                <w:sz w:val="15"/>
                <w:szCs w:val="15"/>
              </w:rPr>
              <w:t>其他不重大应收账款</w:t>
              <w:tab/>
            </w:r>
            <w:r>
              <w:rPr>
                <w:rFonts w:ascii="Times New Roman" w:hAnsi="Times New Roman" w:cs="Times New Roman" w:eastAsia="Times New Roman" w:hint="default"/>
                <w:spacing w:val="-1"/>
                <w:sz w:val="15"/>
                <w:szCs w:val="15"/>
              </w:rPr>
              <w:t>582,532,007</w:t>
            </w:r>
          </w:p>
        </w:tc>
        <w:tc>
          <w:tcPr>
            <w:tcW w:w="5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61"/>
              <w:jc w:val="right"/>
              <w:rPr>
                <w:rFonts w:ascii="Times New Roman" w:hAnsi="Times New Roman" w:cs="Times New Roman" w:eastAsia="Times New Roman" w:hint="default"/>
                <w:sz w:val="15"/>
                <w:szCs w:val="15"/>
              </w:rPr>
            </w:pPr>
            <w:r>
              <w:rPr>
                <w:rFonts w:ascii="Times New Roman"/>
                <w:spacing w:val="-1"/>
                <w:sz w:val="15"/>
              </w:rPr>
              <w:t>75.27</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47"/>
              <w:jc w:val="right"/>
              <w:rPr>
                <w:rFonts w:ascii="Times New Roman" w:hAnsi="Times New Roman" w:cs="Times New Roman" w:eastAsia="Times New Roman" w:hint="default"/>
                <w:sz w:val="15"/>
                <w:szCs w:val="15"/>
              </w:rPr>
            </w:pPr>
            <w:r>
              <w:rPr>
                <w:rFonts w:ascii="Times New Roman"/>
                <w:spacing w:val="-1"/>
                <w:sz w:val="15"/>
              </w:rPr>
              <w:t>21,304,786</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9"/>
              <w:jc w:val="right"/>
              <w:rPr>
                <w:rFonts w:ascii="Times New Roman" w:hAnsi="Times New Roman" w:cs="Times New Roman" w:eastAsia="Times New Roman" w:hint="default"/>
                <w:sz w:val="15"/>
                <w:szCs w:val="15"/>
              </w:rPr>
            </w:pPr>
            <w:r>
              <w:rPr>
                <w:rFonts w:ascii="Times New Roman"/>
                <w:sz w:val="15"/>
              </w:rPr>
              <w:t>3.66</w:t>
            </w:r>
            <w:r>
              <w:rPr>
                <w:rFonts w:ascii="Times New Roman"/>
                <w:spacing w:val="35"/>
                <w:sz w:val="15"/>
              </w:rPr>
              <w:t> </w:t>
            </w:r>
            <w:r>
              <w:rPr>
                <w:rFonts w:ascii="Times New Roman"/>
                <w:sz w:val="15"/>
              </w:rPr>
              <w:t>534,553,499</w:t>
            </w: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85"/>
              <w:jc w:val="right"/>
              <w:rPr>
                <w:rFonts w:ascii="Times New Roman" w:hAnsi="Times New Roman" w:cs="Times New Roman" w:eastAsia="Times New Roman" w:hint="default"/>
                <w:sz w:val="15"/>
                <w:szCs w:val="15"/>
              </w:rPr>
            </w:pPr>
            <w:r>
              <w:rPr>
                <w:rFonts w:ascii="Times New Roman"/>
                <w:sz w:val="15"/>
              </w:rPr>
              <w:t>73.40</w:t>
            </w:r>
            <w:r>
              <w:rPr>
                <w:rFonts w:ascii="Times New Roman"/>
                <w:spacing w:val="32"/>
                <w:sz w:val="15"/>
              </w:rPr>
              <w:t> </w:t>
            </w:r>
            <w:r>
              <w:rPr>
                <w:rFonts w:ascii="Times New Roman"/>
                <w:sz w:val="15"/>
              </w:rPr>
              <w:t>14,906,782</w:t>
            </w:r>
          </w:p>
        </w:tc>
        <w:tc>
          <w:tcPr>
            <w:tcW w:w="65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spacing w:val="-1"/>
                <w:sz w:val="15"/>
              </w:rPr>
              <w:t>2.79</w:t>
            </w:r>
          </w:p>
        </w:tc>
      </w:tr>
      <w:tr>
        <w:trPr>
          <w:trHeight w:val="278" w:hRule="exact"/>
        </w:trPr>
        <w:tc>
          <w:tcPr>
            <w:tcW w:w="3519" w:type="dxa"/>
            <w:tcBorders>
              <w:top w:val="nil" w:sz="6" w:space="0" w:color="auto"/>
              <w:left w:val="nil" w:sz="6" w:space="0" w:color="auto"/>
              <w:bottom w:val="single" w:sz="8" w:space="0" w:color="000000"/>
              <w:right w:val="nil" w:sz="6" w:space="0" w:color="auto"/>
            </w:tcBorders>
          </w:tcPr>
          <w:p>
            <w:pPr>
              <w:pStyle w:val="TableParagraph"/>
              <w:tabs>
                <w:tab w:pos="1673" w:val="left" w:leader="none"/>
              </w:tabs>
              <w:spacing w:line="240" w:lineRule="auto" w:before="46"/>
              <w:ind w:right="110"/>
              <w:jc w:val="right"/>
              <w:rPr>
                <w:rFonts w:ascii="Times New Roman" w:hAnsi="Times New Roman" w:cs="Times New Roman" w:eastAsia="Times New Roman" w:hint="default"/>
                <w:sz w:val="15"/>
                <w:szCs w:val="15"/>
              </w:rPr>
            </w:pPr>
            <w:r>
              <w:rPr>
                <w:rFonts w:ascii="宋体" w:hAnsi="宋体" w:cs="宋体" w:eastAsia="宋体" w:hint="default"/>
                <w:position w:val="1"/>
                <w:sz w:val="15"/>
                <w:szCs w:val="15"/>
              </w:rPr>
              <w:t>合    计</w:t>
              <w:tab/>
            </w:r>
            <w:r>
              <w:rPr>
                <w:rFonts w:ascii="Times New Roman" w:hAnsi="Times New Roman" w:cs="Times New Roman" w:eastAsia="Times New Roman" w:hint="default"/>
                <w:spacing w:val="-1"/>
                <w:sz w:val="15"/>
                <w:szCs w:val="15"/>
              </w:rPr>
              <w:t>773,877,456</w:t>
            </w:r>
          </w:p>
        </w:tc>
        <w:tc>
          <w:tcPr>
            <w:tcW w:w="589" w:type="dxa"/>
            <w:tcBorders>
              <w:top w:val="nil" w:sz="6" w:space="0" w:color="auto"/>
              <w:left w:val="nil" w:sz="6" w:space="0" w:color="auto"/>
              <w:bottom w:val="single" w:sz="8" w:space="0" w:color="000000"/>
              <w:right w:val="nil" w:sz="6" w:space="0" w:color="auto"/>
            </w:tcBorders>
          </w:tcPr>
          <w:p>
            <w:pPr>
              <w:pStyle w:val="TableParagraph"/>
              <w:spacing w:line="240" w:lineRule="auto" w:before="91"/>
              <w:ind w:right="61"/>
              <w:jc w:val="right"/>
              <w:rPr>
                <w:rFonts w:ascii="Times New Roman" w:hAnsi="Times New Roman" w:cs="Times New Roman" w:eastAsia="Times New Roman" w:hint="default"/>
                <w:sz w:val="15"/>
                <w:szCs w:val="15"/>
              </w:rPr>
            </w:pPr>
            <w:r>
              <w:rPr>
                <w:rFonts w:ascii="Times New Roman"/>
                <w:spacing w:val="-1"/>
                <w:sz w:val="15"/>
              </w:rPr>
              <w:t>100.00</w:t>
            </w:r>
          </w:p>
        </w:tc>
        <w:tc>
          <w:tcPr>
            <w:tcW w:w="887" w:type="dxa"/>
            <w:tcBorders>
              <w:top w:val="nil" w:sz="6" w:space="0" w:color="auto"/>
              <w:left w:val="nil" w:sz="6" w:space="0" w:color="auto"/>
              <w:bottom w:val="single" w:sz="8" w:space="0" w:color="000000"/>
              <w:right w:val="nil" w:sz="6" w:space="0" w:color="auto"/>
            </w:tcBorders>
          </w:tcPr>
          <w:p>
            <w:pPr>
              <w:pStyle w:val="TableParagraph"/>
              <w:spacing w:line="240" w:lineRule="auto" w:before="91"/>
              <w:ind w:right="147"/>
              <w:jc w:val="right"/>
              <w:rPr>
                <w:rFonts w:ascii="Times New Roman" w:hAnsi="Times New Roman" w:cs="Times New Roman" w:eastAsia="Times New Roman" w:hint="default"/>
                <w:sz w:val="15"/>
                <w:szCs w:val="15"/>
              </w:rPr>
            </w:pPr>
            <w:r>
              <w:rPr>
                <w:rFonts w:ascii="Times New Roman"/>
                <w:spacing w:val="-1"/>
                <w:sz w:val="15"/>
              </w:rPr>
              <w:t>43,890,412</w:t>
            </w:r>
          </w:p>
        </w:tc>
        <w:tc>
          <w:tcPr>
            <w:tcW w:w="1505" w:type="dxa"/>
            <w:tcBorders>
              <w:top w:val="nil" w:sz="6" w:space="0" w:color="auto"/>
              <w:left w:val="nil" w:sz="6" w:space="0" w:color="auto"/>
              <w:bottom w:val="single" w:sz="8" w:space="0" w:color="000000"/>
              <w:right w:val="nil" w:sz="6" w:space="0" w:color="auto"/>
            </w:tcBorders>
          </w:tcPr>
          <w:p>
            <w:pPr>
              <w:pStyle w:val="TableParagraph"/>
              <w:spacing w:line="240" w:lineRule="auto" w:before="91"/>
              <w:ind w:right="109"/>
              <w:jc w:val="right"/>
              <w:rPr>
                <w:rFonts w:ascii="Times New Roman" w:hAnsi="Times New Roman" w:cs="Times New Roman" w:eastAsia="Times New Roman" w:hint="default"/>
                <w:sz w:val="15"/>
                <w:szCs w:val="15"/>
              </w:rPr>
            </w:pPr>
            <w:r>
              <w:rPr>
                <w:rFonts w:ascii="Times New Roman"/>
                <w:spacing w:val="-1"/>
                <w:sz w:val="15"/>
              </w:rPr>
              <w:t>728,201,201</w:t>
            </w:r>
          </w:p>
        </w:tc>
        <w:tc>
          <w:tcPr>
            <w:tcW w:w="1463" w:type="dxa"/>
            <w:tcBorders>
              <w:top w:val="nil" w:sz="6" w:space="0" w:color="auto"/>
              <w:left w:val="nil" w:sz="6" w:space="0" w:color="auto"/>
              <w:bottom w:val="single" w:sz="8" w:space="0" w:color="000000"/>
              <w:right w:val="nil" w:sz="6" w:space="0" w:color="auto"/>
            </w:tcBorders>
          </w:tcPr>
          <w:p>
            <w:pPr>
              <w:pStyle w:val="TableParagraph"/>
              <w:spacing w:line="240" w:lineRule="auto" w:before="91"/>
              <w:ind w:right="185"/>
              <w:jc w:val="right"/>
              <w:rPr>
                <w:rFonts w:ascii="Times New Roman" w:hAnsi="Times New Roman" w:cs="Times New Roman" w:eastAsia="Times New Roman" w:hint="default"/>
                <w:sz w:val="15"/>
                <w:szCs w:val="15"/>
              </w:rPr>
            </w:pPr>
            <w:r>
              <w:rPr>
                <w:rFonts w:ascii="Times New Roman"/>
                <w:sz w:val="15"/>
              </w:rPr>
              <w:t>100.00</w:t>
            </w:r>
            <w:r>
              <w:rPr>
                <w:rFonts w:ascii="Times New Roman"/>
                <w:spacing w:val="32"/>
                <w:sz w:val="15"/>
              </w:rPr>
              <w:t> </w:t>
            </w:r>
            <w:r>
              <w:rPr>
                <w:rFonts w:ascii="Times New Roman"/>
                <w:sz w:val="15"/>
              </w:rPr>
              <w:t>27,853,222</w:t>
            </w:r>
          </w:p>
        </w:tc>
        <w:tc>
          <w:tcPr>
            <w:tcW w:w="655" w:type="dxa"/>
            <w:tcBorders>
              <w:top w:val="nil" w:sz="6" w:space="0" w:color="auto"/>
              <w:left w:val="nil" w:sz="6" w:space="0" w:color="auto"/>
              <w:bottom w:val="single" w:sz="8" w:space="0" w:color="000000"/>
              <w:right w:val="nil" w:sz="6" w:space="0" w:color="auto"/>
            </w:tcBorders>
          </w:tcPr>
          <w:p>
            <w:pPr/>
          </w:p>
        </w:tc>
      </w:tr>
    </w:tbl>
    <w:p>
      <w:pPr>
        <w:spacing w:line="240" w:lineRule="auto" w:before="2"/>
        <w:rPr>
          <w:rFonts w:ascii="宋体" w:hAnsi="宋体" w:cs="宋体" w:eastAsia="宋体" w:hint="default"/>
          <w:sz w:val="28"/>
          <w:szCs w:val="28"/>
        </w:rPr>
      </w:pPr>
    </w:p>
    <w:p>
      <w:pPr>
        <w:tabs>
          <w:tab w:pos="1416" w:val="left" w:leader="none"/>
        </w:tabs>
        <w:spacing w:before="35"/>
        <w:ind w:left="877" w:right="0" w:firstLine="0"/>
        <w:jc w:val="left"/>
        <w:rPr>
          <w:rFonts w:ascii="宋体" w:hAnsi="宋体" w:cs="宋体" w:eastAsia="宋体" w:hint="default"/>
          <w:sz w:val="21"/>
          <w:szCs w:val="21"/>
        </w:rPr>
      </w:pPr>
      <w:r>
        <w:rPr/>
        <w:pict>
          <v:group style="position:absolute;margin-left:102.000008pt;margin-top:17.073967pt;width:430.8pt;height:74.55pt;mso-position-horizontal-relative:page;mso-position-vertical-relative:paragraph;z-index:-992656" coordorigin="2040,341" coordsize="8616,1491">
            <v:group style="position:absolute;left:2050;top:351;width:2018;height:2" coordorigin="2050,351" coordsize="2018,2">
              <v:shape style="position:absolute;left:2050;top:351;width:2018;height:2" coordorigin="2050,351" coordsize="2018,0" path="m2050,351l4067,351e" filled="false" stroked="true" strokeweight=".95999pt" strokecolor="#000000">
                <v:path arrowok="t"/>
              </v:shape>
            </v:group>
            <v:group style="position:absolute;left:4067;top:351;width:1023;height:2" coordorigin="4067,351" coordsize="1023,2">
              <v:shape style="position:absolute;left:4067;top:351;width:1023;height:2" coordorigin="4067,351" coordsize="1023,0" path="m4067,351l5089,351e" filled="false" stroked="true" strokeweight=".95999pt" strokecolor="#000000">
                <v:path arrowok="t"/>
              </v:shape>
            </v:group>
            <v:group style="position:absolute;left:5089;top:351;width:1175;height:2" coordorigin="5089,351" coordsize="1175,2">
              <v:shape style="position:absolute;left:5089;top:351;width:1175;height:2" coordorigin="5089,351" coordsize="1175,0" path="m5089,351l6264,351e" filled="false" stroked="true" strokeweight=".95999pt" strokecolor="#000000">
                <v:path arrowok="t"/>
              </v:shape>
            </v:group>
            <v:group style="position:absolute;left:6264;top:351;width:1248;height:2" coordorigin="6264,351" coordsize="1248,2">
              <v:shape style="position:absolute;left:6264;top:351;width:1248;height:2" coordorigin="6264,351" coordsize="1248,0" path="m6264,351l7512,351e" filled="false" stroked="true" strokeweight=".95999pt" strokecolor="#000000">
                <v:path arrowok="t"/>
              </v:shape>
            </v:group>
            <v:group style="position:absolute;left:7512;top:351;width:3135;height:2" coordorigin="7512,351" coordsize="3135,2">
              <v:shape style="position:absolute;left:7512;top:351;width:3135;height:2" coordorigin="7512,351" coordsize="3135,0" path="m7512,351l10646,351e" filled="false" stroked="true" strokeweight=".95999pt" strokecolor="#000000">
                <v:path arrowok="t"/>
              </v:shape>
              <v:shape style="position:absolute;left:2050;top:361;width:8597;height:1471" type="#_x0000_t75" stroked="false">
                <v:imagedata r:id="rId51" o:title=""/>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期末单项金额重大或虽不重大但单独进行减值测试的应收账款坏账准备计提：</w:t>
      </w:r>
    </w:p>
    <w:p>
      <w:pPr>
        <w:spacing w:line="240" w:lineRule="auto" w:before="5"/>
        <w:rPr>
          <w:rFonts w:ascii="宋体" w:hAnsi="宋体" w:cs="宋体" w:eastAsia="宋体" w:hint="default"/>
          <w:sz w:val="9"/>
          <w:szCs w:val="9"/>
        </w:rPr>
      </w:pPr>
    </w:p>
    <w:tbl>
      <w:tblPr>
        <w:tblW w:w="0" w:type="auto"/>
        <w:jc w:val="left"/>
        <w:tblInd w:w="755" w:type="dxa"/>
        <w:tblLayout w:type="fixed"/>
        <w:tblCellMar>
          <w:top w:w="0" w:type="dxa"/>
          <w:left w:w="0" w:type="dxa"/>
          <w:bottom w:w="0" w:type="dxa"/>
          <w:right w:w="0" w:type="dxa"/>
        </w:tblCellMar>
        <w:tblLook w:val="01E0"/>
      </w:tblPr>
      <w:tblGrid>
        <w:gridCol w:w="2061"/>
        <w:gridCol w:w="1012"/>
        <w:gridCol w:w="1212"/>
        <w:gridCol w:w="1376"/>
        <w:gridCol w:w="2958"/>
      </w:tblGrid>
      <w:tr>
        <w:trPr>
          <w:trHeight w:val="737" w:hRule="exact"/>
        </w:trPr>
        <w:tc>
          <w:tcPr>
            <w:tcW w:w="2061" w:type="dxa"/>
            <w:tcBorders>
              <w:top w:val="nil" w:sz="6" w:space="0" w:color="auto"/>
              <w:left w:val="nil" w:sz="6" w:space="0" w:color="auto"/>
              <w:bottom w:val="nil" w:sz="6" w:space="0" w:color="auto"/>
              <w:right w:val="nil" w:sz="6" w:space="0" w:color="auto"/>
            </w:tcBorders>
          </w:tcPr>
          <w:p>
            <w:pPr>
              <w:pStyle w:val="TableParagraph"/>
              <w:spacing w:line="451" w:lineRule="auto" w:before="53"/>
              <w:ind w:left="122" w:right="136" w:firstLine="452"/>
              <w:jc w:val="left"/>
              <w:rPr>
                <w:rFonts w:ascii="宋体" w:hAnsi="宋体" w:cs="宋体" w:eastAsia="宋体" w:hint="default"/>
                <w:sz w:val="15"/>
                <w:szCs w:val="15"/>
              </w:rPr>
            </w:pPr>
            <w:r>
              <w:rPr>
                <w:rFonts w:ascii="宋体" w:hAnsi="宋体" w:cs="宋体" w:eastAsia="宋体" w:hint="default"/>
                <w:sz w:val="15"/>
                <w:szCs w:val="15"/>
              </w:rPr>
              <w:t>应收款项内容 应收软件及系统集成合同款</w:t>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8" w:right="0" w:firstLine="48"/>
              <w:jc w:val="left"/>
              <w:rPr>
                <w:rFonts w:ascii="宋体" w:hAnsi="宋体" w:cs="宋体" w:eastAsia="宋体" w:hint="default"/>
                <w:sz w:val="15"/>
                <w:szCs w:val="15"/>
              </w:rPr>
            </w:pPr>
            <w:r>
              <w:rPr>
                <w:rFonts w:ascii="宋体" w:hAnsi="宋体" w:cs="宋体" w:eastAsia="宋体" w:hint="default"/>
                <w:sz w:val="15"/>
                <w:szCs w:val="15"/>
              </w:rPr>
              <w:t>账面金额</w:t>
            </w: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38" w:right="0"/>
              <w:jc w:val="left"/>
              <w:rPr>
                <w:rFonts w:ascii="Times New Roman" w:hAnsi="Times New Roman" w:cs="Times New Roman" w:eastAsia="Times New Roman" w:hint="default"/>
                <w:sz w:val="15"/>
                <w:szCs w:val="15"/>
              </w:rPr>
            </w:pPr>
            <w:r>
              <w:rPr>
                <w:rFonts w:ascii="Times New Roman"/>
                <w:sz w:val="15"/>
              </w:rPr>
              <w:t>201,891,645</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77" w:right="0" w:hanging="255"/>
              <w:jc w:val="left"/>
              <w:rPr>
                <w:rFonts w:ascii="宋体" w:hAnsi="宋体" w:cs="宋体" w:eastAsia="宋体" w:hint="default"/>
                <w:sz w:val="15"/>
                <w:szCs w:val="15"/>
              </w:rPr>
            </w:pPr>
            <w:r>
              <w:rPr>
                <w:rFonts w:ascii="宋体" w:hAnsi="宋体" w:cs="宋体" w:eastAsia="宋体" w:hint="default"/>
                <w:sz w:val="15"/>
                <w:szCs w:val="15"/>
              </w:rPr>
              <w:t>坏账准备金额</w:t>
            </w: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377" w:right="0"/>
              <w:jc w:val="left"/>
              <w:rPr>
                <w:rFonts w:ascii="Times New Roman" w:hAnsi="Times New Roman" w:cs="Times New Roman" w:eastAsia="Times New Roman" w:hint="default"/>
                <w:sz w:val="15"/>
                <w:szCs w:val="15"/>
              </w:rPr>
            </w:pPr>
            <w:r>
              <w:rPr>
                <w:rFonts w:ascii="Times New Roman"/>
                <w:sz w:val="15"/>
              </w:rPr>
              <w:t>18,672,630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59"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计提比例</w:t>
            </w:r>
            <w:r>
              <w:rPr>
                <w:rFonts w:ascii="Times New Roman" w:hAnsi="Times New Roman" w:cs="Times New Roman" w:eastAsia="Times New Roman" w:hint="default"/>
                <w:sz w:val="15"/>
                <w:szCs w:val="15"/>
              </w:rPr>
              <w:t>(%)</w:t>
            </w: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824" w:right="0"/>
              <w:jc w:val="left"/>
              <w:rPr>
                <w:rFonts w:ascii="Times New Roman" w:hAnsi="Times New Roman" w:cs="Times New Roman" w:eastAsia="Times New Roman" w:hint="default"/>
                <w:sz w:val="15"/>
                <w:szCs w:val="15"/>
              </w:rPr>
            </w:pPr>
            <w:r>
              <w:rPr>
                <w:rFonts w:ascii="Times New Roman"/>
                <w:sz w:val="15"/>
              </w:rPr>
              <w:t>9.25</w:t>
            </w:r>
          </w:p>
        </w:tc>
        <w:tc>
          <w:tcPr>
            <w:tcW w:w="295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164" w:right="0"/>
              <w:jc w:val="left"/>
              <w:rPr>
                <w:rFonts w:ascii="宋体" w:hAnsi="宋体" w:cs="宋体" w:eastAsia="宋体" w:hint="default"/>
                <w:sz w:val="15"/>
                <w:szCs w:val="15"/>
              </w:rPr>
            </w:pPr>
            <w:r>
              <w:rPr>
                <w:rFonts w:ascii="宋体" w:hAnsi="宋体" w:cs="宋体" w:eastAsia="宋体" w:hint="default"/>
                <w:sz w:val="15"/>
                <w:szCs w:val="15"/>
              </w:rPr>
              <w:t>理</w:t>
            </w:r>
            <w:r>
              <w:rPr>
                <w:rFonts w:ascii="宋体" w:hAnsi="宋体" w:cs="宋体" w:eastAsia="宋体" w:hint="default"/>
                <w:spacing w:val="73"/>
                <w:sz w:val="15"/>
                <w:szCs w:val="15"/>
              </w:rPr>
              <w:t> </w:t>
            </w:r>
            <w:r>
              <w:rPr>
                <w:rFonts w:ascii="宋体" w:hAnsi="宋体" w:cs="宋体" w:eastAsia="宋体" w:hint="default"/>
                <w:sz w:val="15"/>
                <w:szCs w:val="15"/>
              </w:rPr>
              <w:t>由</w:t>
            </w: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437" w:right="0"/>
              <w:jc w:val="left"/>
              <w:rPr>
                <w:rFonts w:ascii="宋体" w:hAnsi="宋体" w:cs="宋体" w:eastAsia="宋体" w:hint="default"/>
                <w:sz w:val="15"/>
                <w:szCs w:val="15"/>
              </w:rPr>
            </w:pPr>
            <w:r>
              <w:rPr>
                <w:rFonts w:ascii="宋体" w:hAnsi="宋体" w:cs="宋体" w:eastAsia="宋体" w:hint="default"/>
                <w:sz w:val="15"/>
                <w:szCs w:val="15"/>
              </w:rPr>
              <w:t>账龄较长</w:t>
            </w:r>
            <w:r>
              <w:rPr>
                <w:rFonts w:ascii="Times New Roman" w:hAnsi="Times New Roman" w:cs="Times New Roman" w:eastAsia="Times New Roman" w:hint="default"/>
                <w:sz w:val="15"/>
                <w:szCs w:val="15"/>
              </w:rPr>
              <w:t>—</w:t>
            </w:r>
            <w:r>
              <w:rPr>
                <w:rFonts w:ascii="宋体" w:hAnsi="宋体" w:cs="宋体" w:eastAsia="宋体" w:hint="default"/>
                <w:sz w:val="15"/>
                <w:szCs w:val="15"/>
              </w:rPr>
              <w:t>预计可收回比例</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90%</w:t>
            </w:r>
            <w:r>
              <w:rPr>
                <w:rFonts w:ascii="宋体" w:hAnsi="宋体" w:cs="宋体" w:eastAsia="宋体" w:hint="default"/>
                <w:sz w:val="15"/>
                <w:szCs w:val="15"/>
              </w:rPr>
              <w:t>以上</w:t>
            </w:r>
          </w:p>
        </w:tc>
      </w:tr>
      <w:tr>
        <w:trPr>
          <w:trHeight w:val="370" w:hRule="exact"/>
        </w:trPr>
        <w:tc>
          <w:tcPr>
            <w:tcW w:w="206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4"/>
              <w:jc w:val="center"/>
              <w:rPr>
                <w:rFonts w:ascii="宋体" w:hAnsi="宋体" w:cs="宋体" w:eastAsia="宋体" w:hint="default"/>
                <w:sz w:val="15"/>
                <w:szCs w:val="15"/>
              </w:rPr>
            </w:pPr>
            <w:r>
              <w:rPr>
                <w:rFonts w:ascii="宋体" w:hAnsi="宋体" w:cs="宋体" w:eastAsia="宋体" w:hint="default"/>
                <w:sz w:val="15"/>
                <w:szCs w:val="15"/>
              </w:rPr>
              <w:t>应收软件及系统集成合同款</w:t>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20"/>
              <w:jc w:val="right"/>
              <w:rPr>
                <w:rFonts w:ascii="Times New Roman" w:hAnsi="Times New Roman" w:cs="Times New Roman" w:eastAsia="Times New Roman" w:hint="default"/>
                <w:sz w:val="15"/>
                <w:szCs w:val="15"/>
              </w:rPr>
            </w:pPr>
            <w:r>
              <w:rPr>
                <w:rFonts w:ascii="Times New Roman"/>
                <w:spacing w:val="-1"/>
                <w:sz w:val="15"/>
              </w:rPr>
              <w:t>3,416,094</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57"/>
              <w:jc w:val="right"/>
              <w:rPr>
                <w:rFonts w:ascii="Times New Roman" w:hAnsi="Times New Roman" w:cs="Times New Roman" w:eastAsia="Times New Roman" w:hint="default"/>
                <w:sz w:val="15"/>
                <w:szCs w:val="15"/>
              </w:rPr>
            </w:pPr>
            <w:r>
              <w:rPr>
                <w:rFonts w:ascii="Times New Roman"/>
                <w:spacing w:val="-1"/>
                <w:sz w:val="15"/>
              </w:rPr>
              <w:t>1,708,047</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99"/>
              <w:ind w:left="750" w:right="0"/>
              <w:jc w:val="left"/>
              <w:rPr>
                <w:rFonts w:ascii="Times New Roman" w:hAnsi="Times New Roman" w:cs="Times New Roman" w:eastAsia="Times New Roman" w:hint="default"/>
                <w:sz w:val="15"/>
                <w:szCs w:val="15"/>
              </w:rPr>
            </w:pPr>
            <w:r>
              <w:rPr>
                <w:rFonts w:ascii="Times New Roman"/>
                <w:sz w:val="15"/>
              </w:rPr>
              <w:t>50.00</w:t>
            </w:r>
          </w:p>
        </w:tc>
        <w:tc>
          <w:tcPr>
            <w:tcW w:w="2958"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87" w:right="0"/>
              <w:jc w:val="left"/>
              <w:rPr>
                <w:rFonts w:ascii="宋体" w:hAnsi="宋体" w:cs="宋体" w:eastAsia="宋体" w:hint="default"/>
                <w:sz w:val="15"/>
                <w:szCs w:val="15"/>
              </w:rPr>
            </w:pPr>
            <w:r>
              <w:rPr>
                <w:rFonts w:ascii="宋体" w:hAnsi="宋体" w:cs="宋体" w:eastAsia="宋体" w:hint="default"/>
                <w:sz w:val="15"/>
                <w:szCs w:val="15"/>
              </w:rPr>
              <w:t>账龄较长</w:t>
            </w:r>
            <w:r>
              <w:rPr>
                <w:rFonts w:ascii="Times New Roman" w:hAnsi="Times New Roman" w:cs="Times New Roman" w:eastAsia="Times New Roman" w:hint="default"/>
                <w:sz w:val="15"/>
                <w:szCs w:val="15"/>
              </w:rPr>
              <w:t>—</w:t>
            </w:r>
            <w:r>
              <w:rPr>
                <w:rFonts w:ascii="宋体" w:hAnsi="宋体" w:cs="宋体" w:eastAsia="宋体" w:hint="default"/>
                <w:sz w:val="15"/>
                <w:szCs w:val="15"/>
              </w:rPr>
              <w:t>预计可收回比例在</w:t>
            </w:r>
            <w:r>
              <w:rPr>
                <w:rFonts w:ascii="宋体" w:hAnsi="宋体" w:cs="宋体" w:eastAsia="宋体" w:hint="default"/>
                <w:spacing w:val="-43"/>
                <w:sz w:val="15"/>
                <w:szCs w:val="15"/>
              </w:rPr>
              <w:t> </w:t>
            </w:r>
            <w:r>
              <w:rPr>
                <w:rFonts w:ascii="Times New Roman" w:hAnsi="Times New Roman" w:cs="Times New Roman" w:eastAsia="Times New Roman" w:hint="default"/>
                <w:sz w:val="15"/>
                <w:szCs w:val="15"/>
              </w:rPr>
              <w:t>50%</w:t>
            </w:r>
            <w:r>
              <w:rPr>
                <w:rFonts w:ascii="宋体" w:hAnsi="宋体" w:cs="宋体" w:eastAsia="宋体" w:hint="default"/>
                <w:sz w:val="15"/>
                <w:szCs w:val="15"/>
              </w:rPr>
              <w:t>左右</w:t>
            </w:r>
          </w:p>
        </w:tc>
      </w:tr>
      <w:tr>
        <w:trPr>
          <w:trHeight w:val="286" w:hRule="exact"/>
        </w:trPr>
        <w:tc>
          <w:tcPr>
            <w:tcW w:w="2061" w:type="dxa"/>
            <w:tcBorders>
              <w:top w:val="nil" w:sz="6" w:space="0" w:color="auto"/>
              <w:left w:val="nil" w:sz="6" w:space="0" w:color="auto"/>
              <w:bottom w:val="single" w:sz="8" w:space="0" w:color="000000"/>
              <w:right w:val="nil" w:sz="6" w:space="0" w:color="auto"/>
            </w:tcBorders>
          </w:tcPr>
          <w:p>
            <w:pPr>
              <w:pStyle w:val="TableParagraph"/>
              <w:spacing w:line="240" w:lineRule="auto" w:before="55"/>
              <w:ind w:left="63" w:right="0"/>
              <w:jc w:val="center"/>
              <w:rPr>
                <w:rFonts w:ascii="宋体" w:hAnsi="宋体" w:cs="宋体" w:eastAsia="宋体" w:hint="default"/>
                <w:sz w:val="15"/>
                <w:szCs w:val="15"/>
              </w:rPr>
            </w:pPr>
            <w:r>
              <w:rPr>
                <w:rFonts w:ascii="宋体" w:hAnsi="宋体" w:cs="宋体" w:eastAsia="宋体" w:hint="default"/>
                <w:sz w:val="15"/>
                <w:szCs w:val="15"/>
              </w:rPr>
              <w:t>合  </w:t>
            </w:r>
            <w:r>
              <w:rPr>
                <w:rFonts w:ascii="宋体" w:hAnsi="宋体" w:cs="宋体" w:eastAsia="宋体" w:hint="default"/>
                <w:spacing w:val="75"/>
                <w:sz w:val="15"/>
                <w:szCs w:val="15"/>
              </w:rPr>
              <w:t> </w:t>
            </w:r>
            <w:r>
              <w:rPr>
                <w:rFonts w:ascii="宋体" w:hAnsi="宋体" w:cs="宋体" w:eastAsia="宋体" w:hint="default"/>
                <w:sz w:val="15"/>
                <w:szCs w:val="15"/>
              </w:rPr>
              <w:t>计 </w:t>
            </w:r>
          </w:p>
        </w:tc>
        <w:tc>
          <w:tcPr>
            <w:tcW w:w="1012" w:type="dxa"/>
            <w:tcBorders>
              <w:top w:val="nil" w:sz="6" w:space="0" w:color="auto"/>
              <w:left w:val="nil" w:sz="6" w:space="0" w:color="auto"/>
              <w:bottom w:val="single" w:sz="8" w:space="0" w:color="000000"/>
              <w:right w:val="nil" w:sz="6" w:space="0" w:color="auto"/>
            </w:tcBorders>
          </w:tcPr>
          <w:p>
            <w:pPr>
              <w:pStyle w:val="TableParagraph"/>
              <w:spacing w:line="240" w:lineRule="auto" w:before="98"/>
              <w:ind w:right="120"/>
              <w:jc w:val="right"/>
              <w:rPr>
                <w:rFonts w:ascii="Times New Roman" w:hAnsi="Times New Roman" w:cs="Times New Roman" w:eastAsia="Times New Roman" w:hint="default"/>
                <w:sz w:val="15"/>
                <w:szCs w:val="15"/>
              </w:rPr>
            </w:pPr>
            <w:r>
              <w:rPr>
                <w:rFonts w:ascii="Times New Roman"/>
                <w:spacing w:val="-1"/>
                <w:sz w:val="15"/>
              </w:rPr>
              <w:t>205,307,739</w:t>
            </w:r>
          </w:p>
        </w:tc>
        <w:tc>
          <w:tcPr>
            <w:tcW w:w="1212" w:type="dxa"/>
            <w:tcBorders>
              <w:top w:val="nil" w:sz="6" w:space="0" w:color="auto"/>
              <w:left w:val="nil" w:sz="6" w:space="0" w:color="auto"/>
              <w:bottom w:val="single" w:sz="8" w:space="0" w:color="000000"/>
              <w:right w:val="nil" w:sz="6" w:space="0" w:color="auto"/>
            </w:tcBorders>
          </w:tcPr>
          <w:p>
            <w:pPr>
              <w:pStyle w:val="TableParagraph"/>
              <w:spacing w:line="240" w:lineRule="auto" w:before="98"/>
              <w:ind w:right="158"/>
              <w:jc w:val="right"/>
              <w:rPr>
                <w:rFonts w:ascii="Times New Roman" w:hAnsi="Times New Roman" w:cs="Times New Roman" w:eastAsia="Times New Roman" w:hint="default"/>
                <w:sz w:val="15"/>
                <w:szCs w:val="15"/>
              </w:rPr>
            </w:pPr>
            <w:r>
              <w:rPr>
                <w:rFonts w:ascii="Times New Roman"/>
                <w:spacing w:val="-1"/>
                <w:sz w:val="15"/>
              </w:rPr>
              <w:t>20,380,677</w:t>
            </w:r>
          </w:p>
        </w:tc>
        <w:tc>
          <w:tcPr>
            <w:tcW w:w="1376" w:type="dxa"/>
            <w:tcBorders>
              <w:top w:val="nil" w:sz="6" w:space="0" w:color="auto"/>
              <w:left w:val="nil" w:sz="6" w:space="0" w:color="auto"/>
              <w:bottom w:val="single" w:sz="8" w:space="0" w:color="000000"/>
              <w:right w:val="nil" w:sz="6" w:space="0" w:color="auto"/>
            </w:tcBorders>
          </w:tcPr>
          <w:p>
            <w:pPr/>
          </w:p>
        </w:tc>
        <w:tc>
          <w:tcPr>
            <w:tcW w:w="2958" w:type="dxa"/>
            <w:tcBorders>
              <w:top w:val="nil" w:sz="6" w:space="0" w:color="auto"/>
              <w:left w:val="nil" w:sz="6" w:space="0" w:color="auto"/>
              <w:bottom w:val="single" w:sz="8" w:space="0" w:color="000000"/>
              <w:right w:val="nil" w:sz="6" w:space="0" w:color="auto"/>
            </w:tcBorders>
          </w:tcPr>
          <w:p>
            <w:pPr/>
          </w:p>
        </w:tc>
      </w:tr>
    </w:tbl>
    <w:p>
      <w:pPr>
        <w:spacing w:line="240" w:lineRule="auto" w:before="2"/>
        <w:rPr>
          <w:rFonts w:ascii="宋体" w:hAnsi="宋体" w:cs="宋体" w:eastAsia="宋体" w:hint="default"/>
          <w:sz w:val="28"/>
          <w:szCs w:val="28"/>
        </w:rPr>
      </w:pPr>
    </w:p>
    <w:p>
      <w:pPr>
        <w:spacing w:before="35"/>
        <w:ind w:left="916" w:right="0" w:firstLine="0"/>
        <w:jc w:val="left"/>
        <w:rPr>
          <w:rFonts w:ascii="宋体" w:hAnsi="宋体" w:cs="宋体" w:eastAsia="宋体" w:hint="default"/>
          <w:sz w:val="21"/>
          <w:szCs w:val="21"/>
        </w:rPr>
      </w:pPr>
      <w:r>
        <w:rPr/>
        <w:pict>
          <v:group style="position:absolute;margin-left:102.360008pt;margin-top:17.073988pt;width:430.45pt;height:111.55pt;mso-position-horizontal-relative:page;mso-position-vertical-relative:paragraph;z-index:-992584" coordorigin="2047,341" coordsize="8609,2231">
            <v:group style="position:absolute;left:2057;top:351;width:1170;height:2" coordorigin="2057,351" coordsize="1170,2">
              <v:shape style="position:absolute;left:2057;top:351;width:1170;height:2" coordorigin="2057,351" coordsize="1170,0" path="m2057,351l3227,351e" filled="false" stroked="true" strokeweight=".95999pt" strokecolor="#000000">
                <v:path arrowok="t"/>
              </v:shape>
            </v:group>
            <v:group style="position:absolute;left:3227;top:351;width:3776;height:2" coordorigin="3227,351" coordsize="3776,2">
              <v:shape style="position:absolute;left:3227;top:351;width:3776;height:2" coordorigin="3227,351" coordsize="3776,0" path="m3227,351l7002,351e" filled="false" stroked="true" strokeweight=".95999pt" strokecolor="#000000">
                <v:path arrowok="t"/>
              </v:shape>
            </v:group>
            <v:group style="position:absolute;left:7002;top:351;width:3641;height:2" coordorigin="7002,351" coordsize="3641,2">
              <v:shape style="position:absolute;left:7002;top:351;width:3641;height:2" coordorigin="7002,351" coordsize="3641,0" path="m7002,351l10643,351e" filled="false" stroked="true" strokeweight=".95999pt" strokecolor="#000000">
                <v:path arrowok="t"/>
              </v:shape>
              <v:shape style="position:absolute;left:2050;top:361;width:8606;height:2212" type="#_x0000_t75" stroked="false">
                <v:imagedata r:id="rId52" o:title=""/>
              </v:shape>
              <v:shape style="position:absolute;left:4759;top:51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期末金额</w:t>
                      </w:r>
                    </w:p>
                  </w:txbxContent>
                </v:textbox>
                <w10:wrap type="none"/>
              </v:shape>
              <v:shape style="position:absolute;left:8468;top:51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期初金额</w:t>
                      </w:r>
                    </w:p>
                  </w:txbxContent>
                </v:textbox>
                <w10:wrap type="none"/>
              </v:shape>
            </v:group>
            <w10:wrap type="none"/>
          </v:group>
        </w:pict>
      </w:r>
      <w:r>
        <w:rPr>
          <w:rFonts w:ascii="宋体" w:hAnsi="宋体" w:cs="宋体" w:eastAsia="宋体" w:hint="default"/>
          <w:sz w:val="21"/>
          <w:szCs w:val="21"/>
        </w:rPr>
        <w:t>单项金额不重大但按信用风险特征组合后该组合的风险较大的应收账款：</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tbl>
      <w:tblPr>
        <w:tblW w:w="0" w:type="auto"/>
        <w:jc w:val="left"/>
        <w:tblInd w:w="755" w:type="dxa"/>
        <w:tblLayout w:type="fixed"/>
        <w:tblCellMar>
          <w:top w:w="0" w:type="dxa"/>
          <w:left w:w="0" w:type="dxa"/>
          <w:bottom w:w="0" w:type="dxa"/>
          <w:right w:w="0" w:type="dxa"/>
        </w:tblCellMar>
        <w:tblLook w:val="01E0"/>
      </w:tblPr>
      <w:tblGrid>
        <w:gridCol w:w="1365"/>
        <w:gridCol w:w="1358"/>
        <w:gridCol w:w="958"/>
        <w:gridCol w:w="1462"/>
        <w:gridCol w:w="1317"/>
        <w:gridCol w:w="934"/>
        <w:gridCol w:w="1220"/>
      </w:tblGrid>
      <w:tr>
        <w:trPr>
          <w:trHeight w:val="474" w:hRule="exact"/>
        </w:trPr>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08"/>
              <w:jc w:val="right"/>
              <w:rPr>
                <w:rFonts w:ascii="宋体" w:hAnsi="宋体" w:cs="宋体" w:eastAsia="宋体" w:hint="default"/>
                <w:sz w:val="18"/>
                <w:szCs w:val="18"/>
              </w:rPr>
            </w:pPr>
            <w:r>
              <w:rPr>
                <w:rFonts w:ascii="宋体" w:hAnsi="宋体" w:cs="宋体" w:eastAsia="宋体" w:hint="default"/>
                <w:sz w:val="18"/>
                <w:szCs w:val="18"/>
              </w:rPr>
              <w:t>账    龄 </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654" w:right="-17"/>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958"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25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632"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285" w:hRule="exact"/>
        </w:trPr>
        <w:tc>
          <w:tcPr>
            <w:tcW w:w="1365" w:type="dxa"/>
            <w:tcBorders>
              <w:top w:val="nil" w:sz="6" w:space="0" w:color="auto"/>
              <w:left w:val="nil" w:sz="6" w:space="0" w:color="auto"/>
              <w:bottom w:val="nil" w:sz="6" w:space="0" w:color="auto"/>
              <w:right w:val="nil" w:sz="6" w:space="0" w:color="auto"/>
            </w:tcBorders>
          </w:tcPr>
          <w:p>
            <w:pPr/>
          </w:p>
        </w:tc>
        <w:tc>
          <w:tcPr>
            <w:tcW w:w="1358" w:type="dxa"/>
            <w:tcBorders>
              <w:top w:val="nil" w:sz="6" w:space="0" w:color="auto"/>
              <w:left w:val="nil" w:sz="6" w:space="0" w:color="auto"/>
              <w:bottom w:val="nil" w:sz="6" w:space="0" w:color="auto"/>
              <w:right w:val="nil" w:sz="6" w:space="0" w:color="auto"/>
            </w:tcBorders>
          </w:tcPr>
          <w:p>
            <w:pPr>
              <w:pStyle w:val="TableParagraph"/>
              <w:spacing w:line="185" w:lineRule="exact"/>
              <w:ind w:left="31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58" w:type="dxa"/>
            <w:tcBorders>
              <w:top w:val="nil" w:sz="6" w:space="0" w:color="auto"/>
              <w:left w:val="nil" w:sz="6" w:space="0" w:color="auto"/>
              <w:bottom w:val="nil" w:sz="6" w:space="0" w:color="auto"/>
              <w:right w:val="nil" w:sz="6" w:space="0" w:color="auto"/>
            </w:tcBorders>
          </w:tcPr>
          <w:p>
            <w:pPr>
              <w:pStyle w:val="TableParagraph"/>
              <w:spacing w:line="198" w:lineRule="exact"/>
              <w:ind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462" w:type="dxa"/>
            <w:tcBorders>
              <w:top w:val="nil" w:sz="6" w:space="0" w:color="auto"/>
              <w:left w:val="nil" w:sz="6" w:space="0" w:color="auto"/>
              <w:bottom w:val="nil" w:sz="6" w:space="0" w:color="auto"/>
              <w:right w:val="nil" w:sz="6" w:space="0" w:color="auto"/>
            </w:tcBorders>
          </w:tcPr>
          <w:p>
            <w:pPr/>
          </w:p>
        </w:tc>
        <w:tc>
          <w:tcPr>
            <w:tcW w:w="1317" w:type="dxa"/>
            <w:tcBorders>
              <w:top w:val="nil" w:sz="6" w:space="0" w:color="auto"/>
              <w:left w:val="nil" w:sz="6" w:space="0" w:color="auto"/>
              <w:bottom w:val="nil" w:sz="6" w:space="0" w:color="auto"/>
              <w:right w:val="nil" w:sz="6" w:space="0" w:color="auto"/>
            </w:tcBorders>
          </w:tcPr>
          <w:p>
            <w:pPr>
              <w:pStyle w:val="TableParagraph"/>
              <w:spacing w:line="185" w:lineRule="exact"/>
              <w:ind w:left="28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tcBorders>
              <w:top w:val="nil" w:sz="6" w:space="0" w:color="auto"/>
              <w:left w:val="nil" w:sz="6" w:space="0" w:color="auto"/>
              <w:bottom w:val="nil" w:sz="6" w:space="0" w:color="auto"/>
              <w:right w:val="nil" w:sz="6" w:space="0" w:color="auto"/>
            </w:tcBorders>
          </w:tcPr>
          <w:p>
            <w:pPr>
              <w:pStyle w:val="TableParagraph"/>
              <w:spacing w:line="198" w:lineRule="exact"/>
              <w:ind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220" w:type="dxa"/>
            <w:tcBorders>
              <w:top w:val="nil" w:sz="6" w:space="0" w:color="auto"/>
              <w:left w:val="nil" w:sz="6" w:space="0" w:color="auto"/>
              <w:bottom w:val="nil" w:sz="6" w:space="0" w:color="auto"/>
              <w:right w:val="nil" w:sz="6" w:space="0" w:color="auto"/>
            </w:tcBorders>
          </w:tcPr>
          <w:p>
            <w:pPr/>
          </w:p>
        </w:tc>
      </w:tr>
      <w:tr>
        <w:trPr>
          <w:trHeight w:val="375" w:hRule="exact"/>
        </w:trPr>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19" w:right="0"/>
              <w:jc w:val="left"/>
              <w:rPr>
                <w:rFonts w:ascii="Times New Roman" w:hAnsi="Times New Roman" w:cs="Times New Roman" w:eastAsia="Times New Roman" w:hint="default"/>
                <w:sz w:val="18"/>
                <w:szCs w:val="18"/>
              </w:rPr>
            </w:pPr>
            <w:r>
              <w:rPr>
                <w:rFonts w:ascii="Times New Roman"/>
                <w:sz w:val="18"/>
              </w:rPr>
              <w:t>2,055,751</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24"/>
              <w:jc w:val="right"/>
              <w:rPr>
                <w:rFonts w:ascii="Times New Roman" w:hAnsi="Times New Roman" w:cs="Times New Roman" w:eastAsia="Times New Roman" w:hint="default"/>
                <w:sz w:val="18"/>
                <w:szCs w:val="18"/>
              </w:rPr>
            </w:pPr>
            <w:r>
              <w:rPr>
                <w:rFonts w:ascii="Times New Roman"/>
                <w:sz w:val="18"/>
              </w:rPr>
              <w:t>25.85</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77"/>
              <w:jc w:val="right"/>
              <w:rPr>
                <w:rFonts w:ascii="Times New Roman" w:hAnsi="Times New Roman" w:cs="Times New Roman" w:eastAsia="Times New Roman" w:hint="default"/>
                <w:sz w:val="18"/>
                <w:szCs w:val="18"/>
              </w:rPr>
            </w:pPr>
            <w:r>
              <w:rPr>
                <w:rFonts w:ascii="Times New Roman"/>
                <w:sz w:val="18"/>
              </w:rPr>
              <w:t>2,055,751</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86"/>
              <w:ind w:left="279" w:right="0"/>
              <w:jc w:val="left"/>
              <w:rPr>
                <w:rFonts w:ascii="Times New Roman" w:hAnsi="Times New Roman" w:cs="Times New Roman" w:eastAsia="Times New Roman" w:hint="default"/>
                <w:sz w:val="18"/>
                <w:szCs w:val="18"/>
              </w:rPr>
            </w:pPr>
            <w:r>
              <w:rPr>
                <w:rFonts w:ascii="Times New Roman"/>
                <w:sz w:val="18"/>
              </w:rPr>
              <w:t>1,209,645</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00"/>
              <w:jc w:val="right"/>
              <w:rPr>
                <w:rFonts w:ascii="Times New Roman" w:hAnsi="Times New Roman" w:cs="Times New Roman" w:eastAsia="Times New Roman" w:hint="default"/>
                <w:sz w:val="18"/>
                <w:szCs w:val="18"/>
              </w:rPr>
            </w:pPr>
            <w:r>
              <w:rPr>
                <w:rFonts w:ascii="Times New Roman"/>
                <w:sz w:val="18"/>
              </w:rPr>
              <w:t>70.44</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z w:val="18"/>
              </w:rPr>
              <w:t>1,209,645</w:t>
            </w:r>
          </w:p>
        </w:tc>
      </w:tr>
      <w:tr>
        <w:trPr>
          <w:trHeight w:val="370" w:hRule="exact"/>
        </w:trPr>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30"/>
              <w:ind w:left="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19" w:right="0"/>
              <w:jc w:val="left"/>
              <w:rPr>
                <w:rFonts w:ascii="Times New Roman" w:hAnsi="Times New Roman" w:cs="Times New Roman" w:eastAsia="Times New Roman" w:hint="default"/>
                <w:sz w:val="18"/>
                <w:szCs w:val="18"/>
              </w:rPr>
            </w:pPr>
            <w:r>
              <w:rPr>
                <w:rFonts w:ascii="Times New Roman"/>
                <w:sz w:val="18"/>
              </w:rPr>
              <w:t>5,895,960</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24"/>
              <w:jc w:val="right"/>
              <w:rPr>
                <w:rFonts w:ascii="Times New Roman" w:hAnsi="Times New Roman" w:cs="Times New Roman" w:eastAsia="Times New Roman" w:hint="default"/>
                <w:sz w:val="18"/>
                <w:szCs w:val="18"/>
              </w:rPr>
            </w:pPr>
            <w:r>
              <w:rPr>
                <w:rFonts w:ascii="Times New Roman"/>
                <w:sz w:val="18"/>
              </w:rPr>
              <w:t>74.15</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77"/>
              <w:jc w:val="right"/>
              <w:rPr>
                <w:rFonts w:ascii="Times New Roman" w:hAnsi="Times New Roman" w:cs="Times New Roman" w:eastAsia="Times New Roman" w:hint="default"/>
                <w:sz w:val="18"/>
                <w:szCs w:val="18"/>
              </w:rPr>
            </w:pPr>
            <w:r>
              <w:rPr>
                <w:rFonts w:ascii="Times New Roman"/>
                <w:sz w:val="18"/>
              </w:rPr>
              <w:t>5,895,960</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82"/>
              <w:ind w:left="415" w:right="0"/>
              <w:jc w:val="left"/>
              <w:rPr>
                <w:rFonts w:ascii="Times New Roman" w:hAnsi="Times New Roman" w:cs="Times New Roman" w:eastAsia="Times New Roman" w:hint="default"/>
                <w:sz w:val="18"/>
                <w:szCs w:val="18"/>
              </w:rPr>
            </w:pPr>
            <w:r>
              <w:rPr>
                <w:rFonts w:ascii="Times New Roman"/>
                <w:sz w:val="18"/>
              </w:rPr>
              <w:t>507,660</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00"/>
              <w:jc w:val="right"/>
              <w:rPr>
                <w:rFonts w:ascii="Times New Roman" w:hAnsi="Times New Roman" w:cs="Times New Roman" w:eastAsia="Times New Roman" w:hint="default"/>
                <w:sz w:val="18"/>
                <w:szCs w:val="18"/>
              </w:rPr>
            </w:pPr>
            <w:r>
              <w:rPr>
                <w:rFonts w:ascii="Times New Roman"/>
                <w:sz w:val="18"/>
              </w:rPr>
              <w:t>29.56</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z w:val="18"/>
              </w:rPr>
              <w:t>507,660</w:t>
            </w:r>
          </w:p>
        </w:tc>
      </w:tr>
      <w:tr>
        <w:trPr>
          <w:trHeight w:val="303" w:hRule="exact"/>
        </w:trPr>
        <w:tc>
          <w:tcPr>
            <w:tcW w:w="1365" w:type="dxa"/>
            <w:tcBorders>
              <w:top w:val="nil" w:sz="6" w:space="0" w:color="auto"/>
              <w:left w:val="nil" w:sz="6" w:space="0" w:color="auto"/>
              <w:bottom w:val="single" w:sz="8" w:space="0" w:color="000000"/>
              <w:right w:val="nil" w:sz="6" w:space="0" w:color="auto"/>
            </w:tcBorders>
          </w:tcPr>
          <w:p>
            <w:pPr>
              <w:pStyle w:val="TableParagraph"/>
              <w:spacing w:line="240" w:lineRule="auto" w:before="29"/>
              <w:ind w:right="308"/>
              <w:jc w:val="right"/>
              <w:rPr>
                <w:rFonts w:ascii="宋体" w:hAnsi="宋体" w:cs="宋体" w:eastAsia="宋体" w:hint="default"/>
                <w:sz w:val="18"/>
                <w:szCs w:val="18"/>
              </w:rPr>
            </w:pPr>
            <w:r>
              <w:rPr>
                <w:rFonts w:ascii="宋体" w:hAnsi="宋体" w:cs="宋体" w:eastAsia="宋体" w:hint="default"/>
                <w:sz w:val="18"/>
                <w:szCs w:val="18"/>
              </w:rPr>
              <w:t>合    计 </w:t>
            </w:r>
          </w:p>
        </w:tc>
        <w:tc>
          <w:tcPr>
            <w:tcW w:w="1358" w:type="dxa"/>
            <w:tcBorders>
              <w:top w:val="nil" w:sz="6" w:space="0" w:color="auto"/>
              <w:left w:val="nil" w:sz="6" w:space="0" w:color="auto"/>
              <w:bottom w:val="single" w:sz="8" w:space="0" w:color="000000"/>
              <w:right w:val="nil" w:sz="6" w:space="0" w:color="auto"/>
            </w:tcBorders>
          </w:tcPr>
          <w:p>
            <w:pPr>
              <w:pStyle w:val="TableParagraph"/>
              <w:spacing w:line="240" w:lineRule="auto" w:before="81"/>
              <w:ind w:left="326" w:right="0"/>
              <w:jc w:val="left"/>
              <w:rPr>
                <w:rFonts w:ascii="Times New Roman" w:hAnsi="Times New Roman" w:cs="Times New Roman" w:eastAsia="Times New Roman" w:hint="default"/>
                <w:sz w:val="18"/>
                <w:szCs w:val="18"/>
              </w:rPr>
            </w:pPr>
            <w:r>
              <w:rPr>
                <w:rFonts w:ascii="Times New Roman"/>
                <w:sz w:val="18"/>
              </w:rPr>
              <w:t>7,951,711</w:t>
            </w:r>
          </w:p>
        </w:tc>
        <w:tc>
          <w:tcPr>
            <w:tcW w:w="958" w:type="dxa"/>
            <w:tcBorders>
              <w:top w:val="nil" w:sz="6" w:space="0" w:color="auto"/>
              <w:left w:val="nil" w:sz="6" w:space="0" w:color="auto"/>
              <w:bottom w:val="single" w:sz="8" w:space="0" w:color="000000"/>
              <w:right w:val="nil" w:sz="6" w:space="0" w:color="auto"/>
            </w:tcBorders>
          </w:tcPr>
          <w:p>
            <w:pPr>
              <w:pStyle w:val="TableParagraph"/>
              <w:spacing w:line="240" w:lineRule="auto" w:before="81"/>
              <w:ind w:right="224"/>
              <w:jc w:val="right"/>
              <w:rPr>
                <w:rFonts w:ascii="Times New Roman" w:hAnsi="Times New Roman" w:cs="Times New Roman" w:eastAsia="Times New Roman" w:hint="default"/>
                <w:sz w:val="18"/>
                <w:szCs w:val="18"/>
              </w:rPr>
            </w:pPr>
            <w:r>
              <w:rPr>
                <w:rFonts w:ascii="Times New Roman"/>
                <w:sz w:val="18"/>
              </w:rPr>
              <w:t>100.00</w:t>
            </w:r>
          </w:p>
        </w:tc>
        <w:tc>
          <w:tcPr>
            <w:tcW w:w="1462" w:type="dxa"/>
            <w:tcBorders>
              <w:top w:val="nil" w:sz="6" w:space="0" w:color="auto"/>
              <w:left w:val="nil" w:sz="6" w:space="0" w:color="auto"/>
              <w:bottom w:val="single" w:sz="8" w:space="0" w:color="000000"/>
              <w:right w:val="nil" w:sz="6" w:space="0" w:color="auto"/>
            </w:tcBorders>
          </w:tcPr>
          <w:p>
            <w:pPr>
              <w:pStyle w:val="TableParagraph"/>
              <w:spacing w:line="240" w:lineRule="auto" w:before="81"/>
              <w:ind w:right="277"/>
              <w:jc w:val="right"/>
              <w:rPr>
                <w:rFonts w:ascii="Times New Roman" w:hAnsi="Times New Roman" w:cs="Times New Roman" w:eastAsia="Times New Roman" w:hint="default"/>
                <w:sz w:val="18"/>
                <w:szCs w:val="18"/>
              </w:rPr>
            </w:pPr>
            <w:r>
              <w:rPr>
                <w:rFonts w:ascii="Times New Roman"/>
                <w:spacing w:val="-1"/>
                <w:sz w:val="18"/>
              </w:rPr>
              <w:t>7,951,711</w:t>
            </w:r>
          </w:p>
        </w:tc>
        <w:tc>
          <w:tcPr>
            <w:tcW w:w="1317" w:type="dxa"/>
            <w:tcBorders>
              <w:top w:val="nil" w:sz="6" w:space="0" w:color="auto"/>
              <w:left w:val="nil" w:sz="6" w:space="0" w:color="auto"/>
              <w:bottom w:val="single" w:sz="8" w:space="0" w:color="000000"/>
              <w:right w:val="nil" w:sz="6" w:space="0" w:color="auto"/>
            </w:tcBorders>
          </w:tcPr>
          <w:p>
            <w:pPr>
              <w:pStyle w:val="TableParagraph"/>
              <w:spacing w:line="240" w:lineRule="auto" w:before="81"/>
              <w:ind w:left="279" w:right="0"/>
              <w:jc w:val="left"/>
              <w:rPr>
                <w:rFonts w:ascii="Times New Roman" w:hAnsi="Times New Roman" w:cs="Times New Roman" w:eastAsia="Times New Roman" w:hint="default"/>
                <w:sz w:val="18"/>
                <w:szCs w:val="18"/>
              </w:rPr>
            </w:pPr>
            <w:r>
              <w:rPr>
                <w:rFonts w:ascii="Times New Roman"/>
                <w:sz w:val="18"/>
              </w:rPr>
              <w:t>1,717,305</w:t>
            </w:r>
          </w:p>
        </w:tc>
        <w:tc>
          <w:tcPr>
            <w:tcW w:w="934" w:type="dxa"/>
            <w:tcBorders>
              <w:top w:val="nil" w:sz="6" w:space="0" w:color="auto"/>
              <w:left w:val="nil" w:sz="6" w:space="0" w:color="auto"/>
              <w:bottom w:val="single" w:sz="8" w:space="0" w:color="000000"/>
              <w:right w:val="nil" w:sz="6" w:space="0" w:color="auto"/>
            </w:tcBorders>
          </w:tcPr>
          <w:p>
            <w:pPr>
              <w:pStyle w:val="TableParagraph"/>
              <w:spacing w:line="240" w:lineRule="auto" w:before="81"/>
              <w:ind w:right="200"/>
              <w:jc w:val="right"/>
              <w:rPr>
                <w:rFonts w:ascii="Times New Roman" w:hAnsi="Times New Roman" w:cs="Times New Roman" w:eastAsia="Times New Roman" w:hint="default"/>
                <w:sz w:val="18"/>
                <w:szCs w:val="18"/>
              </w:rPr>
            </w:pPr>
            <w:r>
              <w:rPr>
                <w:rFonts w:ascii="Times New Roman"/>
                <w:sz w:val="18"/>
              </w:rPr>
              <w:t>100.00</w:t>
            </w:r>
          </w:p>
        </w:tc>
        <w:tc>
          <w:tcPr>
            <w:tcW w:w="1220" w:type="dxa"/>
            <w:tcBorders>
              <w:top w:val="nil" w:sz="6" w:space="0" w:color="auto"/>
              <w:left w:val="nil" w:sz="6" w:space="0" w:color="auto"/>
              <w:bottom w:val="single" w:sz="8" w:space="0" w:color="000000"/>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sz w:val="18"/>
              </w:rPr>
              <w:t>1,717,305</w:t>
            </w:r>
          </w:p>
        </w:tc>
      </w:tr>
    </w:tbl>
    <w:p>
      <w:pPr>
        <w:spacing w:after="0" w:line="240" w:lineRule="auto"/>
        <w:jc w:val="right"/>
        <w:rPr>
          <w:rFonts w:ascii="Times New Roman" w:hAnsi="Times New Roman" w:cs="Times New Roman" w:eastAsia="Times New Roman" w:hint="default"/>
          <w:sz w:val="18"/>
          <w:szCs w:val="18"/>
        </w:rPr>
        <w:sectPr>
          <w:pgSz w:w="11900" w:h="16840"/>
          <w:pgMar w:header="883" w:footer="1003" w:top="1540" w:bottom="1200" w:left="1280" w:right="1140"/>
        </w:sectPr>
      </w:pPr>
    </w:p>
    <w:p>
      <w:pPr>
        <w:spacing w:line="240" w:lineRule="auto" w:before="10"/>
        <w:rPr>
          <w:rFonts w:ascii="宋体" w:hAnsi="宋体" w:cs="宋体" w:eastAsia="宋体" w:hint="default"/>
          <w:sz w:val="11"/>
          <w:szCs w:val="11"/>
        </w:rPr>
      </w:pPr>
    </w:p>
    <w:p>
      <w:pPr>
        <w:tabs>
          <w:tab w:pos="1396" w:val="left" w:leader="none"/>
        </w:tabs>
        <w:spacing w:before="35"/>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本报告期无通过重组等其他方式收回应收款项；</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23"/>
          <w:szCs w:val="23"/>
        </w:rPr>
      </w:pPr>
    </w:p>
    <w:p>
      <w:pPr>
        <w:tabs>
          <w:tab w:pos="1396" w:val="left" w:leader="none"/>
        </w:tabs>
        <w:spacing w:before="0"/>
        <w:ind w:left="857" w:right="0" w:firstLine="0"/>
        <w:jc w:val="left"/>
        <w:rPr>
          <w:rFonts w:ascii="宋体" w:hAnsi="宋体" w:cs="宋体" w:eastAsia="宋体" w:hint="default"/>
          <w:sz w:val="21"/>
          <w:szCs w:val="21"/>
        </w:rPr>
      </w:pPr>
      <w:r>
        <w:rPr/>
        <w:pict>
          <v:group style="position:absolute;margin-left:101.999992pt;margin-top:15.323793pt;width:430.65pt;height:45.55pt;mso-position-horizontal-relative:page;mso-position-vertical-relative:paragraph;z-index:-992248" coordorigin="2040,306" coordsize="8613,911">
            <v:group style="position:absolute;left:2050;top:316;width:2552;height:2" coordorigin="2050,316" coordsize="2552,2">
              <v:shape style="position:absolute;left:2050;top:316;width:2552;height:2" coordorigin="2050,316" coordsize="2552,0" path="m2050,316l4601,316e" filled="false" stroked="true" strokeweight=".96002pt" strokecolor="#000000">
                <v:path arrowok="t"/>
              </v:shape>
            </v:group>
            <v:group style="position:absolute;left:4601;top:316;width:1116;height:2" coordorigin="4601,316" coordsize="1116,2">
              <v:shape style="position:absolute;left:4601;top:316;width:1116;height:2" coordorigin="4601,316" coordsize="1116,0" path="m4601,316l5717,316e" filled="false" stroked="true" strokeweight=".96002pt" strokecolor="#000000">
                <v:path arrowok="t"/>
              </v:shape>
            </v:group>
            <v:group style="position:absolute;left:5717;top:316;width:820;height:2" coordorigin="5717,316" coordsize="820,2">
              <v:shape style="position:absolute;left:5717;top:316;width:820;height:2" coordorigin="5717,316" coordsize="820,0" path="m5717,316l6536,316e" filled="false" stroked="true" strokeweight=".96002pt" strokecolor="#000000">
                <v:path arrowok="t"/>
              </v:shape>
            </v:group>
            <v:group style="position:absolute;left:6536;top:316;width:20;height:2" coordorigin="6536,316" coordsize="20,2">
              <v:shape style="position:absolute;left:6536;top:316;width:20;height:2" coordorigin="6536,316" coordsize="20,0" path="m6536,316l6556,316e" filled="false" stroked="true" strokeweight=".96002pt" strokecolor="#000000">
                <v:path arrowok="t"/>
              </v:shape>
            </v:group>
            <v:group style="position:absolute;left:6556;top:316;width:2408;height:2" coordorigin="6556,316" coordsize="2408,2">
              <v:shape style="position:absolute;left:6556;top:316;width:2408;height:2" coordorigin="6556,316" coordsize="2408,0" path="m6556,316l8963,316e" filled="false" stroked="true" strokeweight=".96pt" strokecolor="#000000">
                <v:path arrowok="t"/>
              </v:shape>
            </v:group>
            <v:group style="position:absolute;left:8963;top:316;width:1680;height:2" coordorigin="8963,316" coordsize="1680,2">
              <v:shape style="position:absolute;left:8963;top:316;width:1680;height:2" coordorigin="8963,316" coordsize="1680,0" path="m8963,316l10643,316e" filled="false" stroked="true" strokeweight=".96002pt" strokecolor="#000000">
                <v:path arrowok="t"/>
              </v:shape>
              <v:shape style="position:absolute;left:2050;top:326;width:8603;height:892" type="#_x0000_t75" stroked="false">
                <v:imagedata r:id="rId53" o:title=""/>
              </v:shape>
            </v:group>
            <w10:wrap type="none"/>
          </v:group>
        </w:pict>
      </w: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tab/>
        <w:t>本报告期实际核销的应收账款情况</w:t>
      </w:r>
    </w:p>
    <w:p>
      <w:pPr>
        <w:spacing w:line="240" w:lineRule="auto" w:before="6"/>
        <w:rPr>
          <w:rFonts w:ascii="宋体" w:hAnsi="宋体" w:cs="宋体" w:eastAsia="宋体" w:hint="default"/>
          <w:sz w:val="15"/>
          <w:szCs w:val="15"/>
        </w:rPr>
      </w:pPr>
    </w:p>
    <w:tbl>
      <w:tblPr>
        <w:tblW w:w="0" w:type="auto"/>
        <w:jc w:val="left"/>
        <w:tblInd w:w="735" w:type="dxa"/>
        <w:tblLayout w:type="fixed"/>
        <w:tblCellMar>
          <w:top w:w="0" w:type="dxa"/>
          <w:left w:w="0" w:type="dxa"/>
          <w:bottom w:w="0" w:type="dxa"/>
          <w:right w:w="0" w:type="dxa"/>
        </w:tblCellMar>
        <w:tblLook w:val="01E0"/>
      </w:tblPr>
      <w:tblGrid>
        <w:gridCol w:w="2525"/>
        <w:gridCol w:w="1162"/>
        <w:gridCol w:w="819"/>
        <w:gridCol w:w="2400"/>
        <w:gridCol w:w="1709"/>
      </w:tblGrid>
      <w:tr>
        <w:trPr>
          <w:trHeight w:val="400" w:hRule="exact"/>
        </w:trPr>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6" w:right="0"/>
              <w:jc w:val="center"/>
              <w:rPr>
                <w:rFonts w:ascii="宋体" w:hAnsi="宋体" w:cs="宋体" w:eastAsia="宋体" w:hint="default"/>
                <w:sz w:val="15"/>
                <w:szCs w:val="15"/>
              </w:rPr>
            </w:pPr>
            <w:r>
              <w:rPr>
                <w:rFonts w:ascii="宋体" w:hAnsi="宋体" w:cs="宋体" w:eastAsia="宋体" w:hint="default"/>
                <w:sz w:val="15"/>
                <w:szCs w:val="15"/>
              </w:rPr>
              <w:t>单位名称</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52" w:right="0"/>
              <w:jc w:val="left"/>
              <w:rPr>
                <w:rFonts w:ascii="宋体" w:hAnsi="宋体" w:cs="宋体" w:eastAsia="宋体" w:hint="default"/>
                <w:sz w:val="15"/>
                <w:szCs w:val="15"/>
              </w:rPr>
            </w:pPr>
            <w:r>
              <w:rPr>
                <w:rFonts w:ascii="宋体" w:hAnsi="宋体" w:cs="宋体" w:eastAsia="宋体" w:hint="default"/>
                <w:sz w:val="15"/>
                <w:szCs w:val="15"/>
              </w:rPr>
              <w:t>应收账款性质</w:t>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8"/>
              <w:jc w:val="right"/>
              <w:rPr>
                <w:rFonts w:ascii="宋体" w:hAnsi="宋体" w:cs="宋体" w:eastAsia="宋体" w:hint="default"/>
                <w:sz w:val="15"/>
                <w:szCs w:val="15"/>
              </w:rPr>
            </w:pPr>
            <w:r>
              <w:rPr>
                <w:rFonts w:ascii="宋体" w:hAnsi="宋体" w:cs="宋体" w:eastAsia="宋体" w:hint="default"/>
                <w:sz w:val="15"/>
                <w:szCs w:val="15"/>
              </w:rPr>
              <w:t>核销金额</w:t>
            </w:r>
          </w:p>
        </w:tc>
        <w:tc>
          <w:tcPr>
            <w:tcW w:w="240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6" w:right="0"/>
              <w:jc w:val="center"/>
              <w:rPr>
                <w:rFonts w:ascii="宋体" w:hAnsi="宋体" w:cs="宋体" w:eastAsia="宋体" w:hint="default"/>
                <w:sz w:val="15"/>
                <w:szCs w:val="15"/>
              </w:rPr>
            </w:pPr>
            <w:r>
              <w:rPr>
                <w:rFonts w:ascii="宋体" w:hAnsi="宋体" w:cs="宋体" w:eastAsia="宋体" w:hint="default"/>
                <w:sz w:val="15"/>
                <w:szCs w:val="15"/>
              </w:rPr>
              <w:t>核销原因</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64"/>
              <w:jc w:val="right"/>
              <w:rPr>
                <w:rFonts w:ascii="宋体" w:hAnsi="宋体" w:cs="宋体" w:eastAsia="宋体" w:hint="default"/>
                <w:sz w:val="15"/>
                <w:szCs w:val="15"/>
              </w:rPr>
            </w:pPr>
            <w:r>
              <w:rPr>
                <w:rFonts w:ascii="宋体" w:hAnsi="宋体" w:cs="宋体" w:eastAsia="宋体" w:hint="default"/>
                <w:sz w:val="15"/>
                <w:szCs w:val="15"/>
              </w:rPr>
              <w:t>是否因关联交易产生</w:t>
            </w:r>
          </w:p>
        </w:tc>
      </w:tr>
      <w:tr>
        <w:trPr>
          <w:trHeight w:val="334" w:hRule="exact"/>
        </w:trPr>
        <w:tc>
          <w:tcPr>
            <w:tcW w:w="2525" w:type="dxa"/>
            <w:tcBorders>
              <w:top w:val="nil" w:sz="6" w:space="0" w:color="auto"/>
              <w:left w:val="nil" w:sz="6" w:space="0" w:color="auto"/>
              <w:bottom w:val="single" w:sz="8" w:space="0" w:color="000000"/>
              <w:right w:val="nil" w:sz="6" w:space="0" w:color="auto"/>
            </w:tcBorders>
          </w:tcPr>
          <w:p>
            <w:pPr>
              <w:pStyle w:val="TableParagraph"/>
              <w:spacing w:line="240" w:lineRule="auto" w:before="103"/>
              <w:ind w:right="28"/>
              <w:jc w:val="center"/>
              <w:rPr>
                <w:rFonts w:ascii="宋体" w:hAnsi="宋体" w:cs="宋体" w:eastAsia="宋体" w:hint="default"/>
                <w:sz w:val="15"/>
                <w:szCs w:val="15"/>
              </w:rPr>
            </w:pPr>
            <w:r>
              <w:rPr>
                <w:rFonts w:ascii="宋体" w:hAnsi="宋体" w:cs="宋体" w:eastAsia="宋体" w:hint="default"/>
                <w:sz w:val="15"/>
                <w:szCs w:val="15"/>
              </w:rPr>
              <w:t>成都军区</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231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工程领导小组办公室</w:t>
            </w:r>
          </w:p>
        </w:tc>
        <w:tc>
          <w:tcPr>
            <w:tcW w:w="1162" w:type="dxa"/>
            <w:tcBorders>
              <w:top w:val="nil" w:sz="6" w:space="0" w:color="auto"/>
              <w:left w:val="nil" w:sz="6" w:space="0" w:color="auto"/>
              <w:bottom w:val="single" w:sz="8" w:space="0" w:color="000000"/>
              <w:right w:val="nil" w:sz="6" w:space="0" w:color="auto"/>
            </w:tcBorders>
          </w:tcPr>
          <w:p>
            <w:pPr>
              <w:pStyle w:val="TableParagraph"/>
              <w:spacing w:line="240" w:lineRule="auto" w:before="103"/>
              <w:ind w:left="152" w:right="0"/>
              <w:jc w:val="left"/>
              <w:rPr>
                <w:rFonts w:ascii="宋体" w:hAnsi="宋体" w:cs="宋体" w:eastAsia="宋体" w:hint="default"/>
                <w:sz w:val="15"/>
                <w:szCs w:val="15"/>
              </w:rPr>
            </w:pPr>
            <w:r>
              <w:rPr>
                <w:rFonts w:ascii="宋体" w:hAnsi="宋体" w:cs="宋体" w:eastAsia="宋体" w:hint="default"/>
                <w:sz w:val="15"/>
                <w:szCs w:val="15"/>
              </w:rPr>
              <w:t>项目款</w:t>
            </w:r>
          </w:p>
        </w:tc>
        <w:tc>
          <w:tcPr>
            <w:tcW w:w="819" w:type="dxa"/>
            <w:tcBorders>
              <w:top w:val="nil" w:sz="6" w:space="0" w:color="auto"/>
              <w:left w:val="nil" w:sz="6" w:space="0" w:color="auto"/>
              <w:bottom w:val="single" w:sz="8" w:space="0" w:color="000000"/>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6,800</w:t>
            </w:r>
          </w:p>
        </w:tc>
        <w:tc>
          <w:tcPr>
            <w:tcW w:w="2400" w:type="dxa"/>
            <w:tcBorders>
              <w:top w:val="nil" w:sz="6" w:space="0" w:color="auto"/>
              <w:left w:val="nil" w:sz="6" w:space="0" w:color="auto"/>
              <w:bottom w:val="single" w:sz="8" w:space="0" w:color="000000"/>
              <w:right w:val="nil" w:sz="6" w:space="0" w:color="auto"/>
            </w:tcBorders>
          </w:tcPr>
          <w:p>
            <w:pPr>
              <w:pStyle w:val="TableParagraph"/>
              <w:spacing w:line="240" w:lineRule="auto" w:before="103"/>
              <w:ind w:right="81"/>
              <w:jc w:val="center"/>
              <w:rPr>
                <w:rFonts w:ascii="宋体" w:hAnsi="宋体" w:cs="宋体" w:eastAsia="宋体" w:hint="default"/>
                <w:sz w:val="15"/>
                <w:szCs w:val="15"/>
              </w:rPr>
            </w:pPr>
            <w:r>
              <w:rPr>
                <w:rFonts w:ascii="宋体" w:hAnsi="宋体" w:cs="宋体" w:eastAsia="宋体" w:hint="default"/>
                <w:sz w:val="15"/>
                <w:szCs w:val="15"/>
              </w:rPr>
              <w:t>项目组注销，无法收回工程尾款</w:t>
            </w:r>
          </w:p>
        </w:tc>
        <w:tc>
          <w:tcPr>
            <w:tcW w:w="1709" w:type="dxa"/>
            <w:tcBorders>
              <w:top w:val="nil" w:sz="6" w:space="0" w:color="auto"/>
              <w:left w:val="nil" w:sz="6" w:space="0" w:color="auto"/>
              <w:bottom w:val="single" w:sz="8" w:space="0" w:color="000000"/>
              <w:right w:val="nil" w:sz="6" w:space="0" w:color="auto"/>
            </w:tcBorders>
          </w:tcPr>
          <w:p>
            <w:pPr>
              <w:pStyle w:val="TableParagraph"/>
              <w:spacing w:line="240" w:lineRule="auto" w:before="103"/>
              <w:ind w:right="107"/>
              <w:jc w:val="right"/>
              <w:rPr>
                <w:rFonts w:ascii="宋体" w:hAnsi="宋体" w:cs="宋体" w:eastAsia="宋体" w:hint="default"/>
                <w:sz w:val="15"/>
                <w:szCs w:val="15"/>
              </w:rPr>
            </w:pPr>
            <w:r>
              <w:rPr>
                <w:rFonts w:ascii="宋体" w:hAnsi="宋体" w:cs="宋体" w:eastAsia="宋体" w:hint="default"/>
                <w:sz w:val="15"/>
                <w:szCs w:val="15"/>
              </w:rPr>
              <w:t>否</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p>
      <w:pPr>
        <w:tabs>
          <w:tab w:pos="1396" w:val="left" w:leader="none"/>
        </w:tabs>
        <w:spacing w:before="35"/>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sz w:val="21"/>
          <w:szCs w:val="21"/>
        </w:rPr>
        <w:t>、</w:t>
        <w:tab/>
        <w:t>期末余额中应收持本公司</w:t>
      </w:r>
      <w:r>
        <w:rPr>
          <w:rFonts w:ascii="宋体" w:hAnsi="宋体" w:cs="宋体" w:eastAsia="宋体" w:hint="default"/>
          <w:spacing w:val="-43"/>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％以上（含</w:t>
      </w:r>
      <w:r>
        <w:rPr>
          <w:rFonts w:ascii="宋体" w:hAnsi="宋体" w:cs="宋体" w:eastAsia="宋体" w:hint="default"/>
          <w:spacing w:val="-43"/>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％）表决权股份的股东单位欠款情况</w:t>
      </w:r>
    </w:p>
    <w:p>
      <w:pPr>
        <w:spacing w:line="1380" w:lineRule="exact"/>
        <w:ind w:left="725"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30.2pt;height:69pt;mso-position-horizontal-relative:char;mso-position-vertical-relative:line" coordorigin="0,0" coordsize="8604,1380">
            <v:group style="position:absolute;left:31;top:10;width:2214;height:2" coordorigin="31,10" coordsize="2214,2">
              <v:shape style="position:absolute;left:31;top:10;width:2214;height:2" coordorigin="31,10" coordsize="2214,0" path="m31,10l2245,10e" filled="false" stroked="true" strokeweight=".95996pt" strokecolor="#000000">
                <v:path arrowok="t"/>
              </v:shape>
            </v:group>
            <v:group style="position:absolute;left:2245;top:10;width:3267;height:2" coordorigin="2245,10" coordsize="3267,2">
              <v:shape style="position:absolute;left:2245;top:10;width:3267;height:2" coordorigin="2245,10" coordsize="3267,0" path="m2245,10l5512,10e" filled="false" stroked="true" strokeweight=".95996pt" strokecolor="#000000">
                <v:path arrowok="t"/>
              </v:shape>
            </v:group>
            <v:group style="position:absolute;left:5512;top:10;width:3076;height:2" coordorigin="5512,10" coordsize="3076,2">
              <v:shape style="position:absolute;left:5512;top:10;width:3076;height:2" coordorigin="5512,10" coordsize="3076,0" path="m5512,10l8587,10e" filled="false" stroked="true" strokeweight=".95996pt" strokecolor="#000000">
                <v:path arrowok="t"/>
              </v:shape>
            </v:group>
            <v:group style="position:absolute;left:10;top:1370;width:2236;height:2" coordorigin="10,1370" coordsize="2236,2">
              <v:shape style="position:absolute;left:10;top:1370;width:2236;height:2" coordorigin="10,1370" coordsize="2236,0" path="m10,1370l2245,1370e" filled="false" stroked="true" strokeweight=".95996pt" strokecolor="#000000">
                <v:path arrowok="t"/>
              </v:shape>
            </v:group>
            <v:group style="position:absolute;left:2245;top:1370;width:1844;height:2" coordorigin="2245,1370" coordsize="1844,2">
              <v:shape style="position:absolute;left:2245;top:1370;width:1844;height:2" coordorigin="2245,1370" coordsize="1844,0" path="m2245,1370l4088,1370e" filled="false" stroked="true" strokeweight=".95996pt" strokecolor="#000000">
                <v:path arrowok="t"/>
              </v:shape>
            </v:group>
            <v:group style="position:absolute;left:4088;top:1370;width:1424;height:2" coordorigin="4088,1370" coordsize="1424,2">
              <v:shape style="position:absolute;left:4088;top:1370;width:1424;height:2" coordorigin="4088,1370" coordsize="1424,0" path="m4088,1370l5512,1370e" filled="false" stroked="true" strokeweight=".95996pt" strokecolor="#000000">
                <v:path arrowok="t"/>
              </v:shape>
            </v:group>
            <v:group style="position:absolute;left:5512;top:1370;width:20;height:2" coordorigin="5512,1370" coordsize="20,2">
              <v:shape style="position:absolute;left:5512;top:1370;width:20;height:2" coordorigin="5512,1370" coordsize="20,0" path="m5512,1370l5531,1370e" filled="false" stroked="true" strokeweight=".95996pt" strokecolor="#000000">
                <v:path arrowok="t"/>
              </v:shape>
            </v:group>
            <v:group style="position:absolute;left:5531;top:1370;width:1593;height:2" coordorigin="5531,1370" coordsize="1593,2">
              <v:shape style="position:absolute;left:5531;top:1370;width:1593;height:2" coordorigin="5531,1370" coordsize="1593,0" path="m5531,1370l7123,1370e" filled="false" stroked="true" strokeweight=".96pt" strokecolor="#000000">
                <v:path arrowok="t"/>
              </v:shape>
              <v:shape style="position:absolute;left:24;top:19;width:8563;height:1342" type="#_x0000_t75" stroked="false">
                <v:imagedata r:id="rId54" o:title=""/>
              </v:shape>
            </v:group>
            <v:group style="position:absolute;left:7123;top:1370;width:1472;height:2" coordorigin="7123,1370" coordsize="1472,2">
              <v:shape style="position:absolute;left:7123;top:1370;width:1472;height:2" coordorigin="7123,1370" coordsize="1472,0" path="m7123,1370l8594,1370e" filled="false" stroked="true" strokeweight=".95996pt" strokecolor="#000000">
                <v:path arrowok="t"/>
              </v:shape>
              <v:shape style="position:absolute;left:3523;top:2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期末金额</w:t>
                      </w:r>
                    </w:p>
                  </w:txbxContent>
                </v:textbox>
                <w10:wrap type="none"/>
              </v:shape>
              <v:shape style="position:absolute;left:6695;top:2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期初金额</w:t>
                      </w:r>
                    </w:p>
                  </w:txbxContent>
                </v:textbox>
                <w10:wrap type="none"/>
              </v:shape>
              <v:shape style="position:absolute;left:776;top:46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2812;top:7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账面金额</w:t>
                      </w:r>
                    </w:p>
                  </w:txbxContent>
                </v:textbox>
                <w10:wrap type="none"/>
              </v:shape>
              <v:shape style="position:absolute;left:4265;top:70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计提坏账金额</w:t>
                      </w:r>
                    </w:p>
                  </w:txbxContent>
                </v:textbox>
                <w10:wrap type="none"/>
              </v:shape>
              <v:shape style="position:absolute;left:5962;top:7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账面金额</w:t>
                      </w:r>
                    </w:p>
                  </w:txbxContent>
                </v:textbox>
                <w10:wrap type="none"/>
              </v:shape>
              <v:shape style="position:absolute;left:7321;top:70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计提坏账金额</w:t>
                      </w:r>
                    </w:p>
                  </w:txbxContent>
                </v:textbox>
                <w10:wrap type="none"/>
              </v:shape>
              <v:shape style="position:absolute;left:132;top:115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东芝公司</w:t>
                      </w:r>
                    </w:p>
                  </w:txbxContent>
                </v:textbox>
                <w10:wrap type="none"/>
              </v:shape>
              <v:shape style="position:absolute;left:3265;top:1170;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5,071,742</w:t>
                      </w:r>
                    </w:p>
                  </w:txbxContent>
                </v:textbox>
                <w10:wrap type="none"/>
              </v:shape>
              <v:shape style="position:absolute;left:4912;top:1170;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50,717</w:t>
                      </w:r>
                    </w:p>
                  </w:txbxContent>
                </v:textbox>
                <w10:wrap type="none"/>
              </v:shape>
              <v:shape style="position:absolute;left:6208;top:117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10,772,645</w:t>
                      </w:r>
                    </w:p>
                  </w:txbxContent>
                </v:textbox>
                <w10:wrap type="none"/>
              </v:shape>
              <v:shape style="position:absolute;left:7991;top:1170;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32,318</w:t>
                      </w:r>
                    </w:p>
                  </w:txbxContent>
                </v:textbox>
                <w10:wrap type="none"/>
              </v:shape>
            </v:group>
          </v:group>
        </w:pict>
      </w:r>
      <w:r>
        <w:rPr>
          <w:rFonts w:ascii="宋体" w:hAnsi="宋体" w:cs="宋体" w:eastAsia="宋体" w:hint="default"/>
          <w:position w:val="-27"/>
          <w:sz w:val="20"/>
          <w:szCs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p>
      <w:pPr>
        <w:tabs>
          <w:tab w:pos="1396" w:val="left" w:leader="none"/>
        </w:tabs>
        <w:spacing w:before="35"/>
        <w:ind w:left="857" w:right="0" w:firstLine="0"/>
        <w:jc w:val="left"/>
        <w:rPr>
          <w:rFonts w:ascii="宋体" w:hAnsi="宋体" w:cs="宋体" w:eastAsia="宋体" w:hint="default"/>
          <w:sz w:val="21"/>
          <w:szCs w:val="21"/>
        </w:rPr>
      </w:pPr>
      <w:r>
        <w:rPr/>
        <w:pict>
          <v:group style="position:absolute;margin-left:102.000008pt;margin-top:17.134535pt;width:430.95pt;height:158.050pt;mso-position-horizontal-relative:page;mso-position-vertical-relative:paragraph;z-index:-992104" coordorigin="2040,343" coordsize="8619,3161">
            <v:group style="position:absolute;left:2050;top:352;width:1666;height:2" coordorigin="2050,352" coordsize="1666,2">
              <v:shape style="position:absolute;left:2050;top:352;width:1666;height:2" coordorigin="2050,352" coordsize="1666,0" path="m2050,352l3715,352e" filled="false" stroked="true" strokeweight=".95999pt" strokecolor="#000000">
                <v:path arrowok="t"/>
              </v:shape>
            </v:group>
            <v:group style="position:absolute;left:3715;top:352;width:1588;height:2" coordorigin="3715,352" coordsize="1588,2">
              <v:shape style="position:absolute;left:3715;top:352;width:1588;height:2" coordorigin="3715,352" coordsize="1588,0" path="m3715,352l5303,352e" filled="false" stroked="true" strokeweight=".95999pt" strokecolor="#000000">
                <v:path arrowok="t"/>
              </v:shape>
            </v:group>
            <v:group style="position:absolute;left:5303;top:352;width:1378;height:2" coordorigin="5303,352" coordsize="1378,2">
              <v:shape style="position:absolute;left:5303;top:352;width:1378;height:2" coordorigin="5303,352" coordsize="1378,0" path="m5303,352l6680,352e" filled="false" stroked="true" strokeweight=".95999pt" strokecolor="#000000">
                <v:path arrowok="t"/>
              </v:shape>
            </v:group>
            <v:group style="position:absolute;left:6680;top:352;width:1482;height:2" coordorigin="6680,352" coordsize="1482,2">
              <v:shape style="position:absolute;left:6680;top:352;width:1482;height:2" coordorigin="6680,352" coordsize="1482,0" path="m6680,352l8162,352e" filled="false" stroked="true" strokeweight=".95999pt" strokecolor="#000000">
                <v:path arrowok="t"/>
              </v:shape>
            </v:group>
            <v:group style="position:absolute;left:8162;top:352;width:2484;height:2" coordorigin="8162,352" coordsize="2484,2">
              <v:shape style="position:absolute;left:8162;top:352;width:2484;height:2" coordorigin="8162,352" coordsize="2484,0" path="m8162,352l10646,352e" filled="false" stroked="true" strokeweight=".95999pt" strokecolor="#000000">
                <v:path arrowok="t"/>
              </v:shape>
              <v:shape style="position:absolute;left:2050;top:362;width:8609;height:3142" type="#_x0000_t75" stroked="false">
                <v:imagedata r:id="rId55" o:title=""/>
              </v:shape>
              <v:shape style="position:absolute;left:2435;top:59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债务人排名</w:t>
                      </w:r>
                    </w:p>
                  </w:txbxContent>
                </v:textbox>
                <w10:wrap type="none"/>
              </v:shape>
              <v:shape style="position:absolute;left:3973;top:59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与本公司关系</w:t>
                      </w:r>
                    </w:p>
                  </w:txbxContent>
                </v:textbox>
                <w10:wrap type="none"/>
              </v:shape>
              <v:shape style="position:absolute;left:5726;top:59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7246;top:59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年限</w:t>
                      </w:r>
                    </w:p>
                  </w:txbxContent>
                </v:textbox>
                <w10:wrap type="none"/>
              </v:shape>
              <v:shape style="position:absolute;left:8376;top:595;width:207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占应收账款总额的比例</w:t>
                      </w:r>
                      <w:r>
                        <w:rPr>
                          <w:rFonts w:ascii="Times New Roman" w:hAnsi="Times New Roman" w:cs="Times New Roman" w:eastAsia="Times New Roman" w:hint="default"/>
                          <w:sz w:val="18"/>
                          <w:szCs w:val="18"/>
                        </w:rPr>
                        <w:t>(%)</w:t>
                      </w:r>
                    </w:p>
                  </w:txbxContent>
                </v:textbox>
                <w10:wrap type="none"/>
              </v:shape>
            </v:group>
            <w10:wrap type="none"/>
          </v:group>
        </w:pict>
      </w:r>
      <w:r>
        <w:rPr>
          <w:rFonts w:ascii="Times New Roman" w:hAnsi="Times New Roman" w:cs="Times New Roman" w:eastAsia="Times New Roman" w:hint="default"/>
          <w:b/>
          <w:bCs/>
          <w:sz w:val="21"/>
          <w:szCs w:val="21"/>
        </w:rPr>
        <w:t>6</w:t>
      </w:r>
      <w:r>
        <w:rPr>
          <w:rFonts w:ascii="宋体" w:hAnsi="宋体" w:cs="宋体" w:eastAsia="宋体" w:hint="default"/>
          <w:sz w:val="21"/>
          <w:szCs w:val="21"/>
        </w:rPr>
        <w:t>、</w:t>
        <w:tab/>
        <w:t>应收账款中欠款金额前五名</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7"/>
          <w:szCs w:val="27"/>
        </w:rPr>
      </w:pPr>
    </w:p>
    <w:tbl>
      <w:tblPr>
        <w:tblW w:w="0" w:type="auto"/>
        <w:jc w:val="left"/>
        <w:tblInd w:w="735" w:type="dxa"/>
        <w:tblLayout w:type="fixed"/>
        <w:tblCellMar>
          <w:top w:w="0" w:type="dxa"/>
          <w:left w:w="0" w:type="dxa"/>
          <w:bottom w:w="0" w:type="dxa"/>
          <w:right w:w="0" w:type="dxa"/>
        </w:tblCellMar>
        <w:tblLook w:val="01E0"/>
      </w:tblPr>
      <w:tblGrid>
        <w:gridCol w:w="1456"/>
        <w:gridCol w:w="1621"/>
        <w:gridCol w:w="1794"/>
        <w:gridCol w:w="2194"/>
        <w:gridCol w:w="1553"/>
      </w:tblGrid>
      <w:tr>
        <w:trPr>
          <w:trHeight w:val="425" w:hRule="exact"/>
        </w:trPr>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36"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26"/>
              <w:jc w:val="right"/>
              <w:rPr>
                <w:rFonts w:ascii="Times New Roman" w:hAnsi="Times New Roman" w:cs="Times New Roman" w:eastAsia="Times New Roman" w:hint="default"/>
                <w:sz w:val="18"/>
                <w:szCs w:val="18"/>
              </w:rPr>
            </w:pPr>
            <w:r>
              <w:rPr>
                <w:rFonts w:ascii="Times New Roman"/>
                <w:sz w:val="18"/>
              </w:rPr>
              <w:t>74,668,135</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38"/>
              <w:jc w:val="righ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z w:val="18"/>
              </w:rPr>
              <w:t>9.65</w:t>
            </w:r>
          </w:p>
        </w:tc>
      </w:tr>
      <w:tr>
        <w:trPr>
          <w:trHeight w:val="450" w:hRule="exact"/>
        </w:trPr>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36"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26"/>
              <w:jc w:val="right"/>
              <w:rPr>
                <w:rFonts w:ascii="Times New Roman" w:hAnsi="Times New Roman" w:cs="Times New Roman" w:eastAsia="Times New Roman" w:hint="default"/>
                <w:sz w:val="18"/>
                <w:szCs w:val="18"/>
              </w:rPr>
            </w:pPr>
            <w:r>
              <w:rPr>
                <w:rFonts w:ascii="Times New Roman"/>
                <w:sz w:val="18"/>
              </w:rPr>
              <w:t>46,486,889</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38"/>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4"/>
              <w:jc w:val="right"/>
              <w:rPr>
                <w:rFonts w:ascii="Times New Roman" w:hAnsi="Times New Roman" w:cs="Times New Roman" w:eastAsia="Times New Roman" w:hint="default"/>
                <w:sz w:val="18"/>
                <w:szCs w:val="18"/>
              </w:rPr>
            </w:pPr>
            <w:r>
              <w:rPr>
                <w:rFonts w:ascii="Times New Roman"/>
                <w:sz w:val="18"/>
              </w:rPr>
              <w:t>6.01</w:t>
            </w:r>
          </w:p>
        </w:tc>
      </w:tr>
      <w:tr>
        <w:trPr>
          <w:trHeight w:val="450" w:hRule="exact"/>
        </w:trPr>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36"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26"/>
              <w:jc w:val="right"/>
              <w:rPr>
                <w:rFonts w:ascii="Times New Roman" w:hAnsi="Times New Roman" w:cs="Times New Roman" w:eastAsia="Times New Roman" w:hint="default"/>
                <w:sz w:val="18"/>
                <w:szCs w:val="18"/>
              </w:rPr>
            </w:pPr>
            <w:r>
              <w:rPr>
                <w:rFonts w:ascii="Times New Roman"/>
                <w:sz w:val="18"/>
              </w:rPr>
              <w:t>22,387,032</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38"/>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4"/>
              <w:jc w:val="right"/>
              <w:rPr>
                <w:rFonts w:ascii="Times New Roman" w:hAnsi="Times New Roman" w:cs="Times New Roman" w:eastAsia="Times New Roman" w:hint="default"/>
                <w:sz w:val="18"/>
                <w:szCs w:val="18"/>
              </w:rPr>
            </w:pPr>
            <w:r>
              <w:rPr>
                <w:rFonts w:ascii="Times New Roman"/>
                <w:sz w:val="18"/>
              </w:rPr>
              <w:t>2.89</w:t>
            </w:r>
          </w:p>
        </w:tc>
      </w:tr>
      <w:tr>
        <w:trPr>
          <w:trHeight w:val="450" w:hRule="exact"/>
        </w:trPr>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36"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26"/>
              <w:jc w:val="right"/>
              <w:rPr>
                <w:rFonts w:ascii="Times New Roman" w:hAnsi="Times New Roman" w:cs="Times New Roman" w:eastAsia="Times New Roman" w:hint="default"/>
                <w:sz w:val="18"/>
                <w:szCs w:val="18"/>
              </w:rPr>
            </w:pPr>
            <w:r>
              <w:rPr>
                <w:rFonts w:ascii="Times New Roman"/>
                <w:sz w:val="18"/>
              </w:rPr>
              <w:t>17,347,939</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38"/>
              <w:jc w:val="righ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4"/>
              <w:jc w:val="right"/>
              <w:rPr>
                <w:rFonts w:ascii="Times New Roman" w:hAnsi="Times New Roman" w:cs="Times New Roman" w:eastAsia="Times New Roman" w:hint="default"/>
                <w:sz w:val="18"/>
                <w:szCs w:val="18"/>
              </w:rPr>
            </w:pPr>
            <w:r>
              <w:rPr>
                <w:rFonts w:ascii="Times New Roman"/>
                <w:sz w:val="18"/>
              </w:rPr>
              <w:t>2.24</w:t>
            </w:r>
          </w:p>
        </w:tc>
      </w:tr>
      <w:tr>
        <w:trPr>
          <w:trHeight w:val="450" w:hRule="exact"/>
        </w:trPr>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36"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326"/>
              <w:jc w:val="right"/>
              <w:rPr>
                <w:rFonts w:ascii="Times New Roman" w:hAnsi="Times New Roman" w:cs="Times New Roman" w:eastAsia="Times New Roman" w:hint="default"/>
                <w:sz w:val="18"/>
                <w:szCs w:val="18"/>
              </w:rPr>
            </w:pPr>
            <w:r>
              <w:rPr>
                <w:rFonts w:ascii="Times New Roman"/>
                <w:sz w:val="18"/>
              </w:rPr>
              <w:t>9,624,834</w:t>
            </w:r>
          </w:p>
        </w:tc>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38"/>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4"/>
              <w:jc w:val="right"/>
              <w:rPr>
                <w:rFonts w:ascii="Times New Roman" w:hAnsi="Times New Roman" w:cs="Times New Roman" w:eastAsia="Times New Roman" w:hint="default"/>
                <w:sz w:val="18"/>
                <w:szCs w:val="18"/>
              </w:rPr>
            </w:pPr>
            <w:r>
              <w:rPr>
                <w:rFonts w:ascii="Times New Roman"/>
                <w:sz w:val="18"/>
              </w:rPr>
              <w:t>1.24</w:t>
            </w:r>
          </w:p>
        </w:tc>
      </w:tr>
      <w:tr>
        <w:trPr>
          <w:trHeight w:val="345" w:hRule="exact"/>
        </w:trPr>
        <w:tc>
          <w:tcPr>
            <w:tcW w:w="1456" w:type="dxa"/>
            <w:tcBorders>
              <w:top w:val="nil" w:sz="6" w:space="0" w:color="auto"/>
              <w:left w:val="nil" w:sz="6" w:space="0" w:color="auto"/>
              <w:bottom w:val="single" w:sz="8" w:space="0" w:color="000000"/>
              <w:right w:val="nil" w:sz="6" w:space="0" w:color="auto"/>
            </w:tcBorders>
          </w:tcPr>
          <w:p>
            <w:pPr>
              <w:pStyle w:val="TableParagraph"/>
              <w:spacing w:line="240" w:lineRule="auto" w:before="69"/>
              <w:ind w:left="579"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621" w:type="dxa"/>
            <w:tcBorders>
              <w:top w:val="nil" w:sz="6" w:space="0" w:color="auto"/>
              <w:left w:val="nil" w:sz="6" w:space="0" w:color="auto"/>
              <w:bottom w:val="single" w:sz="8" w:space="0" w:color="000000"/>
              <w:right w:val="nil" w:sz="6" w:space="0" w:color="auto"/>
            </w:tcBorders>
          </w:tcPr>
          <w:p>
            <w:pPr/>
          </w:p>
        </w:tc>
        <w:tc>
          <w:tcPr>
            <w:tcW w:w="1794" w:type="dxa"/>
            <w:tcBorders>
              <w:top w:val="nil" w:sz="6" w:space="0" w:color="auto"/>
              <w:left w:val="nil" w:sz="6" w:space="0" w:color="auto"/>
              <w:bottom w:val="single" w:sz="8" w:space="0" w:color="000000"/>
              <w:right w:val="nil" w:sz="6" w:space="0" w:color="auto"/>
            </w:tcBorders>
          </w:tcPr>
          <w:p>
            <w:pPr>
              <w:pStyle w:val="TableParagraph"/>
              <w:spacing w:line="240" w:lineRule="auto" w:before="121"/>
              <w:ind w:right="326"/>
              <w:jc w:val="right"/>
              <w:rPr>
                <w:rFonts w:ascii="Times New Roman" w:hAnsi="Times New Roman" w:cs="Times New Roman" w:eastAsia="Times New Roman" w:hint="default"/>
                <w:sz w:val="18"/>
                <w:szCs w:val="18"/>
              </w:rPr>
            </w:pPr>
            <w:r>
              <w:rPr>
                <w:rFonts w:ascii="Times New Roman"/>
                <w:sz w:val="18"/>
              </w:rPr>
              <w:t>170,514,829</w:t>
            </w:r>
          </w:p>
        </w:tc>
        <w:tc>
          <w:tcPr>
            <w:tcW w:w="2194" w:type="dxa"/>
            <w:tcBorders>
              <w:top w:val="nil" w:sz="6" w:space="0" w:color="auto"/>
              <w:left w:val="nil" w:sz="6" w:space="0" w:color="auto"/>
              <w:bottom w:val="single" w:sz="8" w:space="0" w:color="000000"/>
              <w:right w:val="nil" w:sz="6" w:space="0" w:color="auto"/>
            </w:tcBorders>
          </w:tcPr>
          <w:p>
            <w:pPr/>
          </w:p>
        </w:tc>
        <w:tc>
          <w:tcPr>
            <w:tcW w:w="1553" w:type="dxa"/>
            <w:tcBorders>
              <w:top w:val="nil" w:sz="6" w:space="0" w:color="auto"/>
              <w:left w:val="nil" w:sz="6" w:space="0" w:color="auto"/>
              <w:bottom w:val="single" w:sz="8" w:space="0" w:color="000000"/>
              <w:right w:val="nil" w:sz="6" w:space="0" w:color="auto"/>
            </w:tcBorders>
          </w:tcPr>
          <w:p>
            <w:pPr>
              <w:pStyle w:val="TableParagraph"/>
              <w:spacing w:line="240" w:lineRule="auto" w:before="121"/>
              <w:ind w:right="104"/>
              <w:jc w:val="right"/>
              <w:rPr>
                <w:rFonts w:ascii="Times New Roman" w:hAnsi="Times New Roman" w:cs="Times New Roman" w:eastAsia="Times New Roman" w:hint="default"/>
                <w:sz w:val="18"/>
                <w:szCs w:val="18"/>
              </w:rPr>
            </w:pPr>
            <w:r>
              <w:rPr>
                <w:rFonts w:ascii="Times New Roman"/>
                <w:sz w:val="18"/>
              </w:rPr>
              <w:t>22.03</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p>
      <w:pPr>
        <w:tabs>
          <w:tab w:pos="1396" w:val="left" w:leader="none"/>
        </w:tabs>
        <w:spacing w:before="35"/>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sz w:val="21"/>
          <w:szCs w:val="21"/>
        </w:rPr>
        <w:t>、</w:t>
        <w:tab/>
        <w:t>应收关联方账款情况</w:t>
      </w:r>
    </w:p>
    <w:p>
      <w:pPr>
        <w:spacing w:before="148"/>
        <w:ind w:left="1400" w:right="0" w:firstLine="0"/>
        <w:jc w:val="left"/>
        <w:rPr>
          <w:rFonts w:ascii="宋体" w:hAnsi="宋体" w:cs="宋体" w:eastAsia="宋体" w:hint="default"/>
          <w:sz w:val="21"/>
          <w:szCs w:val="21"/>
        </w:rPr>
      </w:pPr>
      <w:r>
        <w:rPr>
          <w:rFonts w:ascii="宋体" w:hAnsi="宋体" w:cs="宋体" w:eastAsia="宋体" w:hint="default"/>
          <w:sz w:val="21"/>
          <w:szCs w:val="21"/>
        </w:rPr>
        <w:t>应收关联方账款</w:t>
      </w:r>
      <w:r>
        <w:rPr>
          <w:rFonts w:ascii="宋体" w:hAnsi="宋体" w:cs="宋体" w:eastAsia="宋体" w:hint="default"/>
          <w:spacing w:val="-30"/>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1"/>
          <w:sz w:val="21"/>
          <w:szCs w:val="21"/>
        </w:rPr>
        <w:t>6</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204</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元，</w:t>
      </w:r>
      <w:r>
        <w:rPr>
          <w:rFonts w:ascii="宋体" w:hAnsi="宋体" w:cs="宋体" w:eastAsia="宋体" w:hint="default"/>
          <w:spacing w:val="-2"/>
          <w:sz w:val="21"/>
          <w:szCs w:val="21"/>
        </w:rPr>
        <w:t>占</w:t>
      </w:r>
      <w:r>
        <w:rPr>
          <w:rFonts w:ascii="宋体" w:hAnsi="宋体" w:cs="宋体" w:eastAsia="宋体" w:hint="default"/>
          <w:sz w:val="21"/>
          <w:szCs w:val="21"/>
        </w:rPr>
        <w:t>应收账款期末余额的</w:t>
      </w:r>
      <w:r>
        <w:rPr>
          <w:rFonts w:ascii="宋体" w:hAnsi="宋体" w:cs="宋体" w:eastAsia="宋体" w:hint="default"/>
          <w:spacing w:val="-30"/>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4</w:t>
      </w:r>
      <w:r>
        <w:rPr>
          <w:rFonts w:ascii="Times New Roman" w:hAnsi="Times New Roman" w:cs="Times New Roman" w:eastAsia="Times New Roman" w:hint="default"/>
          <w:sz w:val="21"/>
          <w:szCs w:val="21"/>
        </w:rPr>
        <w:t>4%</w:t>
      </w:r>
      <w:r>
        <w:rPr>
          <w:rFonts w:ascii="宋体" w:hAnsi="宋体" w:cs="宋体" w:eastAsia="宋体" w:hint="default"/>
          <w:sz w:val="21"/>
          <w:szCs w:val="21"/>
        </w:rPr>
        <w:t>，详见</w:t>
      </w:r>
      <w:r>
        <w:rPr>
          <w:rFonts w:ascii="宋体" w:hAnsi="宋体" w:cs="宋体" w:eastAsia="宋体" w:hint="default"/>
          <w:spacing w:val="-2"/>
          <w:sz w:val="21"/>
          <w:szCs w:val="21"/>
        </w:rPr>
        <w:t>本</w:t>
      </w:r>
      <w:r>
        <w:rPr>
          <w:rFonts w:ascii="宋体" w:hAnsi="宋体" w:cs="宋体" w:eastAsia="宋体" w:hint="default"/>
          <w:sz w:val="21"/>
          <w:szCs w:val="21"/>
        </w:rPr>
        <w:t>附注七（四</w:t>
      </w:r>
      <w:r>
        <w:rPr>
          <w:rFonts w:ascii="宋体" w:hAnsi="宋体" w:cs="宋体" w:eastAsia="宋体" w:hint="default"/>
          <w:spacing w:val="-105"/>
          <w:sz w:val="21"/>
          <w:szCs w:val="21"/>
        </w:rPr>
        <w:t>）</w:t>
      </w:r>
      <w:r>
        <w:rPr>
          <w:rFonts w:ascii="宋体" w:hAnsi="宋体" w:cs="宋体" w:eastAsia="宋体" w:hint="default"/>
          <w:sz w:val="21"/>
          <w:szCs w:val="21"/>
        </w:rPr>
        <w:t>、</w:t>
      </w:r>
    </w:p>
    <w:p>
      <w:pPr>
        <w:spacing w:before="149"/>
        <w:ind w:left="1400" w:right="0"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11</w:t>
      </w:r>
      <w:r>
        <w:rPr>
          <w:rFonts w:ascii="宋体" w:hAnsi="宋体" w:cs="宋体" w:eastAsia="宋体" w:hint="default"/>
          <w:spacing w:val="-3"/>
          <w:sz w:val="21"/>
          <w:szCs w:val="21"/>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3"/>
          <w:szCs w:val="23"/>
        </w:rPr>
      </w:pPr>
    </w:p>
    <w:p>
      <w:pPr>
        <w:tabs>
          <w:tab w:pos="1396"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sz w:val="21"/>
          <w:szCs w:val="21"/>
        </w:rPr>
        <w:t>、</w:t>
        <w:tab/>
        <w:t>本报告期无终止确认应收款项的情况。</w:t>
      </w:r>
    </w:p>
    <w:p>
      <w:pPr>
        <w:spacing w:after="0"/>
        <w:jc w:val="left"/>
        <w:rPr>
          <w:rFonts w:ascii="宋体" w:hAnsi="宋体" w:cs="宋体" w:eastAsia="宋体" w:hint="default"/>
          <w:sz w:val="21"/>
          <w:szCs w:val="21"/>
        </w:rPr>
        <w:sectPr>
          <w:pgSz w:w="11900" w:h="16840"/>
          <w:pgMar w:header="883" w:footer="1003" w:top="1540" w:bottom="1200" w:left="1300" w:right="1140"/>
        </w:sectPr>
      </w:pPr>
    </w:p>
    <w:p>
      <w:pPr>
        <w:spacing w:line="240" w:lineRule="auto" w:before="10"/>
        <w:rPr>
          <w:rFonts w:ascii="宋体" w:hAnsi="宋体" w:cs="宋体" w:eastAsia="宋体" w:hint="default"/>
          <w:sz w:val="8"/>
          <w:szCs w:val="8"/>
        </w:rPr>
      </w:pPr>
    </w:p>
    <w:p>
      <w:pPr>
        <w:tabs>
          <w:tab w:pos="853" w:val="left" w:leader="none"/>
        </w:tabs>
        <w:spacing w:before="35"/>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其他应收款</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396" w:val="left" w:leader="none"/>
        </w:tabs>
        <w:spacing w:before="0"/>
        <w:ind w:left="857" w:right="0" w:firstLine="0"/>
        <w:jc w:val="left"/>
        <w:rPr>
          <w:rFonts w:ascii="宋体" w:hAnsi="宋体" w:cs="宋体" w:eastAsia="宋体" w:hint="default"/>
          <w:sz w:val="21"/>
          <w:szCs w:val="21"/>
        </w:rPr>
      </w:pPr>
      <w:r>
        <w:rPr/>
        <w:pict>
          <v:group style="position:absolute;margin-left:102.359993pt;margin-top:15.324282pt;width:430.15pt;height:183.55pt;mso-position-horizontal-relative:page;mso-position-vertical-relative:paragraph;z-index:-992032" coordorigin="2047,306" coordsize="8603,3671">
            <v:group style="position:absolute;left:2057;top:316;width:2109;height:2" coordorigin="2057,316" coordsize="2109,2">
              <v:shape style="position:absolute;left:2057;top:316;width:2109;height:2" coordorigin="2057,316" coordsize="2109,0" path="m2057,316l4165,316e" filled="false" stroked="true" strokeweight=".96002pt" strokecolor="#000000">
                <v:path arrowok="t"/>
              </v:shape>
            </v:group>
            <v:group style="position:absolute;left:4165;top:316;width:3250;height:2" coordorigin="4165,316" coordsize="3250,2">
              <v:shape style="position:absolute;left:4165;top:316;width:3250;height:2" coordorigin="4165,316" coordsize="3250,0" path="m4165,316l7415,316e" filled="false" stroked="true" strokeweight=".96002pt" strokecolor="#000000">
                <v:path arrowok="t"/>
              </v:shape>
            </v:group>
            <v:group style="position:absolute;left:7415;top:316;width:3226;height:2" coordorigin="7415,316" coordsize="3226,2">
              <v:shape style="position:absolute;left:7415;top:316;width:3226;height:2" coordorigin="7415,316" coordsize="3226,0" path="m7415,316l10640,316e" filled="false" stroked="true" strokeweight=".96002pt" strokecolor="#000000">
                <v:path arrowok="t"/>
              </v:shape>
              <v:shape style="position:absolute;left:2050;top:326;width:8599;height:3652" type="#_x0000_t75" stroked="false">
                <v:imagedata r:id="rId56" o:title=""/>
              </v:shape>
              <v:shape style="position:absolute;left:5495;top:55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期末金额</w:t>
                      </w:r>
                    </w:p>
                  </w:txbxContent>
                </v:textbox>
                <w10:wrap type="none"/>
              </v:shape>
              <v:shape style="position:absolute;left:8734;top:55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期初金额</w:t>
                      </w:r>
                    </w:p>
                  </w:txbxContent>
                </v:textbox>
                <w10:wrap type="none"/>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其他应收款按种类披露：</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1"/>
          <w:szCs w:val="11"/>
        </w:rPr>
      </w:pPr>
    </w:p>
    <w:tbl>
      <w:tblPr>
        <w:tblW w:w="0" w:type="auto"/>
        <w:jc w:val="left"/>
        <w:tblInd w:w="735" w:type="dxa"/>
        <w:tblLayout w:type="fixed"/>
        <w:tblCellMar>
          <w:top w:w="0" w:type="dxa"/>
          <w:left w:w="0" w:type="dxa"/>
          <w:bottom w:w="0" w:type="dxa"/>
          <w:right w:w="0" w:type="dxa"/>
        </w:tblCellMar>
        <w:tblLook w:val="01E0"/>
      </w:tblPr>
      <w:tblGrid>
        <w:gridCol w:w="3114"/>
        <w:gridCol w:w="717"/>
        <w:gridCol w:w="850"/>
        <w:gridCol w:w="779"/>
        <w:gridCol w:w="913"/>
        <w:gridCol w:w="697"/>
        <w:gridCol w:w="801"/>
        <w:gridCol w:w="741"/>
      </w:tblGrid>
      <w:tr>
        <w:trPr>
          <w:trHeight w:val="693" w:hRule="exact"/>
        </w:trPr>
        <w:tc>
          <w:tcPr>
            <w:tcW w:w="3114" w:type="dxa"/>
            <w:tcBorders>
              <w:top w:val="nil" w:sz="6" w:space="0" w:color="auto"/>
              <w:left w:val="nil" w:sz="6" w:space="0" w:color="auto"/>
              <w:bottom w:val="nil" w:sz="6" w:space="0" w:color="auto"/>
              <w:right w:val="nil" w:sz="6" w:space="0" w:color="auto"/>
            </w:tcBorders>
          </w:tcPr>
          <w:p>
            <w:pPr>
              <w:pStyle w:val="TableParagraph"/>
              <w:spacing w:line="136" w:lineRule="exact"/>
              <w:ind w:left="774" w:right="0"/>
              <w:jc w:val="left"/>
              <w:rPr>
                <w:rFonts w:ascii="宋体" w:hAnsi="宋体" w:cs="宋体" w:eastAsia="宋体" w:hint="default"/>
                <w:sz w:val="15"/>
                <w:szCs w:val="15"/>
              </w:rPr>
            </w:pPr>
            <w:r>
              <w:rPr>
                <w:rFonts w:ascii="宋体" w:hAnsi="宋体" w:cs="宋体" w:eastAsia="宋体" w:hint="default"/>
                <w:sz w:val="15"/>
                <w:szCs w:val="15"/>
              </w:rPr>
              <w:t>种    类 </w:t>
            </w:r>
          </w:p>
          <w:p>
            <w:pPr>
              <w:pStyle w:val="TableParagraph"/>
              <w:spacing w:line="240" w:lineRule="auto" w:before="18"/>
              <w:ind w:right="199"/>
              <w:jc w:val="right"/>
              <w:rPr>
                <w:rFonts w:ascii="宋体" w:hAnsi="宋体" w:cs="宋体" w:eastAsia="宋体" w:hint="default"/>
                <w:sz w:val="15"/>
                <w:szCs w:val="15"/>
              </w:rPr>
            </w:pPr>
            <w:r>
              <w:rPr>
                <w:rFonts w:ascii="宋体" w:hAnsi="宋体" w:cs="宋体" w:eastAsia="宋体" w:hint="default"/>
                <w:sz w:val="15"/>
                <w:szCs w:val="15"/>
              </w:rPr>
              <w:t>账面金额</w:t>
            </w:r>
          </w:p>
        </w:tc>
        <w:tc>
          <w:tcPr>
            <w:tcW w:w="717" w:type="dxa"/>
            <w:tcBorders>
              <w:top w:val="nil" w:sz="6" w:space="0" w:color="auto"/>
              <w:left w:val="nil" w:sz="6" w:space="0" w:color="auto"/>
              <w:bottom w:val="nil" w:sz="6" w:space="0" w:color="auto"/>
              <w:right w:val="nil" w:sz="6" w:space="0" w:color="auto"/>
            </w:tcBorders>
          </w:tcPr>
          <w:p>
            <w:pPr>
              <w:pStyle w:val="TableParagraph"/>
              <w:spacing w:line="150" w:lineRule="exact"/>
              <w:ind w:left="55" w:right="0" w:firstLine="38"/>
              <w:jc w:val="left"/>
              <w:rPr>
                <w:rFonts w:ascii="宋体" w:hAnsi="宋体" w:cs="宋体" w:eastAsia="宋体" w:hint="default"/>
                <w:sz w:val="15"/>
                <w:szCs w:val="15"/>
              </w:rPr>
            </w:pPr>
            <w:r>
              <w:rPr>
                <w:rFonts w:ascii="宋体" w:hAnsi="宋体" w:cs="宋体" w:eastAsia="宋体" w:hint="default"/>
                <w:sz w:val="15"/>
                <w:szCs w:val="15"/>
              </w:rPr>
              <w:t>占总额</w:t>
            </w: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55"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89"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779" w:type="dxa"/>
            <w:tcBorders>
              <w:top w:val="nil" w:sz="6" w:space="0" w:color="auto"/>
              <w:left w:val="nil" w:sz="6" w:space="0" w:color="auto"/>
              <w:bottom w:val="nil" w:sz="6" w:space="0" w:color="auto"/>
              <w:right w:val="nil" w:sz="6" w:space="0" w:color="auto"/>
            </w:tcBorders>
          </w:tcPr>
          <w:p>
            <w:pPr>
              <w:pStyle w:val="TableParagraph"/>
              <w:spacing w:line="150" w:lineRule="exact"/>
              <w:ind w:left="82" w:right="0" w:hanging="38"/>
              <w:jc w:val="left"/>
              <w:rPr>
                <w:rFonts w:ascii="宋体" w:hAnsi="宋体" w:cs="宋体" w:eastAsia="宋体" w:hint="default"/>
                <w:sz w:val="15"/>
                <w:szCs w:val="15"/>
              </w:rPr>
            </w:pPr>
            <w:r>
              <w:rPr>
                <w:rFonts w:ascii="宋体" w:hAnsi="宋体" w:cs="宋体" w:eastAsia="宋体" w:hint="default"/>
                <w:sz w:val="15"/>
                <w:szCs w:val="15"/>
              </w:rPr>
              <w:t>坏账准备</w:t>
            </w: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82"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106" w:right="0"/>
              <w:jc w:val="left"/>
              <w:rPr>
                <w:rFonts w:ascii="宋体" w:hAnsi="宋体" w:cs="宋体" w:eastAsia="宋体" w:hint="default"/>
                <w:sz w:val="15"/>
                <w:szCs w:val="15"/>
              </w:rPr>
            </w:pPr>
            <w:r>
              <w:rPr>
                <w:rFonts w:ascii="宋体" w:hAnsi="宋体" w:cs="宋体" w:eastAsia="宋体" w:hint="default"/>
                <w:sz w:val="15"/>
                <w:szCs w:val="15"/>
              </w:rPr>
              <w:t>账面金额</w:t>
            </w:r>
          </w:p>
        </w:tc>
        <w:tc>
          <w:tcPr>
            <w:tcW w:w="697" w:type="dxa"/>
            <w:tcBorders>
              <w:top w:val="nil" w:sz="6" w:space="0" w:color="auto"/>
              <w:left w:val="nil" w:sz="6" w:space="0" w:color="auto"/>
              <w:bottom w:val="nil" w:sz="6" w:space="0" w:color="auto"/>
              <w:right w:val="nil" w:sz="6" w:space="0" w:color="auto"/>
            </w:tcBorders>
          </w:tcPr>
          <w:p>
            <w:pPr>
              <w:pStyle w:val="TableParagraph"/>
              <w:spacing w:line="150" w:lineRule="exact"/>
              <w:ind w:left="55" w:right="0" w:firstLine="38"/>
              <w:jc w:val="left"/>
              <w:rPr>
                <w:rFonts w:ascii="宋体" w:hAnsi="宋体" w:cs="宋体" w:eastAsia="宋体" w:hint="default"/>
                <w:sz w:val="15"/>
                <w:szCs w:val="15"/>
              </w:rPr>
            </w:pPr>
            <w:r>
              <w:rPr>
                <w:rFonts w:ascii="宋体" w:hAnsi="宋体" w:cs="宋体" w:eastAsia="宋体" w:hint="default"/>
                <w:sz w:val="15"/>
                <w:szCs w:val="15"/>
              </w:rPr>
              <w:t>占总额</w:t>
            </w: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55"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80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69"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741" w:type="dxa"/>
            <w:tcBorders>
              <w:top w:val="nil" w:sz="6" w:space="0" w:color="auto"/>
              <w:left w:val="nil" w:sz="6" w:space="0" w:color="auto"/>
              <w:bottom w:val="nil" w:sz="6" w:space="0" w:color="auto"/>
              <w:right w:val="nil" w:sz="6" w:space="0" w:color="auto"/>
            </w:tcBorders>
          </w:tcPr>
          <w:p>
            <w:pPr>
              <w:pStyle w:val="TableParagraph"/>
              <w:spacing w:line="150" w:lineRule="exact"/>
              <w:ind w:left="94" w:right="0" w:hanging="38"/>
              <w:jc w:val="left"/>
              <w:rPr>
                <w:rFonts w:ascii="宋体" w:hAnsi="宋体" w:cs="宋体" w:eastAsia="宋体" w:hint="default"/>
                <w:sz w:val="15"/>
                <w:szCs w:val="15"/>
              </w:rPr>
            </w:pPr>
            <w:r>
              <w:rPr>
                <w:rFonts w:ascii="宋体" w:hAnsi="宋体" w:cs="宋体" w:eastAsia="宋体" w:hint="default"/>
                <w:sz w:val="15"/>
                <w:szCs w:val="15"/>
              </w:rPr>
              <w:t>坏账准备</w:t>
            </w: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94"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r>
      <w:tr>
        <w:trPr>
          <w:trHeight w:val="614" w:hRule="exact"/>
        </w:trPr>
        <w:tc>
          <w:tcPr>
            <w:tcW w:w="3114" w:type="dxa"/>
            <w:tcBorders>
              <w:top w:val="nil" w:sz="6" w:space="0" w:color="auto"/>
              <w:left w:val="nil" w:sz="6" w:space="0" w:color="auto"/>
              <w:bottom w:val="nil" w:sz="6" w:space="0" w:color="auto"/>
              <w:right w:val="nil" w:sz="6" w:space="0" w:color="auto"/>
            </w:tcBorders>
          </w:tcPr>
          <w:p>
            <w:pPr>
              <w:pStyle w:val="TableParagraph"/>
              <w:tabs>
                <w:tab w:pos="2383" w:val="left" w:leader="none"/>
              </w:tabs>
              <w:spacing w:line="240" w:lineRule="auto" w:before="69"/>
              <w:ind w:left="122" w:right="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单项金额重大的其他应收款</w:t>
              <w:tab/>
            </w:r>
            <w:r>
              <w:rPr>
                <w:rFonts w:ascii="Times New Roman" w:hAnsi="Times New Roman" w:cs="Times New Roman" w:eastAsia="Times New Roman" w:hint="default"/>
                <w:sz w:val="15"/>
                <w:szCs w:val="15"/>
              </w:rPr>
              <w:t>45,640,130</w:t>
            </w:r>
          </w:p>
          <w:p>
            <w:pPr>
              <w:pStyle w:val="TableParagraph"/>
              <w:spacing w:line="240" w:lineRule="auto" w:before="11"/>
              <w:ind w:right="0"/>
              <w:jc w:val="left"/>
              <w:rPr>
                <w:rFonts w:ascii="宋体" w:hAnsi="宋体" w:cs="宋体" w:eastAsia="宋体" w:hint="default"/>
                <w:sz w:val="14"/>
                <w:szCs w:val="14"/>
              </w:rPr>
            </w:pPr>
          </w:p>
          <w:p>
            <w:pPr>
              <w:pStyle w:val="TableParagraph"/>
              <w:spacing w:line="172" w:lineRule="exact"/>
              <w:ind w:left="122" w:right="0"/>
              <w:jc w:val="left"/>
              <w:rPr>
                <w:rFonts w:ascii="宋体" w:hAnsi="宋体" w:cs="宋体" w:eastAsia="宋体" w:hint="default"/>
                <w:sz w:val="15"/>
                <w:szCs w:val="15"/>
              </w:rPr>
            </w:pPr>
            <w:r>
              <w:rPr>
                <w:rFonts w:ascii="宋体" w:hAnsi="宋体" w:cs="宋体" w:eastAsia="宋体" w:hint="default"/>
                <w:spacing w:val="8"/>
                <w:sz w:val="15"/>
                <w:szCs w:val="15"/>
              </w:rPr>
              <w:t>单项金额不重大但按信用风</w:t>
            </w:r>
            <w:r>
              <w:rPr>
                <w:rFonts w:ascii="宋体" w:hAnsi="宋体" w:cs="宋体" w:eastAsia="宋体" w:hint="default"/>
                <w:sz w:val="15"/>
                <w:szCs w:val="15"/>
              </w:rPr>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89"/>
              <w:jc w:val="right"/>
              <w:rPr>
                <w:rFonts w:ascii="Times New Roman" w:hAnsi="Times New Roman" w:cs="Times New Roman" w:eastAsia="Times New Roman" w:hint="default"/>
                <w:sz w:val="15"/>
                <w:szCs w:val="15"/>
              </w:rPr>
            </w:pPr>
            <w:r>
              <w:rPr>
                <w:rFonts w:ascii="Times New Roman"/>
                <w:spacing w:val="-1"/>
                <w:sz w:val="15"/>
              </w:rPr>
              <w:t>38.64</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44"/>
              <w:jc w:val="right"/>
              <w:rPr>
                <w:rFonts w:ascii="Times New Roman" w:hAnsi="Times New Roman" w:cs="Times New Roman" w:eastAsia="Times New Roman" w:hint="default"/>
                <w:sz w:val="15"/>
                <w:szCs w:val="15"/>
              </w:rPr>
            </w:pPr>
            <w:r>
              <w:rPr>
                <w:rFonts w:ascii="Times New Roman"/>
                <w:spacing w:val="-2"/>
                <w:sz w:val="15"/>
              </w:rPr>
              <w:t>6,119,619</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5"/>
              <w:jc w:val="right"/>
              <w:rPr>
                <w:rFonts w:ascii="Times New Roman" w:hAnsi="Times New Roman" w:cs="Times New Roman" w:eastAsia="Times New Roman" w:hint="default"/>
                <w:sz w:val="15"/>
                <w:szCs w:val="15"/>
              </w:rPr>
            </w:pPr>
            <w:r>
              <w:rPr>
                <w:rFonts w:ascii="Times New Roman"/>
                <w:spacing w:val="-1"/>
                <w:sz w:val="15"/>
              </w:rPr>
              <w:t>13.41</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82" w:right="0"/>
              <w:jc w:val="left"/>
              <w:rPr>
                <w:rFonts w:ascii="Times New Roman" w:hAnsi="Times New Roman" w:cs="Times New Roman" w:eastAsia="Times New Roman" w:hint="default"/>
                <w:sz w:val="15"/>
                <w:szCs w:val="15"/>
              </w:rPr>
            </w:pPr>
            <w:r>
              <w:rPr>
                <w:rFonts w:ascii="Times New Roman"/>
                <w:sz w:val="15"/>
              </w:rPr>
              <w:t>42,522,013</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68"/>
              <w:jc w:val="right"/>
              <w:rPr>
                <w:rFonts w:ascii="Times New Roman" w:hAnsi="Times New Roman" w:cs="Times New Roman" w:eastAsia="Times New Roman" w:hint="default"/>
                <w:sz w:val="15"/>
                <w:szCs w:val="15"/>
              </w:rPr>
            </w:pPr>
            <w:r>
              <w:rPr>
                <w:rFonts w:ascii="Times New Roman"/>
                <w:spacing w:val="-1"/>
                <w:sz w:val="15"/>
              </w:rPr>
              <w:t>39.21</w:t>
            </w:r>
          </w:p>
        </w:tc>
        <w:tc>
          <w:tcPr>
            <w:tcW w:w="801"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55"/>
              <w:jc w:val="right"/>
              <w:rPr>
                <w:rFonts w:ascii="Times New Roman" w:hAnsi="Times New Roman" w:cs="Times New Roman" w:eastAsia="Times New Roman" w:hint="default"/>
                <w:sz w:val="15"/>
                <w:szCs w:val="15"/>
              </w:rPr>
            </w:pPr>
            <w:r>
              <w:rPr>
                <w:rFonts w:ascii="Times New Roman"/>
                <w:spacing w:val="-1"/>
                <w:sz w:val="15"/>
              </w:rPr>
              <w:t>858,706</w:t>
            </w:r>
          </w:p>
        </w:tc>
        <w:tc>
          <w:tcPr>
            <w:tcW w:w="741"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29"/>
              <w:jc w:val="right"/>
              <w:rPr>
                <w:rFonts w:ascii="Times New Roman" w:hAnsi="Times New Roman" w:cs="Times New Roman" w:eastAsia="Times New Roman" w:hint="default"/>
                <w:sz w:val="15"/>
                <w:szCs w:val="15"/>
              </w:rPr>
            </w:pPr>
            <w:r>
              <w:rPr>
                <w:rFonts w:ascii="Times New Roman"/>
                <w:spacing w:val="-1"/>
                <w:sz w:val="15"/>
              </w:rPr>
              <w:t>2.02</w:t>
            </w:r>
          </w:p>
        </w:tc>
      </w:tr>
      <w:tr>
        <w:trPr>
          <w:trHeight w:val="810" w:hRule="exact"/>
        </w:trPr>
        <w:tc>
          <w:tcPr>
            <w:tcW w:w="311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tabs>
                <w:tab w:pos="2387" w:val="left" w:leader="none"/>
              </w:tabs>
              <w:spacing w:line="240" w:lineRule="auto"/>
              <w:ind w:left="122" w:right="0"/>
              <w:jc w:val="left"/>
              <w:rPr>
                <w:rFonts w:ascii="Times New Roman" w:hAnsi="Times New Roman" w:cs="Times New Roman" w:eastAsia="Times New Roman" w:hint="default"/>
                <w:sz w:val="15"/>
                <w:szCs w:val="15"/>
              </w:rPr>
            </w:pPr>
            <w:r>
              <w:rPr>
                <w:rFonts w:ascii="宋体" w:hAnsi="宋体" w:cs="宋体" w:eastAsia="宋体" w:hint="default"/>
                <w:spacing w:val="8"/>
                <w:position w:val="1"/>
                <w:sz w:val="15"/>
                <w:szCs w:val="15"/>
              </w:rPr>
              <w:t>险特征组合后该组合的风险</w:t>
              <w:tab/>
            </w:r>
            <w:r>
              <w:rPr>
                <w:rFonts w:ascii="Times New Roman" w:hAnsi="Times New Roman" w:cs="Times New Roman" w:eastAsia="Times New Roman" w:hint="default"/>
                <w:sz w:val="15"/>
                <w:szCs w:val="15"/>
              </w:rPr>
              <w:t>11,192,691</w:t>
            </w:r>
          </w:p>
          <w:p>
            <w:pPr>
              <w:pStyle w:val="TableParagraph"/>
              <w:spacing w:line="240" w:lineRule="auto" w:before="2"/>
              <w:ind w:right="0"/>
              <w:jc w:val="left"/>
              <w:rPr>
                <w:rFonts w:ascii="宋体" w:hAnsi="宋体" w:cs="宋体" w:eastAsia="宋体" w:hint="default"/>
                <w:sz w:val="14"/>
                <w:szCs w:val="14"/>
              </w:rPr>
            </w:pPr>
          </w:p>
          <w:p>
            <w:pPr>
              <w:pStyle w:val="TableParagraph"/>
              <w:spacing w:line="182" w:lineRule="exact"/>
              <w:ind w:left="122" w:right="0"/>
              <w:jc w:val="left"/>
              <w:rPr>
                <w:rFonts w:ascii="宋体" w:hAnsi="宋体" w:cs="宋体" w:eastAsia="宋体" w:hint="default"/>
                <w:sz w:val="15"/>
                <w:szCs w:val="15"/>
              </w:rPr>
            </w:pPr>
            <w:r>
              <w:rPr>
                <w:rFonts w:ascii="宋体" w:hAnsi="宋体" w:cs="宋体" w:eastAsia="宋体" w:hint="default"/>
                <w:sz w:val="15"/>
                <w:szCs w:val="15"/>
              </w:rPr>
              <w:t>较大的其他应收款</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87"/>
              <w:jc w:val="right"/>
              <w:rPr>
                <w:rFonts w:ascii="Times New Roman" w:hAnsi="Times New Roman" w:cs="Times New Roman" w:eastAsia="Times New Roman" w:hint="default"/>
                <w:sz w:val="15"/>
                <w:szCs w:val="15"/>
              </w:rPr>
            </w:pPr>
            <w:r>
              <w:rPr>
                <w:rFonts w:ascii="Times New Roman"/>
                <w:spacing w:val="-1"/>
                <w:sz w:val="15"/>
              </w:rPr>
              <w:t>9.48</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43"/>
              <w:jc w:val="right"/>
              <w:rPr>
                <w:rFonts w:ascii="Times New Roman" w:hAnsi="Times New Roman" w:cs="Times New Roman" w:eastAsia="Times New Roman" w:hint="default"/>
                <w:sz w:val="15"/>
                <w:szCs w:val="15"/>
              </w:rPr>
            </w:pPr>
            <w:r>
              <w:rPr>
                <w:rFonts w:ascii="Times New Roman"/>
                <w:spacing w:val="-1"/>
                <w:w w:val="95"/>
                <w:sz w:val="15"/>
              </w:rPr>
              <w:t>11,192,691</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100.00</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spacing w:val="-1"/>
                <w:sz w:val="15"/>
              </w:rPr>
              <w:t>6,706,275</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67"/>
              <w:jc w:val="right"/>
              <w:rPr>
                <w:rFonts w:ascii="Times New Roman" w:hAnsi="Times New Roman" w:cs="Times New Roman" w:eastAsia="Times New Roman" w:hint="default"/>
                <w:sz w:val="15"/>
                <w:szCs w:val="15"/>
              </w:rPr>
            </w:pPr>
            <w:r>
              <w:rPr>
                <w:rFonts w:ascii="Times New Roman"/>
                <w:spacing w:val="-1"/>
                <w:sz w:val="15"/>
              </w:rPr>
              <w:t>6.18</w:t>
            </w:r>
          </w:p>
        </w:tc>
        <w:tc>
          <w:tcPr>
            <w:tcW w:w="8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55"/>
              <w:jc w:val="right"/>
              <w:rPr>
                <w:rFonts w:ascii="Times New Roman" w:hAnsi="Times New Roman" w:cs="Times New Roman" w:eastAsia="Times New Roman" w:hint="default"/>
                <w:sz w:val="15"/>
                <w:szCs w:val="15"/>
              </w:rPr>
            </w:pPr>
            <w:r>
              <w:rPr>
                <w:rFonts w:ascii="Times New Roman"/>
                <w:spacing w:val="-1"/>
                <w:sz w:val="15"/>
              </w:rPr>
              <w:t>6,706,275</w:t>
            </w:r>
          </w:p>
        </w:tc>
        <w:tc>
          <w:tcPr>
            <w:tcW w:w="7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29"/>
              <w:jc w:val="right"/>
              <w:rPr>
                <w:rFonts w:ascii="Times New Roman" w:hAnsi="Times New Roman" w:cs="Times New Roman" w:eastAsia="Times New Roman" w:hint="default"/>
                <w:sz w:val="15"/>
                <w:szCs w:val="15"/>
              </w:rPr>
            </w:pPr>
            <w:r>
              <w:rPr>
                <w:rFonts w:ascii="Times New Roman"/>
                <w:spacing w:val="-1"/>
                <w:sz w:val="15"/>
              </w:rPr>
              <w:t>100.00</w:t>
            </w:r>
          </w:p>
        </w:tc>
      </w:tr>
      <w:tr>
        <w:trPr>
          <w:trHeight w:val="610" w:hRule="exact"/>
        </w:trPr>
        <w:tc>
          <w:tcPr>
            <w:tcW w:w="311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tabs>
                <w:tab w:pos="2260" w:val="left" w:leader="none"/>
              </w:tabs>
              <w:spacing w:line="240" w:lineRule="auto"/>
              <w:ind w:right="53"/>
              <w:jc w:val="right"/>
              <w:rPr>
                <w:rFonts w:ascii="Times New Roman" w:hAnsi="Times New Roman" w:cs="Times New Roman" w:eastAsia="Times New Roman" w:hint="default"/>
                <w:sz w:val="15"/>
                <w:szCs w:val="15"/>
              </w:rPr>
            </w:pPr>
            <w:r>
              <w:rPr>
                <w:rFonts w:ascii="宋体" w:hAnsi="宋体" w:cs="宋体" w:eastAsia="宋体" w:hint="default"/>
                <w:position w:val="1"/>
                <w:sz w:val="15"/>
                <w:szCs w:val="15"/>
              </w:rPr>
              <w:t>其他不重大其他应收款</w:t>
              <w:tab/>
            </w:r>
            <w:r>
              <w:rPr>
                <w:rFonts w:ascii="Times New Roman" w:hAnsi="Times New Roman" w:cs="Times New Roman" w:eastAsia="Times New Roman" w:hint="default"/>
                <w:spacing w:val="-1"/>
                <w:sz w:val="15"/>
                <w:szCs w:val="15"/>
              </w:rPr>
              <w:t>61,281,795</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89"/>
              <w:jc w:val="right"/>
              <w:rPr>
                <w:rFonts w:ascii="Times New Roman" w:hAnsi="Times New Roman" w:cs="Times New Roman" w:eastAsia="Times New Roman" w:hint="default"/>
                <w:sz w:val="15"/>
                <w:szCs w:val="15"/>
              </w:rPr>
            </w:pPr>
            <w:r>
              <w:rPr>
                <w:rFonts w:ascii="Times New Roman"/>
                <w:spacing w:val="-1"/>
                <w:sz w:val="15"/>
              </w:rPr>
              <w:t>51.88</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44"/>
              <w:jc w:val="right"/>
              <w:rPr>
                <w:rFonts w:ascii="Times New Roman" w:hAnsi="Times New Roman" w:cs="Times New Roman" w:eastAsia="Times New Roman" w:hint="default"/>
                <w:sz w:val="15"/>
                <w:szCs w:val="15"/>
              </w:rPr>
            </w:pPr>
            <w:r>
              <w:rPr>
                <w:rFonts w:ascii="Times New Roman"/>
                <w:spacing w:val="-1"/>
                <w:sz w:val="15"/>
              </w:rPr>
              <w:t>1,479,780</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2.41</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spacing w:val="-1"/>
                <w:w w:val="95"/>
                <w:sz w:val="15"/>
              </w:rPr>
              <w:t>59,211,471</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68"/>
              <w:jc w:val="right"/>
              <w:rPr>
                <w:rFonts w:ascii="Times New Roman" w:hAnsi="Times New Roman" w:cs="Times New Roman" w:eastAsia="Times New Roman" w:hint="default"/>
                <w:sz w:val="15"/>
                <w:szCs w:val="15"/>
              </w:rPr>
            </w:pPr>
            <w:r>
              <w:rPr>
                <w:rFonts w:ascii="Times New Roman"/>
                <w:spacing w:val="-1"/>
                <w:sz w:val="15"/>
              </w:rPr>
              <w:t>54.61</w:t>
            </w:r>
          </w:p>
        </w:tc>
        <w:tc>
          <w:tcPr>
            <w:tcW w:w="8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55"/>
              <w:jc w:val="right"/>
              <w:rPr>
                <w:rFonts w:ascii="Times New Roman" w:hAnsi="Times New Roman" w:cs="Times New Roman" w:eastAsia="Times New Roman" w:hint="default"/>
                <w:sz w:val="15"/>
                <w:szCs w:val="15"/>
              </w:rPr>
            </w:pPr>
            <w:r>
              <w:rPr>
                <w:rFonts w:ascii="Times New Roman"/>
                <w:spacing w:val="-1"/>
                <w:sz w:val="15"/>
              </w:rPr>
              <w:t>3,585,956</w:t>
            </w:r>
          </w:p>
        </w:tc>
        <w:tc>
          <w:tcPr>
            <w:tcW w:w="7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29"/>
              <w:jc w:val="right"/>
              <w:rPr>
                <w:rFonts w:ascii="Times New Roman" w:hAnsi="Times New Roman" w:cs="Times New Roman" w:eastAsia="Times New Roman" w:hint="default"/>
                <w:sz w:val="15"/>
                <w:szCs w:val="15"/>
              </w:rPr>
            </w:pPr>
            <w:r>
              <w:rPr>
                <w:rFonts w:ascii="Times New Roman"/>
                <w:spacing w:val="-1"/>
                <w:sz w:val="15"/>
              </w:rPr>
              <w:t>6.06</w:t>
            </w:r>
          </w:p>
        </w:tc>
      </w:tr>
      <w:tr>
        <w:trPr>
          <w:trHeight w:val="298" w:hRule="exact"/>
        </w:trPr>
        <w:tc>
          <w:tcPr>
            <w:tcW w:w="3114" w:type="dxa"/>
            <w:tcBorders>
              <w:top w:val="nil" w:sz="6" w:space="0" w:color="auto"/>
              <w:left w:val="nil" w:sz="6" w:space="0" w:color="auto"/>
              <w:bottom w:val="single" w:sz="8" w:space="0" w:color="000000"/>
              <w:right w:val="nil" w:sz="6" w:space="0" w:color="auto"/>
            </w:tcBorders>
          </w:tcPr>
          <w:p>
            <w:pPr>
              <w:pStyle w:val="TableParagraph"/>
              <w:tabs>
                <w:tab w:pos="1544" w:val="left" w:leader="none"/>
              </w:tabs>
              <w:spacing w:line="240" w:lineRule="auto" w:before="65"/>
              <w:ind w:right="53"/>
              <w:jc w:val="right"/>
              <w:rPr>
                <w:rFonts w:ascii="Times New Roman" w:hAnsi="Times New Roman" w:cs="Times New Roman" w:eastAsia="Times New Roman" w:hint="default"/>
                <w:sz w:val="15"/>
                <w:szCs w:val="15"/>
              </w:rPr>
            </w:pPr>
            <w:r>
              <w:rPr>
                <w:rFonts w:ascii="宋体" w:hAnsi="宋体" w:cs="宋体" w:eastAsia="宋体" w:hint="default"/>
                <w:position w:val="1"/>
                <w:sz w:val="15"/>
                <w:szCs w:val="15"/>
              </w:rPr>
              <w:t>合    计</w:t>
              <w:tab/>
            </w:r>
            <w:r>
              <w:rPr>
                <w:rFonts w:ascii="Times New Roman" w:hAnsi="Times New Roman" w:cs="Times New Roman" w:eastAsia="Times New Roman" w:hint="default"/>
                <w:spacing w:val="-2"/>
                <w:sz w:val="15"/>
                <w:szCs w:val="15"/>
              </w:rPr>
              <w:t>118,114,616</w:t>
            </w:r>
          </w:p>
        </w:tc>
        <w:tc>
          <w:tcPr>
            <w:tcW w:w="717"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right="89"/>
              <w:jc w:val="right"/>
              <w:rPr>
                <w:rFonts w:ascii="Times New Roman" w:hAnsi="Times New Roman" w:cs="Times New Roman" w:eastAsia="Times New Roman" w:hint="default"/>
                <w:sz w:val="15"/>
                <w:szCs w:val="15"/>
              </w:rPr>
            </w:pPr>
            <w:r>
              <w:rPr>
                <w:rFonts w:ascii="Times New Roman"/>
                <w:spacing w:val="-1"/>
                <w:sz w:val="15"/>
              </w:rPr>
              <w:t>100.00</w:t>
            </w:r>
          </w:p>
        </w:tc>
        <w:tc>
          <w:tcPr>
            <w:tcW w:w="850"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right="44"/>
              <w:jc w:val="right"/>
              <w:rPr>
                <w:rFonts w:ascii="Times New Roman" w:hAnsi="Times New Roman" w:cs="Times New Roman" w:eastAsia="Times New Roman" w:hint="default"/>
                <w:sz w:val="15"/>
                <w:szCs w:val="15"/>
              </w:rPr>
            </w:pPr>
            <w:r>
              <w:rPr>
                <w:rFonts w:ascii="Times New Roman"/>
                <w:spacing w:val="-1"/>
                <w:sz w:val="15"/>
              </w:rPr>
              <w:t>18,792,090</w:t>
            </w:r>
          </w:p>
        </w:tc>
        <w:tc>
          <w:tcPr>
            <w:tcW w:w="779" w:type="dxa"/>
            <w:tcBorders>
              <w:top w:val="nil" w:sz="6" w:space="0" w:color="auto"/>
              <w:left w:val="nil" w:sz="6" w:space="0" w:color="auto"/>
              <w:bottom w:val="single" w:sz="8" w:space="0" w:color="000000"/>
              <w:right w:val="nil" w:sz="6" w:space="0" w:color="auto"/>
            </w:tcBorders>
          </w:tcPr>
          <w:p>
            <w:pPr/>
          </w:p>
        </w:tc>
        <w:tc>
          <w:tcPr>
            <w:tcW w:w="913"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left="106" w:right="0"/>
              <w:jc w:val="left"/>
              <w:rPr>
                <w:rFonts w:ascii="Times New Roman" w:hAnsi="Times New Roman" w:cs="Times New Roman" w:eastAsia="Times New Roman" w:hint="default"/>
                <w:sz w:val="15"/>
                <w:szCs w:val="15"/>
              </w:rPr>
            </w:pPr>
            <w:r>
              <w:rPr>
                <w:rFonts w:ascii="Times New Roman"/>
                <w:sz w:val="15"/>
              </w:rPr>
              <w:t>108,439,759</w:t>
            </w:r>
          </w:p>
        </w:tc>
        <w:tc>
          <w:tcPr>
            <w:tcW w:w="697"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right="67"/>
              <w:jc w:val="right"/>
              <w:rPr>
                <w:rFonts w:ascii="Times New Roman" w:hAnsi="Times New Roman" w:cs="Times New Roman" w:eastAsia="Times New Roman" w:hint="default"/>
                <w:sz w:val="15"/>
                <w:szCs w:val="15"/>
              </w:rPr>
            </w:pPr>
            <w:r>
              <w:rPr>
                <w:rFonts w:ascii="Times New Roman"/>
                <w:spacing w:val="-1"/>
                <w:sz w:val="15"/>
              </w:rPr>
              <w:t>100.00</w:t>
            </w:r>
          </w:p>
        </w:tc>
        <w:tc>
          <w:tcPr>
            <w:tcW w:w="801"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left="73" w:right="0"/>
              <w:jc w:val="left"/>
              <w:rPr>
                <w:rFonts w:ascii="Times New Roman" w:hAnsi="Times New Roman" w:cs="Times New Roman" w:eastAsia="Times New Roman" w:hint="default"/>
                <w:sz w:val="15"/>
                <w:szCs w:val="15"/>
              </w:rPr>
            </w:pPr>
            <w:r>
              <w:rPr>
                <w:rFonts w:ascii="Times New Roman"/>
                <w:sz w:val="15"/>
              </w:rPr>
              <w:t>11,150,937</w:t>
            </w:r>
          </w:p>
        </w:tc>
        <w:tc>
          <w:tcPr>
            <w:tcW w:w="741" w:type="dxa"/>
            <w:tcBorders>
              <w:top w:val="nil" w:sz="6" w:space="0" w:color="auto"/>
              <w:left w:val="nil" w:sz="6" w:space="0" w:color="auto"/>
              <w:bottom w:val="single" w:sz="8"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tabs>
          <w:tab w:pos="1396" w:val="left" w:leader="none"/>
        </w:tabs>
        <w:spacing w:before="35"/>
        <w:ind w:left="857" w:right="0" w:firstLine="0"/>
        <w:jc w:val="left"/>
        <w:rPr>
          <w:rFonts w:ascii="宋体" w:hAnsi="宋体" w:cs="宋体" w:eastAsia="宋体" w:hint="default"/>
          <w:sz w:val="21"/>
          <w:szCs w:val="21"/>
        </w:rPr>
      </w:pPr>
      <w:r>
        <w:rPr/>
        <w:pict>
          <v:group style="position:absolute;margin-left:102.000008pt;margin-top:17.073835pt;width:430.65pt;height:103.05pt;mso-position-horizontal-relative:page;mso-position-vertical-relative:paragraph;z-index:-992008" coordorigin="2040,341" coordsize="8613,2061">
            <v:group style="position:absolute;left:2050;top:351;width:2222;height:2" coordorigin="2050,351" coordsize="2222,2">
              <v:shape style="position:absolute;left:2050;top:351;width:2222;height:2" coordorigin="2050,351" coordsize="2222,0" path="m2050,351l4271,351e" filled="false" stroked="true" strokeweight=".95999pt" strokecolor="#000000">
                <v:path arrowok="t"/>
              </v:shape>
            </v:group>
            <v:group style="position:absolute;left:4271;top:351;width:1416;height:2" coordorigin="4271,351" coordsize="1416,2">
              <v:shape style="position:absolute;left:4271;top:351;width:1416;height:2" coordorigin="4271,351" coordsize="1416,0" path="m4271,351l5687,351e" filled="false" stroked="true" strokeweight=".95999pt" strokecolor="#000000">
                <v:path arrowok="t"/>
              </v:shape>
            </v:group>
            <v:group style="position:absolute;left:5687;top:351;width:1665;height:2" coordorigin="5687,351" coordsize="1665,2">
              <v:shape style="position:absolute;left:5687;top:351;width:1665;height:2" coordorigin="5687,351" coordsize="1665,0" path="m5687,351l7351,351e" filled="false" stroked="true" strokeweight=".95999pt" strokecolor="#000000">
                <v:path arrowok="t"/>
              </v:shape>
            </v:group>
            <v:group style="position:absolute;left:7351;top:351;width:1449;height:2" coordorigin="7351,351" coordsize="1449,2">
              <v:shape style="position:absolute;left:7351;top:351;width:1449;height:2" coordorigin="7351,351" coordsize="1449,0" path="m7351,351l8800,351e" filled="false" stroked="true" strokeweight=".95999pt" strokecolor="#000000">
                <v:path arrowok="t"/>
              </v:shape>
            </v:group>
            <v:group style="position:absolute;left:8800;top:351;width:1844;height:2" coordorigin="8800,351" coordsize="1844,2">
              <v:shape style="position:absolute;left:8800;top:351;width:1844;height:2" coordorigin="8800,351" coordsize="1844,0" path="m8800,351l10643,351e" filled="false" stroked="true" strokeweight=".95999pt" strokecolor="#000000">
                <v:path arrowok="t"/>
              </v:shape>
              <v:shape style="position:absolute;left:2050;top:361;width:8598;height:2041" type="#_x0000_t75" stroked="false">
                <v:imagedata r:id="rId57" o:title=""/>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期末单项金额重大或虽不重大但单独进行减值测试的其他应收款坏账准备计提：</w:t>
      </w:r>
    </w:p>
    <w:p>
      <w:pPr>
        <w:spacing w:line="240" w:lineRule="auto" w:before="11"/>
        <w:rPr>
          <w:rFonts w:ascii="宋体" w:hAnsi="宋体" w:cs="宋体" w:eastAsia="宋体" w:hint="default"/>
          <w:sz w:val="9"/>
          <w:szCs w:val="9"/>
        </w:rPr>
      </w:pPr>
    </w:p>
    <w:tbl>
      <w:tblPr>
        <w:tblW w:w="0" w:type="auto"/>
        <w:jc w:val="left"/>
        <w:tblInd w:w="735" w:type="dxa"/>
        <w:tblLayout w:type="fixed"/>
        <w:tblCellMar>
          <w:top w:w="0" w:type="dxa"/>
          <w:left w:w="0" w:type="dxa"/>
          <w:bottom w:w="0" w:type="dxa"/>
          <w:right w:w="0" w:type="dxa"/>
        </w:tblCellMar>
        <w:tblLook w:val="01E0"/>
      </w:tblPr>
      <w:tblGrid>
        <w:gridCol w:w="2255"/>
        <w:gridCol w:w="1493"/>
        <w:gridCol w:w="1628"/>
        <w:gridCol w:w="1487"/>
        <w:gridCol w:w="1751"/>
      </w:tblGrid>
      <w:tr>
        <w:trPr>
          <w:trHeight w:val="814" w:hRule="exact"/>
        </w:trPr>
        <w:tc>
          <w:tcPr>
            <w:tcW w:w="2255"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332" w:firstLine="374"/>
              <w:jc w:val="left"/>
              <w:rPr>
                <w:rFonts w:ascii="宋体" w:hAnsi="宋体" w:cs="宋体" w:eastAsia="宋体" w:hint="default"/>
                <w:sz w:val="18"/>
                <w:szCs w:val="18"/>
              </w:rPr>
            </w:pPr>
            <w:r>
              <w:rPr>
                <w:rFonts w:ascii="宋体" w:hAnsi="宋体" w:cs="宋体" w:eastAsia="宋体" w:hint="default"/>
                <w:sz w:val="18"/>
                <w:szCs w:val="18"/>
              </w:rPr>
              <w:t>其他应收款内容 备用金及垫付费用借款</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32" w:right="0"/>
              <w:jc w:val="left"/>
              <w:rPr>
                <w:rFonts w:ascii="宋体" w:hAnsi="宋体" w:cs="宋体" w:eastAsia="宋体" w:hint="default"/>
                <w:sz w:val="18"/>
                <w:szCs w:val="18"/>
              </w:rPr>
            </w:pPr>
            <w:r>
              <w:rPr>
                <w:rFonts w:ascii="宋体" w:hAnsi="宋体" w:cs="宋体" w:eastAsia="宋体" w:hint="default"/>
                <w:sz w:val="18"/>
                <w:szCs w:val="18"/>
              </w:rPr>
              <w:t>账面金额</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572" w:right="0"/>
              <w:jc w:val="left"/>
              <w:rPr>
                <w:rFonts w:ascii="Times New Roman" w:hAnsi="Times New Roman" w:cs="Times New Roman" w:eastAsia="Times New Roman" w:hint="default"/>
                <w:sz w:val="18"/>
                <w:szCs w:val="18"/>
              </w:rPr>
            </w:pPr>
            <w:r>
              <w:rPr>
                <w:rFonts w:ascii="Times New Roman"/>
                <w:sz w:val="18"/>
              </w:rPr>
              <w:t>5,595,354</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9" w:right="0"/>
              <w:jc w:val="left"/>
              <w:rPr>
                <w:rFonts w:ascii="宋体" w:hAnsi="宋体" w:cs="宋体" w:eastAsia="宋体" w:hint="default"/>
                <w:sz w:val="18"/>
                <w:szCs w:val="18"/>
              </w:rPr>
            </w:pPr>
            <w:r>
              <w:rPr>
                <w:rFonts w:ascii="宋体" w:hAnsi="宋体" w:cs="宋体" w:eastAsia="宋体" w:hint="default"/>
                <w:sz w:val="18"/>
                <w:szCs w:val="18"/>
              </w:rPr>
              <w:t>坏账准备金额</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732" w:right="0"/>
              <w:jc w:val="left"/>
              <w:rPr>
                <w:rFonts w:ascii="Times New Roman" w:hAnsi="Times New Roman" w:cs="Times New Roman" w:eastAsia="Times New Roman" w:hint="default"/>
                <w:sz w:val="18"/>
                <w:szCs w:val="18"/>
              </w:rPr>
            </w:pPr>
            <w:r>
              <w:rPr>
                <w:rFonts w:ascii="Times New Roman"/>
                <w:sz w:val="18"/>
              </w:rPr>
              <w:t>5,489,171</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878" w:right="0"/>
              <w:jc w:val="left"/>
              <w:rPr>
                <w:rFonts w:ascii="Times New Roman" w:hAnsi="Times New Roman" w:cs="Times New Roman" w:eastAsia="Times New Roman" w:hint="default"/>
                <w:sz w:val="18"/>
                <w:szCs w:val="18"/>
              </w:rPr>
            </w:pPr>
            <w:r>
              <w:rPr>
                <w:rFonts w:ascii="Times New Roman"/>
                <w:sz w:val="18"/>
              </w:rPr>
              <w:t>98.10</w:t>
            </w:r>
          </w:p>
        </w:tc>
        <w:tc>
          <w:tcPr>
            <w:tcW w:w="1751" w:type="dxa"/>
            <w:tcBorders>
              <w:top w:val="nil" w:sz="6" w:space="0" w:color="auto"/>
              <w:left w:val="nil" w:sz="6" w:space="0" w:color="auto"/>
              <w:bottom w:val="nil" w:sz="6" w:space="0" w:color="auto"/>
              <w:right w:val="nil" w:sz="6" w:space="0" w:color="auto"/>
            </w:tcBorders>
          </w:tcPr>
          <w:p>
            <w:pPr>
              <w:pStyle w:val="TableParagraph"/>
              <w:spacing w:line="417" w:lineRule="auto" w:before="44"/>
              <w:ind w:left="202" w:right="107" w:firstLine="355"/>
              <w:jc w:val="left"/>
              <w:rPr>
                <w:rFonts w:ascii="宋体" w:hAnsi="宋体" w:cs="宋体" w:eastAsia="宋体" w:hint="default"/>
                <w:sz w:val="18"/>
                <w:szCs w:val="18"/>
              </w:rPr>
            </w:pPr>
            <w:r>
              <w:rPr>
                <w:rFonts w:ascii="宋体" w:hAnsi="宋体" w:cs="宋体" w:eastAsia="宋体" w:hint="default"/>
                <w:sz w:val="18"/>
                <w:szCs w:val="18"/>
              </w:rPr>
              <w:t>理 由 预计不可收回部分</w:t>
            </w:r>
          </w:p>
        </w:tc>
      </w:tr>
      <w:tr>
        <w:trPr>
          <w:trHeight w:val="410" w:hRule="exact"/>
        </w:trPr>
        <w:tc>
          <w:tcPr>
            <w:tcW w:w="225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单位往来款</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7"/>
              <w:jc w:val="right"/>
              <w:rPr>
                <w:rFonts w:ascii="Times New Roman" w:hAnsi="Times New Roman" w:cs="Times New Roman" w:eastAsia="Times New Roman" w:hint="default"/>
                <w:sz w:val="18"/>
                <w:szCs w:val="18"/>
              </w:rPr>
            </w:pPr>
            <w:r>
              <w:rPr>
                <w:rFonts w:ascii="Times New Roman"/>
                <w:sz w:val="18"/>
              </w:rPr>
              <w:t>17,044,776</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71"/>
              <w:jc w:val="right"/>
              <w:rPr>
                <w:rFonts w:ascii="Times New Roman" w:hAnsi="Times New Roman" w:cs="Times New Roman" w:eastAsia="Times New Roman" w:hint="default"/>
                <w:sz w:val="18"/>
                <w:szCs w:val="18"/>
              </w:rPr>
            </w:pPr>
            <w:r>
              <w:rPr>
                <w:rFonts w:ascii="Times New Roman"/>
                <w:sz w:val="18"/>
              </w:rPr>
              <w:t>170,448</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0"/>
              <w:jc w:val="right"/>
              <w:rPr>
                <w:rFonts w:ascii="Times New Roman" w:hAnsi="Times New Roman" w:cs="Times New Roman" w:eastAsia="Times New Roman" w:hint="default"/>
                <w:sz w:val="18"/>
                <w:szCs w:val="18"/>
              </w:rPr>
            </w:pPr>
            <w:r>
              <w:rPr>
                <w:rFonts w:ascii="Times New Roman"/>
                <w:sz w:val="18"/>
              </w:rPr>
              <w:t>1.00</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7"/>
              <w:jc w:val="right"/>
              <w:rPr>
                <w:rFonts w:ascii="宋体" w:hAnsi="宋体" w:cs="宋体" w:eastAsia="宋体" w:hint="default"/>
                <w:sz w:val="18"/>
                <w:szCs w:val="18"/>
              </w:rPr>
            </w:pPr>
            <w:r>
              <w:rPr>
                <w:rFonts w:ascii="宋体" w:hAnsi="宋体" w:cs="宋体" w:eastAsia="宋体" w:hint="default"/>
                <w:sz w:val="18"/>
                <w:szCs w:val="18"/>
              </w:rPr>
              <w:t>按账龄计提部分</w:t>
            </w:r>
          </w:p>
        </w:tc>
      </w:tr>
      <w:tr>
        <w:trPr>
          <w:trHeight w:val="410" w:hRule="exact"/>
        </w:trPr>
        <w:tc>
          <w:tcPr>
            <w:tcW w:w="225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应收股权转让款</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7"/>
              <w:jc w:val="right"/>
              <w:rPr>
                <w:rFonts w:ascii="Times New Roman" w:hAnsi="Times New Roman" w:cs="Times New Roman" w:eastAsia="Times New Roman" w:hint="default"/>
                <w:sz w:val="18"/>
                <w:szCs w:val="18"/>
              </w:rPr>
            </w:pPr>
            <w:r>
              <w:rPr>
                <w:rFonts w:ascii="Times New Roman"/>
                <w:sz w:val="18"/>
              </w:rPr>
              <w:t>23,000,000</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71"/>
              <w:jc w:val="right"/>
              <w:rPr>
                <w:rFonts w:ascii="Times New Roman" w:hAnsi="Times New Roman" w:cs="Times New Roman" w:eastAsia="Times New Roman" w:hint="default"/>
                <w:sz w:val="18"/>
                <w:szCs w:val="18"/>
              </w:rPr>
            </w:pPr>
            <w:r>
              <w:rPr>
                <w:rFonts w:ascii="Times New Roman"/>
                <w:sz w:val="18"/>
              </w:rPr>
              <w:t>460,000</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0"/>
              <w:jc w:val="right"/>
              <w:rPr>
                <w:rFonts w:ascii="Times New Roman" w:hAnsi="Times New Roman" w:cs="Times New Roman" w:eastAsia="Times New Roman" w:hint="default"/>
                <w:sz w:val="18"/>
                <w:szCs w:val="18"/>
              </w:rPr>
            </w:pPr>
            <w:r>
              <w:rPr>
                <w:rFonts w:ascii="Times New Roman"/>
                <w:sz w:val="18"/>
              </w:rPr>
              <w:t>2.00</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宋体" w:hAnsi="宋体" w:cs="宋体" w:eastAsia="宋体" w:hint="default"/>
                <w:sz w:val="18"/>
                <w:szCs w:val="18"/>
              </w:rPr>
            </w:pPr>
            <w:r>
              <w:rPr>
                <w:rFonts w:ascii="宋体" w:hAnsi="宋体" w:cs="宋体" w:eastAsia="宋体" w:hint="default"/>
                <w:sz w:val="18"/>
                <w:szCs w:val="18"/>
              </w:rPr>
              <w:t>按账龄计提部分</w:t>
            </w:r>
          </w:p>
        </w:tc>
      </w:tr>
      <w:tr>
        <w:trPr>
          <w:trHeight w:val="324" w:hRule="exact"/>
        </w:trPr>
        <w:tc>
          <w:tcPr>
            <w:tcW w:w="2255" w:type="dxa"/>
            <w:tcBorders>
              <w:top w:val="nil" w:sz="6" w:space="0" w:color="auto"/>
              <w:left w:val="nil" w:sz="6" w:space="0" w:color="auto"/>
              <w:bottom w:val="single" w:sz="8" w:space="0" w:color="000000"/>
              <w:right w:val="nil" w:sz="6" w:space="0" w:color="auto"/>
            </w:tcBorders>
          </w:tcPr>
          <w:p>
            <w:pPr>
              <w:pStyle w:val="TableParagraph"/>
              <w:spacing w:line="240" w:lineRule="auto" w:before="50"/>
              <w:ind w:left="766" w:right="0"/>
              <w:jc w:val="left"/>
              <w:rPr>
                <w:rFonts w:ascii="宋体" w:hAnsi="宋体" w:cs="宋体" w:eastAsia="宋体" w:hint="default"/>
                <w:sz w:val="18"/>
                <w:szCs w:val="18"/>
              </w:rPr>
            </w:pPr>
            <w:r>
              <w:rPr>
                <w:rFonts w:ascii="宋体" w:hAnsi="宋体" w:cs="宋体" w:eastAsia="宋体" w:hint="default"/>
                <w:sz w:val="18"/>
                <w:szCs w:val="18"/>
              </w:rPr>
              <w:t>合    计 </w:t>
            </w:r>
          </w:p>
        </w:tc>
        <w:tc>
          <w:tcPr>
            <w:tcW w:w="1493"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97"/>
              <w:jc w:val="right"/>
              <w:rPr>
                <w:rFonts w:ascii="Times New Roman" w:hAnsi="Times New Roman" w:cs="Times New Roman" w:eastAsia="Times New Roman" w:hint="default"/>
                <w:sz w:val="18"/>
                <w:szCs w:val="18"/>
              </w:rPr>
            </w:pPr>
            <w:r>
              <w:rPr>
                <w:rFonts w:ascii="Times New Roman"/>
                <w:sz w:val="18"/>
              </w:rPr>
              <w:t>45,640,130</w:t>
            </w:r>
          </w:p>
        </w:tc>
        <w:tc>
          <w:tcPr>
            <w:tcW w:w="1628"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71"/>
              <w:jc w:val="right"/>
              <w:rPr>
                <w:rFonts w:ascii="Times New Roman" w:hAnsi="Times New Roman" w:cs="Times New Roman" w:eastAsia="Times New Roman" w:hint="default"/>
                <w:sz w:val="18"/>
                <w:szCs w:val="18"/>
              </w:rPr>
            </w:pPr>
            <w:r>
              <w:rPr>
                <w:rFonts w:ascii="Times New Roman"/>
                <w:spacing w:val="-1"/>
                <w:sz w:val="18"/>
              </w:rPr>
              <w:t>6,119,619</w:t>
            </w:r>
          </w:p>
        </w:tc>
        <w:tc>
          <w:tcPr>
            <w:tcW w:w="1487" w:type="dxa"/>
            <w:tcBorders>
              <w:top w:val="nil" w:sz="6" w:space="0" w:color="auto"/>
              <w:left w:val="nil" w:sz="6" w:space="0" w:color="auto"/>
              <w:bottom w:val="single" w:sz="8" w:space="0" w:color="000000"/>
              <w:right w:val="nil" w:sz="6" w:space="0" w:color="auto"/>
            </w:tcBorders>
          </w:tcPr>
          <w:p>
            <w:pPr/>
          </w:p>
        </w:tc>
        <w:tc>
          <w:tcPr>
            <w:tcW w:w="1751" w:type="dxa"/>
            <w:tcBorders>
              <w:top w:val="nil" w:sz="6" w:space="0" w:color="auto"/>
              <w:left w:val="nil" w:sz="6" w:space="0" w:color="auto"/>
              <w:bottom w:val="single" w:sz="8"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spacing w:before="35"/>
        <w:ind w:left="857" w:right="0" w:firstLine="0"/>
        <w:jc w:val="left"/>
        <w:rPr>
          <w:rFonts w:ascii="宋体" w:hAnsi="宋体" w:cs="宋体" w:eastAsia="宋体" w:hint="default"/>
          <w:sz w:val="21"/>
          <w:szCs w:val="21"/>
        </w:rPr>
      </w:pPr>
      <w:r>
        <w:rPr/>
        <w:pict>
          <v:group style="position:absolute;margin-left:102.360008pt;margin-top:17.073835pt;width:431.1pt;height:164.55pt;mso-position-horizontal-relative:page;mso-position-vertical-relative:paragraph;z-index:-991936" coordorigin="2047,341" coordsize="8622,3291">
            <v:group style="position:absolute;left:2057;top:351;width:1149;height:2" coordorigin="2057,351" coordsize="1149,2">
              <v:shape style="position:absolute;left:2057;top:351;width:1149;height:2" coordorigin="2057,351" coordsize="1149,0" path="m2057,351l3205,351e" filled="false" stroked="true" strokeweight=".95999pt" strokecolor="#000000">
                <v:path arrowok="t"/>
              </v:shape>
            </v:group>
            <v:group style="position:absolute;left:3205;top:351;width:3671;height:2" coordorigin="3205,351" coordsize="3671,2">
              <v:shape style="position:absolute;left:3205;top:351;width:3671;height:2" coordorigin="3205,351" coordsize="3671,0" path="m3205,351l6876,351e" filled="false" stroked="true" strokeweight=".95999pt" strokecolor="#000000">
                <v:path arrowok="t"/>
              </v:shape>
            </v:group>
            <v:group style="position:absolute;left:6876;top:351;width:3783;height:2" coordorigin="6876,351" coordsize="3783,2">
              <v:shape style="position:absolute;left:6876;top:351;width:3783;height:2" coordorigin="6876,351" coordsize="3783,0" path="m6876,351l10658,351e" filled="false" stroked="true" strokeweight=".95999pt" strokecolor="#000000">
                <v:path arrowok="t"/>
              </v:shape>
              <v:shape style="position:absolute;left:2050;top:361;width:8620;height:3271" type="#_x0000_t75" stroked="false">
                <v:imagedata r:id="rId58" o:title=""/>
              </v:shape>
              <v:shape style="position:absolute;left:4726;top:57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期末金额</w:t>
                      </w:r>
                      <w:r>
                        <w:rPr>
                          <w:rFonts w:ascii="宋体" w:hAnsi="宋体" w:cs="宋体" w:eastAsia="宋体" w:hint="default"/>
                          <w:sz w:val="16"/>
                          <w:szCs w:val="16"/>
                        </w:rPr>
                      </w:r>
                    </w:p>
                  </w:txbxContent>
                </v:textbox>
                <w10:wrap type="none"/>
              </v:shape>
              <v:shape style="position:absolute;left:8454;top:57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期初金额</w:t>
                      </w:r>
                      <w:r>
                        <w:rPr>
                          <w:rFonts w:ascii="宋体" w:hAnsi="宋体" w:cs="宋体" w:eastAsia="宋体" w:hint="default"/>
                          <w:sz w:val="16"/>
                          <w:szCs w:val="16"/>
                        </w:rPr>
                      </w:r>
                    </w:p>
                  </w:txbxContent>
                </v:textbox>
                <w10:wrap type="none"/>
              </v:shape>
            </v:group>
            <w10:wrap type="none"/>
          </v:group>
        </w:pict>
      </w:r>
      <w:r>
        <w:rPr>
          <w:rFonts w:ascii="宋体" w:hAnsi="宋体" w:cs="宋体" w:eastAsia="宋体" w:hint="default"/>
          <w:sz w:val="21"/>
          <w:szCs w:val="21"/>
        </w:rPr>
        <w:t>单项金额不重大但按信用风险特征组合后该组合的风险较大的其他应收款：</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tbl>
      <w:tblPr>
        <w:tblW w:w="0" w:type="auto"/>
        <w:jc w:val="left"/>
        <w:tblInd w:w="735" w:type="dxa"/>
        <w:tblLayout w:type="fixed"/>
        <w:tblCellMar>
          <w:top w:w="0" w:type="dxa"/>
          <w:left w:w="0" w:type="dxa"/>
          <w:bottom w:w="0" w:type="dxa"/>
          <w:right w:w="0" w:type="dxa"/>
        </w:tblCellMar>
        <w:tblLook w:val="01E0"/>
      </w:tblPr>
      <w:tblGrid>
        <w:gridCol w:w="1230"/>
        <w:gridCol w:w="1445"/>
        <w:gridCol w:w="974"/>
        <w:gridCol w:w="1339"/>
        <w:gridCol w:w="1520"/>
        <w:gridCol w:w="1062"/>
        <w:gridCol w:w="1061"/>
      </w:tblGrid>
      <w:tr>
        <w:trPr>
          <w:trHeight w:val="495" w:hRule="exact"/>
        </w:trPr>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34"/>
              <w:jc w:val="right"/>
              <w:rPr>
                <w:rFonts w:ascii="宋体" w:hAnsi="宋体" w:cs="宋体" w:eastAsia="宋体" w:hint="default"/>
                <w:sz w:val="16"/>
                <w:szCs w:val="16"/>
              </w:rPr>
            </w:pPr>
            <w:r>
              <w:rPr>
                <w:rFonts w:ascii="宋体" w:hAnsi="宋体" w:cs="宋体" w:eastAsia="宋体" w:hint="default"/>
                <w:sz w:val="16"/>
                <w:szCs w:val="16"/>
              </w:rPr>
              <w:t>账  </w:t>
            </w:r>
            <w:r>
              <w:rPr>
                <w:rFonts w:ascii="宋体" w:hAnsi="宋体" w:cs="宋体" w:eastAsia="宋体" w:hint="default"/>
                <w:spacing w:val="76"/>
                <w:sz w:val="16"/>
                <w:szCs w:val="16"/>
              </w:rPr>
              <w:t> </w:t>
            </w:r>
            <w:r>
              <w:rPr>
                <w:rFonts w:ascii="宋体" w:hAnsi="宋体" w:cs="宋体" w:eastAsia="宋体" w:hint="default"/>
                <w:sz w:val="16"/>
                <w:szCs w:val="16"/>
              </w:rPr>
              <w:t>龄</w:t>
            </w:r>
            <w:r>
              <w:rPr>
                <w:rFonts w:ascii="宋体" w:hAnsi="宋体" w:cs="宋体" w:eastAsia="宋体" w:hint="default"/>
                <w:spacing w:val="-1"/>
                <w:sz w:val="16"/>
                <w:szCs w:val="16"/>
              </w:rPr>
              <w:t> </w:t>
            </w:r>
            <w:r>
              <w:rPr>
                <w:rFonts w:ascii="宋体" w:hAnsi="宋体" w:cs="宋体" w:eastAsia="宋体" w:hint="default"/>
                <w:sz w:val="16"/>
                <w:szCs w:val="16"/>
              </w:rPr>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60"/>
              <w:ind w:left="805" w:right="0"/>
              <w:jc w:val="left"/>
              <w:rPr>
                <w:rFonts w:ascii="宋体" w:hAnsi="宋体" w:cs="宋体" w:eastAsia="宋体" w:hint="default"/>
                <w:sz w:val="16"/>
                <w:szCs w:val="16"/>
              </w:rPr>
            </w:pPr>
            <w:r>
              <w:rPr>
                <w:rFonts w:ascii="宋体" w:hAnsi="宋体" w:cs="宋体" w:eastAsia="宋体" w:hint="default"/>
                <w:w w:val="95"/>
                <w:sz w:val="16"/>
                <w:szCs w:val="16"/>
              </w:rPr>
              <w:t>账面金额</w:t>
            </w:r>
            <w:r>
              <w:rPr>
                <w:rFonts w:ascii="宋体" w:hAnsi="宋体" w:cs="宋体" w:eastAsia="宋体" w:hint="default"/>
                <w:sz w:val="16"/>
                <w:szCs w:val="16"/>
              </w:rPr>
            </w:r>
          </w:p>
        </w:tc>
        <w:tc>
          <w:tcPr>
            <w:tcW w:w="974" w:type="dxa"/>
            <w:tcBorders>
              <w:top w:val="nil" w:sz="6" w:space="0" w:color="auto"/>
              <w:left w:val="nil" w:sz="6" w:space="0" w:color="auto"/>
              <w:bottom w:val="nil" w:sz="6" w:space="0" w:color="auto"/>
              <w:right w:val="nil" w:sz="6" w:space="0" w:color="auto"/>
            </w:tcBorders>
          </w:tcPr>
          <w:p>
            <w:pP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222" w:right="0"/>
              <w:jc w:val="left"/>
              <w:rPr>
                <w:rFonts w:ascii="宋体" w:hAnsi="宋体" w:cs="宋体" w:eastAsia="宋体" w:hint="default"/>
                <w:sz w:val="16"/>
                <w:szCs w:val="16"/>
              </w:rPr>
            </w:pPr>
            <w:r>
              <w:rPr>
                <w:rFonts w:ascii="宋体" w:hAnsi="宋体" w:cs="宋体" w:eastAsia="宋体" w:hint="default"/>
                <w:sz w:val="16"/>
                <w:szCs w:val="16"/>
              </w:rPr>
              <w:t>坏账准备</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60"/>
              <w:ind w:left="866" w:right="0"/>
              <w:jc w:val="left"/>
              <w:rPr>
                <w:rFonts w:ascii="宋体" w:hAnsi="宋体" w:cs="宋体" w:eastAsia="宋体" w:hint="default"/>
                <w:sz w:val="16"/>
                <w:szCs w:val="16"/>
              </w:rPr>
            </w:pPr>
            <w:r>
              <w:rPr>
                <w:rFonts w:ascii="宋体" w:hAnsi="宋体" w:cs="宋体" w:eastAsia="宋体" w:hint="default"/>
                <w:sz w:val="16"/>
                <w:szCs w:val="16"/>
              </w:rPr>
              <w:t>账面金额</w:t>
            </w:r>
          </w:p>
        </w:tc>
        <w:tc>
          <w:tcPr>
            <w:tcW w:w="1062"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76" w:right="0"/>
              <w:jc w:val="left"/>
              <w:rPr>
                <w:rFonts w:ascii="宋体" w:hAnsi="宋体" w:cs="宋体" w:eastAsia="宋体" w:hint="default"/>
                <w:sz w:val="16"/>
                <w:szCs w:val="16"/>
              </w:rPr>
            </w:pPr>
            <w:r>
              <w:rPr>
                <w:rFonts w:ascii="宋体" w:hAnsi="宋体" w:cs="宋体" w:eastAsia="宋体" w:hint="default"/>
                <w:sz w:val="16"/>
                <w:szCs w:val="16"/>
              </w:rPr>
              <w:t>坏账准备</w:t>
            </w:r>
          </w:p>
        </w:tc>
      </w:tr>
      <w:tr>
        <w:trPr>
          <w:trHeight w:val="312" w:hRule="exact"/>
        </w:trPr>
        <w:tc>
          <w:tcPr>
            <w:tcW w:w="1230"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Style w:val="TableParagraph"/>
              <w:spacing w:line="185" w:lineRule="exact"/>
              <w:ind w:left="307" w:right="0"/>
              <w:jc w:val="left"/>
              <w:rPr>
                <w:rFonts w:ascii="宋体" w:hAnsi="宋体" w:cs="宋体" w:eastAsia="宋体" w:hint="default"/>
                <w:sz w:val="16"/>
                <w:szCs w:val="16"/>
              </w:rPr>
            </w:pPr>
            <w:r>
              <w:rPr>
                <w:rFonts w:ascii="宋体" w:hAnsi="宋体" w:cs="宋体" w:eastAsia="宋体" w:hint="default"/>
                <w:sz w:val="16"/>
                <w:szCs w:val="16"/>
              </w:rPr>
              <w:t>金</w:t>
            </w:r>
            <w:r>
              <w:rPr>
                <w:rFonts w:ascii="宋体" w:hAnsi="宋体" w:cs="宋体" w:eastAsia="宋体" w:hint="default"/>
                <w:spacing w:val="78"/>
                <w:sz w:val="16"/>
                <w:szCs w:val="16"/>
              </w:rPr>
              <w:t> </w:t>
            </w:r>
            <w:r>
              <w:rPr>
                <w:rFonts w:ascii="宋体" w:hAnsi="宋体" w:cs="宋体" w:eastAsia="宋体" w:hint="default"/>
                <w:sz w:val="16"/>
                <w:szCs w:val="16"/>
              </w:rPr>
              <w:t>额</w:t>
            </w:r>
          </w:p>
        </w:tc>
        <w:tc>
          <w:tcPr>
            <w:tcW w:w="974" w:type="dxa"/>
            <w:tcBorders>
              <w:top w:val="nil" w:sz="6" w:space="0" w:color="auto"/>
              <w:left w:val="nil" w:sz="6" w:space="0" w:color="auto"/>
              <w:bottom w:val="nil" w:sz="6" w:space="0" w:color="auto"/>
              <w:right w:val="nil" w:sz="6" w:space="0" w:color="auto"/>
            </w:tcBorders>
          </w:tcPr>
          <w:p>
            <w:pPr>
              <w:pStyle w:val="TableParagraph"/>
              <w:spacing w:line="197" w:lineRule="exact"/>
              <w:ind w:left="1"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比例</w:t>
            </w:r>
            <w:r>
              <w:rPr>
                <w:rFonts w:ascii="Times New Roman" w:hAnsi="Times New Roman" w:cs="Times New Roman" w:eastAsia="Times New Roman" w:hint="default"/>
                <w:sz w:val="16"/>
                <w:szCs w:val="16"/>
              </w:rPr>
              <w:t>(%)</w:t>
            </w:r>
          </w:p>
        </w:tc>
        <w:tc>
          <w:tcPr>
            <w:tcW w:w="1339"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nil" w:sz="6" w:space="0" w:color="auto"/>
            </w:tcBorders>
          </w:tcPr>
          <w:p>
            <w:pPr>
              <w:pStyle w:val="TableParagraph"/>
              <w:spacing w:line="185" w:lineRule="exact"/>
              <w:ind w:left="248" w:right="0"/>
              <w:jc w:val="left"/>
              <w:rPr>
                <w:rFonts w:ascii="宋体" w:hAnsi="宋体" w:cs="宋体" w:eastAsia="宋体" w:hint="default"/>
                <w:sz w:val="16"/>
                <w:szCs w:val="16"/>
              </w:rPr>
            </w:pPr>
            <w:r>
              <w:rPr>
                <w:rFonts w:ascii="宋体" w:hAnsi="宋体" w:cs="宋体" w:eastAsia="宋体" w:hint="default"/>
                <w:sz w:val="16"/>
                <w:szCs w:val="16"/>
              </w:rPr>
              <w:t>金</w:t>
            </w:r>
            <w:r>
              <w:rPr>
                <w:rFonts w:ascii="宋体" w:hAnsi="宋体" w:cs="宋体" w:eastAsia="宋体" w:hint="default"/>
                <w:spacing w:val="78"/>
                <w:sz w:val="16"/>
                <w:szCs w:val="16"/>
              </w:rPr>
              <w:t> </w:t>
            </w:r>
            <w:r>
              <w:rPr>
                <w:rFonts w:ascii="宋体" w:hAnsi="宋体" w:cs="宋体" w:eastAsia="宋体" w:hint="default"/>
                <w:sz w:val="16"/>
                <w:szCs w:val="16"/>
              </w:rPr>
              <w:t>额</w:t>
            </w:r>
          </w:p>
        </w:tc>
        <w:tc>
          <w:tcPr>
            <w:tcW w:w="1062" w:type="dxa"/>
            <w:tcBorders>
              <w:top w:val="nil" w:sz="6" w:space="0" w:color="auto"/>
              <w:left w:val="nil" w:sz="6" w:space="0" w:color="auto"/>
              <w:bottom w:val="nil" w:sz="6" w:space="0" w:color="auto"/>
              <w:right w:val="nil" w:sz="6" w:space="0" w:color="auto"/>
            </w:tcBorders>
          </w:tcPr>
          <w:p>
            <w:pPr>
              <w:pStyle w:val="TableParagraph"/>
              <w:spacing w:line="197" w:lineRule="exact"/>
              <w:ind w:left="15"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比例</w:t>
            </w:r>
            <w:r>
              <w:rPr>
                <w:rFonts w:ascii="Times New Roman" w:hAnsi="Times New Roman" w:cs="Times New Roman" w:eastAsia="Times New Roman" w:hint="default"/>
                <w:sz w:val="16"/>
                <w:szCs w:val="16"/>
              </w:rPr>
              <w:t>(%)</w:t>
            </w:r>
          </w:p>
        </w:tc>
        <w:tc>
          <w:tcPr>
            <w:tcW w:w="1061" w:type="dxa"/>
            <w:tcBorders>
              <w:top w:val="nil" w:sz="6" w:space="0" w:color="auto"/>
              <w:left w:val="nil" w:sz="6" w:space="0" w:color="auto"/>
              <w:bottom w:val="nil" w:sz="6" w:space="0" w:color="auto"/>
              <w:right w:val="nil" w:sz="6" w:space="0" w:color="auto"/>
            </w:tcBorders>
          </w:tcPr>
          <w:p>
            <w:pPr/>
          </w:p>
        </w:tc>
      </w:tr>
      <w:tr>
        <w:trPr>
          <w:trHeight w:val="414" w:hRule="exact"/>
        </w:trPr>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9"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19" w:right="0"/>
              <w:jc w:val="left"/>
              <w:rPr>
                <w:rFonts w:ascii="Times New Roman" w:hAnsi="Times New Roman" w:cs="Times New Roman" w:eastAsia="Times New Roman" w:hint="default"/>
                <w:sz w:val="18"/>
                <w:szCs w:val="18"/>
              </w:rPr>
            </w:pPr>
            <w:r>
              <w:rPr>
                <w:rFonts w:ascii="Times New Roman"/>
                <w:sz w:val="18"/>
              </w:rPr>
              <w:t>5,968,593</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20"/>
              <w:jc w:val="right"/>
              <w:rPr>
                <w:rFonts w:ascii="Times New Roman" w:hAnsi="Times New Roman" w:cs="Times New Roman" w:eastAsia="Times New Roman" w:hint="default"/>
                <w:sz w:val="18"/>
                <w:szCs w:val="18"/>
              </w:rPr>
            </w:pPr>
            <w:r>
              <w:rPr>
                <w:rFonts w:ascii="Times New Roman"/>
                <w:sz w:val="18"/>
              </w:rPr>
              <w:t>53.33</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6"/>
              <w:jc w:val="right"/>
              <w:rPr>
                <w:rFonts w:ascii="Times New Roman" w:hAnsi="Times New Roman" w:cs="Times New Roman" w:eastAsia="Times New Roman" w:hint="default"/>
                <w:sz w:val="18"/>
                <w:szCs w:val="18"/>
              </w:rPr>
            </w:pPr>
            <w:r>
              <w:rPr>
                <w:rFonts w:ascii="Times New Roman"/>
                <w:sz w:val="18"/>
              </w:rPr>
              <w:t>5,968,593</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95"/>
              <w:ind w:left="286" w:right="0"/>
              <w:jc w:val="left"/>
              <w:rPr>
                <w:rFonts w:ascii="Times New Roman" w:hAnsi="Times New Roman" w:cs="Times New Roman" w:eastAsia="Times New Roman" w:hint="default"/>
                <w:sz w:val="18"/>
                <w:szCs w:val="18"/>
              </w:rPr>
            </w:pPr>
            <w:r>
              <w:rPr>
                <w:rFonts w:ascii="Times New Roman"/>
                <w:sz w:val="18"/>
              </w:rPr>
              <w:t>3,656,553</w:t>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74"/>
              <w:jc w:val="right"/>
              <w:rPr>
                <w:rFonts w:ascii="Times New Roman" w:hAnsi="Times New Roman" w:cs="Times New Roman" w:eastAsia="Times New Roman" w:hint="default"/>
                <w:sz w:val="18"/>
                <w:szCs w:val="18"/>
              </w:rPr>
            </w:pPr>
            <w:r>
              <w:rPr>
                <w:rFonts w:ascii="Times New Roman"/>
                <w:sz w:val="18"/>
              </w:rPr>
              <w:t>54.52</w:t>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6"/>
              <w:jc w:val="right"/>
              <w:rPr>
                <w:rFonts w:ascii="Times New Roman" w:hAnsi="Times New Roman" w:cs="Times New Roman" w:eastAsia="Times New Roman" w:hint="default"/>
                <w:sz w:val="18"/>
                <w:szCs w:val="18"/>
              </w:rPr>
            </w:pPr>
            <w:r>
              <w:rPr>
                <w:rFonts w:ascii="Times New Roman"/>
                <w:sz w:val="18"/>
              </w:rPr>
              <w:t>3,656,553</w:t>
            </w:r>
          </w:p>
        </w:tc>
      </w:tr>
      <w:tr>
        <w:trPr>
          <w:trHeight w:val="410" w:hRule="exact"/>
        </w:trPr>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9"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19" w:right="0"/>
              <w:jc w:val="left"/>
              <w:rPr>
                <w:rFonts w:ascii="Times New Roman" w:hAnsi="Times New Roman" w:cs="Times New Roman" w:eastAsia="Times New Roman" w:hint="default"/>
                <w:sz w:val="18"/>
                <w:szCs w:val="18"/>
              </w:rPr>
            </w:pPr>
            <w:r>
              <w:rPr>
                <w:rFonts w:ascii="Times New Roman"/>
                <w:sz w:val="18"/>
              </w:rPr>
              <w:t>1,359,195</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20"/>
              <w:jc w:val="right"/>
              <w:rPr>
                <w:rFonts w:ascii="Times New Roman" w:hAnsi="Times New Roman" w:cs="Times New Roman" w:eastAsia="Times New Roman" w:hint="default"/>
                <w:sz w:val="18"/>
                <w:szCs w:val="18"/>
              </w:rPr>
            </w:pPr>
            <w:r>
              <w:rPr>
                <w:rFonts w:ascii="Times New Roman"/>
                <w:sz w:val="18"/>
              </w:rPr>
              <w:t>12.14</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46"/>
              <w:jc w:val="right"/>
              <w:rPr>
                <w:rFonts w:ascii="Times New Roman" w:hAnsi="Times New Roman" w:cs="Times New Roman" w:eastAsia="Times New Roman" w:hint="default"/>
                <w:sz w:val="18"/>
                <w:szCs w:val="18"/>
              </w:rPr>
            </w:pPr>
            <w:r>
              <w:rPr>
                <w:rFonts w:ascii="Times New Roman"/>
                <w:sz w:val="18"/>
              </w:rPr>
              <w:t>1,359,195</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286" w:right="0"/>
              <w:jc w:val="left"/>
              <w:rPr>
                <w:rFonts w:ascii="Times New Roman" w:hAnsi="Times New Roman" w:cs="Times New Roman" w:eastAsia="Times New Roman" w:hint="default"/>
                <w:sz w:val="18"/>
                <w:szCs w:val="18"/>
              </w:rPr>
            </w:pPr>
            <w:r>
              <w:rPr>
                <w:rFonts w:ascii="Times New Roman"/>
                <w:sz w:val="18"/>
              </w:rPr>
              <w:t>1,997,577</w:t>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74"/>
              <w:jc w:val="right"/>
              <w:rPr>
                <w:rFonts w:ascii="Times New Roman" w:hAnsi="Times New Roman" w:cs="Times New Roman" w:eastAsia="Times New Roman" w:hint="default"/>
                <w:sz w:val="18"/>
                <w:szCs w:val="18"/>
              </w:rPr>
            </w:pPr>
            <w:r>
              <w:rPr>
                <w:rFonts w:ascii="Times New Roman"/>
                <w:sz w:val="18"/>
              </w:rPr>
              <w:t>29.79</w:t>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z w:val="18"/>
              </w:rPr>
              <w:t>1,997,577</w:t>
            </w:r>
          </w:p>
        </w:tc>
      </w:tr>
      <w:tr>
        <w:trPr>
          <w:trHeight w:val="410" w:hRule="exact"/>
        </w:trPr>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9"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19" w:right="0"/>
              <w:jc w:val="left"/>
              <w:rPr>
                <w:rFonts w:ascii="Times New Roman" w:hAnsi="Times New Roman" w:cs="Times New Roman" w:eastAsia="Times New Roman" w:hint="default"/>
                <w:sz w:val="18"/>
                <w:szCs w:val="18"/>
              </w:rPr>
            </w:pPr>
            <w:r>
              <w:rPr>
                <w:rFonts w:ascii="Times New Roman"/>
                <w:sz w:val="18"/>
              </w:rPr>
              <w:t>1,975,484</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20"/>
              <w:jc w:val="right"/>
              <w:rPr>
                <w:rFonts w:ascii="Times New Roman" w:hAnsi="Times New Roman" w:cs="Times New Roman" w:eastAsia="Times New Roman" w:hint="default"/>
                <w:sz w:val="18"/>
                <w:szCs w:val="18"/>
              </w:rPr>
            </w:pPr>
            <w:r>
              <w:rPr>
                <w:rFonts w:ascii="Times New Roman"/>
                <w:sz w:val="18"/>
              </w:rPr>
              <w:t>17.65</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46"/>
              <w:jc w:val="right"/>
              <w:rPr>
                <w:rFonts w:ascii="Times New Roman" w:hAnsi="Times New Roman" w:cs="Times New Roman" w:eastAsia="Times New Roman" w:hint="default"/>
                <w:sz w:val="18"/>
                <w:szCs w:val="18"/>
              </w:rPr>
            </w:pPr>
            <w:r>
              <w:rPr>
                <w:rFonts w:ascii="Times New Roman"/>
                <w:sz w:val="18"/>
              </w:rPr>
              <w:t>1,975,484</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422" w:right="0"/>
              <w:jc w:val="left"/>
              <w:rPr>
                <w:rFonts w:ascii="Times New Roman" w:hAnsi="Times New Roman" w:cs="Times New Roman" w:eastAsia="Times New Roman" w:hint="default"/>
                <w:sz w:val="18"/>
                <w:szCs w:val="18"/>
              </w:rPr>
            </w:pPr>
            <w:r>
              <w:rPr>
                <w:rFonts w:ascii="Times New Roman"/>
                <w:sz w:val="18"/>
              </w:rPr>
              <w:t>983,992</w:t>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74"/>
              <w:jc w:val="right"/>
              <w:rPr>
                <w:rFonts w:ascii="Times New Roman" w:hAnsi="Times New Roman" w:cs="Times New Roman" w:eastAsia="Times New Roman" w:hint="default"/>
                <w:sz w:val="18"/>
                <w:szCs w:val="18"/>
              </w:rPr>
            </w:pPr>
            <w:r>
              <w:rPr>
                <w:rFonts w:ascii="Times New Roman"/>
                <w:sz w:val="18"/>
              </w:rPr>
              <w:t>14.67</w:t>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z w:val="18"/>
              </w:rPr>
              <w:t>983,992</w:t>
            </w:r>
          </w:p>
        </w:tc>
      </w:tr>
      <w:tr>
        <w:trPr>
          <w:trHeight w:val="410" w:hRule="exact"/>
        </w:trPr>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9"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年以上</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19" w:right="0"/>
              <w:jc w:val="left"/>
              <w:rPr>
                <w:rFonts w:ascii="Times New Roman" w:hAnsi="Times New Roman" w:cs="Times New Roman" w:eastAsia="Times New Roman" w:hint="default"/>
                <w:sz w:val="18"/>
                <w:szCs w:val="18"/>
              </w:rPr>
            </w:pPr>
            <w:r>
              <w:rPr>
                <w:rFonts w:ascii="Times New Roman"/>
                <w:sz w:val="18"/>
              </w:rPr>
              <w:t>1,889,419</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20"/>
              <w:jc w:val="right"/>
              <w:rPr>
                <w:rFonts w:ascii="Times New Roman" w:hAnsi="Times New Roman" w:cs="Times New Roman" w:eastAsia="Times New Roman" w:hint="default"/>
                <w:sz w:val="18"/>
                <w:szCs w:val="18"/>
              </w:rPr>
            </w:pPr>
            <w:r>
              <w:rPr>
                <w:rFonts w:ascii="Times New Roman"/>
                <w:sz w:val="18"/>
              </w:rPr>
              <w:t>16.88</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46"/>
              <w:jc w:val="right"/>
              <w:rPr>
                <w:rFonts w:ascii="Times New Roman" w:hAnsi="Times New Roman" w:cs="Times New Roman" w:eastAsia="Times New Roman" w:hint="default"/>
                <w:sz w:val="18"/>
                <w:szCs w:val="18"/>
              </w:rPr>
            </w:pPr>
            <w:r>
              <w:rPr>
                <w:rFonts w:ascii="Times New Roman"/>
                <w:sz w:val="18"/>
              </w:rPr>
              <w:t>1,889,419</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68,153</w:t>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74"/>
              <w:jc w:val="right"/>
              <w:rPr>
                <w:rFonts w:ascii="Times New Roman" w:hAnsi="Times New Roman" w:cs="Times New Roman" w:eastAsia="Times New Roman" w:hint="default"/>
                <w:sz w:val="18"/>
                <w:szCs w:val="18"/>
              </w:rPr>
            </w:pPr>
            <w:r>
              <w:rPr>
                <w:rFonts w:ascii="Times New Roman"/>
                <w:sz w:val="18"/>
              </w:rPr>
              <w:t>1.02</w:t>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z w:val="18"/>
              </w:rPr>
              <w:t>68,153</w:t>
            </w:r>
          </w:p>
        </w:tc>
      </w:tr>
      <w:tr>
        <w:trPr>
          <w:trHeight w:val="314" w:hRule="exact"/>
        </w:trPr>
        <w:tc>
          <w:tcPr>
            <w:tcW w:w="1230" w:type="dxa"/>
            <w:tcBorders>
              <w:top w:val="nil" w:sz="6" w:space="0" w:color="auto"/>
              <w:left w:val="nil" w:sz="6" w:space="0" w:color="auto"/>
              <w:bottom w:val="single" w:sz="8" w:space="0" w:color="000000"/>
              <w:right w:val="nil" w:sz="6" w:space="0" w:color="auto"/>
            </w:tcBorders>
          </w:tcPr>
          <w:p>
            <w:pPr>
              <w:pStyle w:val="TableParagraph"/>
              <w:spacing w:line="240" w:lineRule="auto" w:before="69"/>
              <w:ind w:right="234"/>
              <w:jc w:val="right"/>
              <w:rPr>
                <w:rFonts w:ascii="宋体" w:hAnsi="宋体" w:cs="宋体" w:eastAsia="宋体" w:hint="default"/>
                <w:sz w:val="16"/>
                <w:szCs w:val="16"/>
              </w:rPr>
            </w:pPr>
            <w:r>
              <w:rPr>
                <w:rFonts w:ascii="宋体" w:hAnsi="宋体" w:cs="宋体" w:eastAsia="宋体" w:hint="default"/>
                <w:sz w:val="16"/>
                <w:szCs w:val="16"/>
              </w:rPr>
              <w:t>合  </w:t>
            </w:r>
            <w:r>
              <w:rPr>
                <w:rFonts w:ascii="宋体" w:hAnsi="宋体" w:cs="宋体" w:eastAsia="宋体" w:hint="default"/>
                <w:spacing w:val="76"/>
                <w:sz w:val="16"/>
                <w:szCs w:val="16"/>
              </w:rPr>
              <w:t> </w:t>
            </w:r>
            <w:r>
              <w:rPr>
                <w:rFonts w:ascii="宋体" w:hAnsi="宋体" w:cs="宋体" w:eastAsia="宋体" w:hint="default"/>
                <w:sz w:val="16"/>
                <w:szCs w:val="16"/>
              </w:rPr>
              <w:t>计</w:t>
            </w:r>
            <w:r>
              <w:rPr>
                <w:rFonts w:ascii="宋体" w:hAnsi="宋体" w:cs="宋体" w:eastAsia="宋体" w:hint="default"/>
                <w:spacing w:val="-1"/>
                <w:sz w:val="16"/>
                <w:szCs w:val="16"/>
              </w:rPr>
              <w:t> </w:t>
            </w:r>
            <w:r>
              <w:rPr>
                <w:rFonts w:ascii="宋体" w:hAnsi="宋体" w:cs="宋体" w:eastAsia="宋体" w:hint="default"/>
                <w:sz w:val="16"/>
                <w:szCs w:val="16"/>
              </w:rPr>
            </w:r>
          </w:p>
        </w:tc>
        <w:tc>
          <w:tcPr>
            <w:tcW w:w="1445" w:type="dxa"/>
            <w:tcBorders>
              <w:top w:val="nil" w:sz="6" w:space="0" w:color="auto"/>
              <w:left w:val="nil" w:sz="6" w:space="0" w:color="auto"/>
              <w:bottom w:val="single" w:sz="8" w:space="0" w:color="000000"/>
              <w:right w:val="nil" w:sz="6" w:space="0" w:color="auto"/>
            </w:tcBorders>
          </w:tcPr>
          <w:p>
            <w:pPr>
              <w:pStyle w:val="TableParagraph"/>
              <w:spacing w:line="240" w:lineRule="auto" w:before="92"/>
              <w:ind w:left="236" w:right="0"/>
              <w:jc w:val="left"/>
              <w:rPr>
                <w:rFonts w:ascii="Times New Roman" w:hAnsi="Times New Roman" w:cs="Times New Roman" w:eastAsia="Times New Roman" w:hint="default"/>
                <w:sz w:val="18"/>
                <w:szCs w:val="18"/>
              </w:rPr>
            </w:pPr>
            <w:r>
              <w:rPr>
                <w:rFonts w:ascii="Times New Roman"/>
                <w:sz w:val="18"/>
              </w:rPr>
              <w:t>11,192,691</w:t>
            </w:r>
          </w:p>
        </w:tc>
        <w:tc>
          <w:tcPr>
            <w:tcW w:w="974" w:type="dxa"/>
            <w:tcBorders>
              <w:top w:val="nil" w:sz="6" w:space="0" w:color="auto"/>
              <w:left w:val="nil" w:sz="6" w:space="0" w:color="auto"/>
              <w:bottom w:val="single" w:sz="8" w:space="0" w:color="000000"/>
              <w:right w:val="nil" w:sz="6" w:space="0" w:color="auto"/>
            </w:tcBorders>
          </w:tcPr>
          <w:p>
            <w:pPr>
              <w:pStyle w:val="TableParagraph"/>
              <w:spacing w:line="240" w:lineRule="auto" w:before="92"/>
              <w:ind w:right="220"/>
              <w:jc w:val="right"/>
              <w:rPr>
                <w:rFonts w:ascii="Times New Roman" w:hAnsi="Times New Roman" w:cs="Times New Roman" w:eastAsia="Times New Roman" w:hint="default"/>
                <w:sz w:val="18"/>
                <w:szCs w:val="18"/>
              </w:rPr>
            </w:pPr>
            <w:r>
              <w:rPr>
                <w:rFonts w:ascii="Times New Roman"/>
                <w:sz w:val="18"/>
              </w:rPr>
              <w:t>100.00</w:t>
            </w:r>
          </w:p>
        </w:tc>
        <w:tc>
          <w:tcPr>
            <w:tcW w:w="1339" w:type="dxa"/>
            <w:tcBorders>
              <w:top w:val="nil" w:sz="6" w:space="0" w:color="auto"/>
              <w:left w:val="nil" w:sz="6" w:space="0" w:color="auto"/>
              <w:bottom w:val="single" w:sz="8" w:space="0" w:color="000000"/>
              <w:right w:val="nil" w:sz="6" w:space="0" w:color="auto"/>
            </w:tcBorders>
          </w:tcPr>
          <w:p>
            <w:pPr>
              <w:pStyle w:val="TableParagraph"/>
              <w:spacing w:line="240" w:lineRule="auto" w:before="92"/>
              <w:ind w:right="246"/>
              <w:jc w:val="right"/>
              <w:rPr>
                <w:rFonts w:ascii="Times New Roman" w:hAnsi="Times New Roman" w:cs="Times New Roman" w:eastAsia="Times New Roman" w:hint="default"/>
                <w:sz w:val="18"/>
                <w:szCs w:val="18"/>
              </w:rPr>
            </w:pPr>
            <w:r>
              <w:rPr>
                <w:rFonts w:ascii="Times New Roman"/>
                <w:spacing w:val="-1"/>
                <w:sz w:val="18"/>
              </w:rPr>
              <w:t>11,192,691</w:t>
            </w:r>
          </w:p>
        </w:tc>
        <w:tc>
          <w:tcPr>
            <w:tcW w:w="1520" w:type="dxa"/>
            <w:tcBorders>
              <w:top w:val="nil" w:sz="6" w:space="0" w:color="auto"/>
              <w:left w:val="nil" w:sz="6" w:space="0" w:color="auto"/>
              <w:bottom w:val="single" w:sz="8" w:space="0" w:color="000000"/>
              <w:right w:val="nil" w:sz="6" w:space="0" w:color="auto"/>
            </w:tcBorders>
          </w:tcPr>
          <w:p>
            <w:pPr>
              <w:pStyle w:val="TableParagraph"/>
              <w:spacing w:line="240" w:lineRule="auto" w:before="92"/>
              <w:ind w:left="286" w:right="0"/>
              <w:jc w:val="left"/>
              <w:rPr>
                <w:rFonts w:ascii="Times New Roman" w:hAnsi="Times New Roman" w:cs="Times New Roman" w:eastAsia="Times New Roman" w:hint="default"/>
                <w:sz w:val="18"/>
                <w:szCs w:val="18"/>
              </w:rPr>
            </w:pPr>
            <w:r>
              <w:rPr>
                <w:rFonts w:ascii="Times New Roman"/>
                <w:sz w:val="18"/>
              </w:rPr>
              <w:t>6,706,275</w:t>
            </w:r>
          </w:p>
        </w:tc>
        <w:tc>
          <w:tcPr>
            <w:tcW w:w="1062" w:type="dxa"/>
            <w:tcBorders>
              <w:top w:val="nil" w:sz="6" w:space="0" w:color="auto"/>
              <w:left w:val="nil" w:sz="6" w:space="0" w:color="auto"/>
              <w:bottom w:val="single" w:sz="8" w:space="0" w:color="000000"/>
              <w:right w:val="nil" w:sz="6" w:space="0" w:color="auto"/>
            </w:tcBorders>
          </w:tcPr>
          <w:p>
            <w:pPr>
              <w:pStyle w:val="TableParagraph"/>
              <w:spacing w:line="240" w:lineRule="auto" w:before="92"/>
              <w:ind w:right="174"/>
              <w:jc w:val="right"/>
              <w:rPr>
                <w:rFonts w:ascii="Times New Roman" w:hAnsi="Times New Roman" w:cs="Times New Roman" w:eastAsia="Times New Roman" w:hint="default"/>
                <w:sz w:val="18"/>
                <w:szCs w:val="18"/>
              </w:rPr>
            </w:pPr>
            <w:r>
              <w:rPr>
                <w:rFonts w:ascii="Times New Roman"/>
                <w:sz w:val="18"/>
              </w:rPr>
              <w:t>100.00</w:t>
            </w:r>
          </w:p>
        </w:tc>
        <w:tc>
          <w:tcPr>
            <w:tcW w:w="1061" w:type="dxa"/>
            <w:tcBorders>
              <w:top w:val="nil" w:sz="6" w:space="0" w:color="auto"/>
              <w:left w:val="nil" w:sz="6" w:space="0" w:color="auto"/>
              <w:bottom w:val="single" w:sz="8" w:space="0" w:color="000000"/>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z w:val="18"/>
              </w:rPr>
              <w:t>6,706,275</w:t>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tabs>
          <w:tab w:pos="1413" w:val="left" w:leader="none"/>
        </w:tabs>
        <w:spacing w:before="35"/>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本报告期无实际核销的其他应收款；</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1413"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tab/>
        <w:t>期末其他应收款中无持本公司</w:t>
      </w:r>
      <w:r>
        <w:rPr>
          <w:rFonts w:ascii="宋体" w:hAnsi="宋体" w:cs="宋体" w:eastAsia="宋体" w:hint="default"/>
          <w:spacing w:val="-43"/>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％以上（含</w:t>
      </w:r>
      <w:r>
        <w:rPr>
          <w:rFonts w:ascii="宋体" w:hAnsi="宋体" w:cs="宋体" w:eastAsia="宋体" w:hint="default"/>
          <w:spacing w:val="-43"/>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％）表决权股份的股东单位欠款；</w:t>
      </w:r>
    </w:p>
    <w:p>
      <w:pPr>
        <w:spacing w:after="0"/>
        <w:jc w:val="left"/>
        <w:rPr>
          <w:rFonts w:ascii="宋体" w:hAnsi="宋体" w:cs="宋体" w:eastAsia="宋体" w:hint="default"/>
          <w:sz w:val="21"/>
          <w:szCs w:val="21"/>
        </w:rPr>
        <w:sectPr>
          <w:pgSz w:w="11900" w:h="16840"/>
          <w:pgMar w:header="883" w:footer="1003" w:top="1540" w:bottom="1200" w:left="1300" w:right="1120"/>
        </w:sectPr>
      </w:pPr>
    </w:p>
    <w:p>
      <w:pPr>
        <w:spacing w:line="240" w:lineRule="auto" w:before="10"/>
        <w:rPr>
          <w:rFonts w:ascii="宋体" w:hAnsi="宋体" w:cs="宋体" w:eastAsia="宋体" w:hint="default"/>
          <w:sz w:val="8"/>
          <w:szCs w:val="8"/>
        </w:rPr>
      </w:pPr>
    </w:p>
    <w:p>
      <w:pPr>
        <w:tabs>
          <w:tab w:pos="1413" w:val="left" w:leader="none"/>
        </w:tabs>
        <w:spacing w:before="35"/>
        <w:ind w:left="857" w:right="0" w:firstLine="0"/>
        <w:jc w:val="left"/>
        <w:rPr>
          <w:rFonts w:ascii="宋体" w:hAnsi="宋体" w:cs="宋体" w:eastAsia="宋体" w:hint="default"/>
          <w:sz w:val="21"/>
          <w:szCs w:val="21"/>
        </w:rPr>
      </w:pPr>
      <w:r>
        <w:rPr/>
        <w:pict>
          <v:group style="position:absolute;margin-left:102.000023pt;margin-top:17.133995pt;width:429.7pt;height:164.05pt;mso-position-horizontal-relative:page;mso-position-vertical-relative:paragraph;z-index:-991792" coordorigin="2040,343" coordsize="8594,3281">
            <v:group style="position:absolute;left:2050;top:352;width:1012;height:2" coordorigin="2050,352" coordsize="1012,2">
              <v:shape style="position:absolute;left:2050;top:352;width:1012;height:2" coordorigin="2050,352" coordsize="1012,0" path="m2050,352l3061,352e" filled="false" stroked="true" strokeweight=".95996pt" strokecolor="#000000">
                <v:path arrowok="t"/>
              </v:shape>
            </v:group>
            <v:group style="position:absolute;left:3061;top:352;width:1192;height:2" coordorigin="3061,352" coordsize="1192,2">
              <v:shape style="position:absolute;left:3061;top:352;width:1192;height:2" coordorigin="3061,352" coordsize="1192,0" path="m3061,352l4253,352e" filled="false" stroked="true" strokeweight=".95996pt" strokecolor="#000000">
                <v:path arrowok="t"/>
              </v:shape>
            </v:group>
            <v:group style="position:absolute;left:4253;top:352;width:1132;height:2" coordorigin="4253,352" coordsize="1132,2">
              <v:shape style="position:absolute;left:4253;top:352;width:1132;height:2" coordorigin="4253,352" coordsize="1132,0" path="m4253,352l5384,352e" filled="false" stroked="true" strokeweight=".95996pt" strokecolor="#000000">
                <v:path arrowok="t"/>
              </v:shape>
            </v:group>
            <v:group style="position:absolute;left:5384;top:352;width:891;height:2" coordorigin="5384,352" coordsize="891,2">
              <v:shape style="position:absolute;left:5384;top:352;width:891;height:2" coordorigin="5384,352" coordsize="891,0" path="m5384,352l6275,352e" filled="false" stroked="true" strokeweight=".95996pt" strokecolor="#000000">
                <v:path arrowok="t"/>
              </v:shape>
            </v:group>
            <v:group style="position:absolute;left:6275;top:352;width:2132;height:2" coordorigin="6275,352" coordsize="2132,2">
              <v:shape style="position:absolute;left:6275;top:352;width:2132;height:2" coordorigin="6275,352" coordsize="2132,0" path="m6275,352l8406,352e" filled="false" stroked="true" strokeweight=".95996pt" strokecolor="#000000">
                <v:path arrowok="t"/>
              </v:shape>
            </v:group>
            <v:group style="position:absolute;left:8406;top:352;width:2216;height:2" coordorigin="8406,352" coordsize="2216,2">
              <v:shape style="position:absolute;left:8406;top:352;width:2216;height:2" coordorigin="8406,352" coordsize="2216,0" path="m8406,352l10621,352e" filled="false" stroked="true" strokeweight=".95996pt" strokecolor="#000000">
                <v:path arrowok="t"/>
              </v:shape>
              <v:shape style="position:absolute;left:2050;top:362;width:8584;height:3262" type="#_x0000_t75" stroked="false">
                <v:imagedata r:id="rId59" o:title=""/>
              </v:shape>
              <v:shape style="position:absolute;left:6355;top:555;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占其他应收款总额的比例</w:t>
                      </w:r>
                    </w:p>
                  </w:txbxContent>
                </v:textbox>
                <w10:wrap type="none"/>
              </v:shape>
              <v:shape style="position:absolute;left:2107;top:754;width:209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债务人排名</w:t>
                      </w:r>
                      <w:r>
                        <w:rPr>
                          <w:rFonts w:ascii="宋体" w:hAnsi="宋体" w:cs="宋体" w:eastAsia="宋体" w:hint="default"/>
                          <w:spacing w:val="24"/>
                          <w:sz w:val="18"/>
                          <w:szCs w:val="18"/>
                        </w:rPr>
                        <w:t> </w:t>
                      </w:r>
                      <w:r>
                        <w:rPr>
                          <w:rFonts w:ascii="宋体" w:hAnsi="宋体" w:cs="宋体" w:eastAsia="宋体" w:hint="default"/>
                          <w:sz w:val="18"/>
                          <w:szCs w:val="18"/>
                        </w:rPr>
                        <w:t>与本公司关系</w:t>
                      </w:r>
                    </w:p>
                  </w:txbxContent>
                </v:textbox>
                <w10:wrap type="none"/>
              </v:shape>
              <v:shape style="position:absolute;left:4643;top:75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5654;top:75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年限</w:t>
                      </w:r>
                    </w:p>
                  </w:txbxContent>
                </v:textbox>
                <w10:wrap type="none"/>
              </v:shape>
              <v:shape style="position:absolute;left:9070;top:75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性质或内容</w:t>
                      </w:r>
                    </w:p>
                  </w:txbxContent>
                </v:textbox>
                <w10:wrap type="none"/>
              </v:shape>
            </v:group>
            <w10:wrap type="none"/>
          </v:group>
        </w:pic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w:t>
        <w:tab/>
        <w:t>其他应收款金额前五名情况</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tbl>
      <w:tblPr>
        <w:tblW w:w="0" w:type="auto"/>
        <w:jc w:val="left"/>
        <w:tblInd w:w="735" w:type="dxa"/>
        <w:tblLayout w:type="fixed"/>
        <w:tblCellMar>
          <w:top w:w="0" w:type="dxa"/>
          <w:left w:w="0" w:type="dxa"/>
          <w:bottom w:w="0" w:type="dxa"/>
          <w:right w:w="0" w:type="dxa"/>
        </w:tblCellMar>
        <w:tblLook w:val="01E0"/>
      </w:tblPr>
      <w:tblGrid>
        <w:gridCol w:w="1055"/>
        <w:gridCol w:w="1091"/>
        <w:gridCol w:w="1207"/>
        <w:gridCol w:w="1302"/>
        <w:gridCol w:w="998"/>
        <w:gridCol w:w="763"/>
        <w:gridCol w:w="2176"/>
      </w:tblGrid>
      <w:tr>
        <w:trPr>
          <w:trHeight w:val="298" w:hRule="exact"/>
        </w:trPr>
        <w:tc>
          <w:tcPr>
            <w:tcW w:w="4656" w:type="dxa"/>
            <w:gridSpan w:val="4"/>
            <w:tcBorders>
              <w:top w:val="nil" w:sz="6" w:space="0" w:color="auto"/>
              <w:left w:val="nil" w:sz="6" w:space="0" w:color="auto"/>
              <w:bottom w:val="nil" w:sz="6" w:space="0" w:color="auto"/>
              <w:right w:val="nil" w:sz="6" w:space="0" w:color="auto"/>
            </w:tcBorders>
          </w:tcPr>
          <w:p>
            <w:pPr/>
          </w:p>
        </w:tc>
        <w:tc>
          <w:tcPr>
            <w:tcW w:w="998" w:type="dxa"/>
            <w:tcBorders>
              <w:top w:val="nil" w:sz="6" w:space="0" w:color="auto"/>
              <w:left w:val="nil" w:sz="6" w:space="0" w:color="auto"/>
              <w:bottom w:val="nil" w:sz="6" w:space="0" w:color="auto"/>
              <w:right w:val="nil" w:sz="6" w:space="0" w:color="auto"/>
            </w:tcBorders>
          </w:tcPr>
          <w:p>
            <w:pPr>
              <w:pStyle w:val="TableParagraph"/>
              <w:spacing w:line="197" w:lineRule="exact"/>
              <w:ind w:left="519" w:right="0"/>
              <w:jc w:val="left"/>
              <w:rPr>
                <w:rFonts w:ascii="Times New Roman" w:hAnsi="Times New Roman" w:cs="Times New Roman" w:eastAsia="Times New Roman" w:hint="default"/>
                <w:sz w:val="18"/>
                <w:szCs w:val="18"/>
              </w:rPr>
            </w:pPr>
            <w:r>
              <w:rPr>
                <w:rFonts w:ascii="Times New Roman"/>
                <w:sz w:val="18"/>
              </w:rPr>
              <w:t>(%)</w:t>
            </w:r>
          </w:p>
        </w:tc>
        <w:tc>
          <w:tcPr>
            <w:tcW w:w="2939" w:type="dxa"/>
            <w:gridSpan w:val="2"/>
            <w:tcBorders>
              <w:top w:val="nil" w:sz="6" w:space="0" w:color="auto"/>
              <w:left w:val="nil" w:sz="6" w:space="0" w:color="auto"/>
              <w:bottom w:val="nil" w:sz="6" w:space="0" w:color="auto"/>
              <w:right w:val="nil" w:sz="6" w:space="0" w:color="auto"/>
            </w:tcBorders>
          </w:tcPr>
          <w:p>
            <w:pPr/>
          </w:p>
        </w:tc>
      </w:tr>
      <w:tr>
        <w:trPr>
          <w:trHeight w:val="410" w:hRule="exact"/>
        </w:trPr>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83"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10,399,109</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998" w:type="dxa"/>
            <w:tcBorders>
              <w:top w:val="nil" w:sz="6" w:space="0" w:color="auto"/>
              <w:left w:val="nil" w:sz="6" w:space="0" w:color="auto"/>
              <w:bottom w:val="nil" w:sz="6" w:space="0" w:color="auto"/>
              <w:right w:val="nil" w:sz="6" w:space="0" w:color="auto"/>
            </w:tcBorders>
          </w:tcPr>
          <w:p>
            <w:pPr/>
          </w:p>
        </w:tc>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6"/>
              <w:jc w:val="right"/>
              <w:rPr>
                <w:rFonts w:ascii="Times New Roman" w:hAnsi="Times New Roman" w:cs="Times New Roman" w:eastAsia="Times New Roman" w:hint="default"/>
                <w:sz w:val="18"/>
                <w:szCs w:val="18"/>
              </w:rPr>
            </w:pPr>
            <w:r>
              <w:rPr>
                <w:rFonts w:ascii="Times New Roman"/>
                <w:sz w:val="18"/>
              </w:rPr>
              <w:t>8.80</w:t>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宋体" w:hAnsi="宋体" w:cs="宋体" w:eastAsia="宋体" w:hint="default"/>
                <w:sz w:val="18"/>
                <w:szCs w:val="18"/>
              </w:rPr>
            </w:pPr>
            <w:r>
              <w:rPr>
                <w:rFonts w:ascii="宋体" w:hAnsi="宋体" w:cs="宋体" w:eastAsia="宋体" w:hint="default"/>
                <w:sz w:val="18"/>
                <w:szCs w:val="18"/>
              </w:rPr>
              <w:t>工程款</w:t>
            </w:r>
          </w:p>
        </w:tc>
      </w:tr>
      <w:tr>
        <w:trPr>
          <w:trHeight w:val="410" w:hRule="exact"/>
        </w:trPr>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83"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5,162,739</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98" w:type="dxa"/>
            <w:tcBorders>
              <w:top w:val="nil" w:sz="6" w:space="0" w:color="auto"/>
              <w:left w:val="nil" w:sz="6" w:space="0" w:color="auto"/>
              <w:bottom w:val="nil" w:sz="6" w:space="0" w:color="auto"/>
              <w:right w:val="nil" w:sz="6" w:space="0" w:color="auto"/>
            </w:tcBorders>
          </w:tcPr>
          <w:p>
            <w:pPr/>
          </w:p>
        </w:tc>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6"/>
              <w:jc w:val="right"/>
              <w:rPr>
                <w:rFonts w:ascii="Times New Roman" w:hAnsi="Times New Roman" w:cs="Times New Roman" w:eastAsia="Times New Roman" w:hint="default"/>
                <w:sz w:val="18"/>
                <w:szCs w:val="18"/>
              </w:rPr>
            </w:pPr>
            <w:r>
              <w:rPr>
                <w:rFonts w:ascii="Times New Roman"/>
                <w:sz w:val="18"/>
              </w:rPr>
              <w:t>4.37</w:t>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宋体" w:hAnsi="宋体" w:cs="宋体" w:eastAsia="宋体" w:hint="default"/>
                <w:sz w:val="18"/>
                <w:szCs w:val="18"/>
              </w:rPr>
              <w:t>应收分期股权转让款</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r>
      <w:tr>
        <w:trPr>
          <w:trHeight w:val="410" w:hRule="exact"/>
        </w:trPr>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83"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5,162,739</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98" w:type="dxa"/>
            <w:tcBorders>
              <w:top w:val="nil" w:sz="6" w:space="0" w:color="auto"/>
              <w:left w:val="nil" w:sz="6" w:space="0" w:color="auto"/>
              <w:bottom w:val="nil" w:sz="6" w:space="0" w:color="auto"/>
              <w:right w:val="nil" w:sz="6" w:space="0" w:color="auto"/>
            </w:tcBorders>
          </w:tcPr>
          <w:p>
            <w:pPr/>
          </w:p>
        </w:tc>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6"/>
              <w:jc w:val="right"/>
              <w:rPr>
                <w:rFonts w:ascii="Times New Roman" w:hAnsi="Times New Roman" w:cs="Times New Roman" w:eastAsia="Times New Roman" w:hint="default"/>
                <w:sz w:val="18"/>
                <w:szCs w:val="18"/>
              </w:rPr>
            </w:pPr>
            <w:r>
              <w:rPr>
                <w:rFonts w:ascii="Times New Roman"/>
                <w:sz w:val="18"/>
              </w:rPr>
              <w:t>4.37</w:t>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Times New Roman" w:hAnsi="Times New Roman" w:cs="Times New Roman" w:eastAsia="Times New Roman" w:hint="default"/>
                <w:sz w:val="18"/>
                <w:szCs w:val="18"/>
              </w:rPr>
            </w:pPr>
            <w:r>
              <w:rPr>
                <w:rFonts w:ascii="宋体" w:hAnsi="宋体" w:cs="宋体" w:eastAsia="宋体" w:hint="default"/>
                <w:sz w:val="18"/>
                <w:szCs w:val="18"/>
              </w:rPr>
              <w:t>应收分期股权转让款</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r>
      <w:tr>
        <w:trPr>
          <w:trHeight w:val="410" w:hRule="exact"/>
        </w:trPr>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83"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5,162,739</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98" w:type="dxa"/>
            <w:tcBorders>
              <w:top w:val="nil" w:sz="6" w:space="0" w:color="auto"/>
              <w:left w:val="nil" w:sz="6" w:space="0" w:color="auto"/>
              <w:bottom w:val="nil" w:sz="6" w:space="0" w:color="auto"/>
              <w:right w:val="nil" w:sz="6" w:space="0" w:color="auto"/>
            </w:tcBorders>
          </w:tcPr>
          <w:p>
            <w:pPr/>
          </w:p>
        </w:tc>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6"/>
              <w:jc w:val="right"/>
              <w:rPr>
                <w:rFonts w:ascii="Times New Roman" w:hAnsi="Times New Roman" w:cs="Times New Roman" w:eastAsia="Times New Roman" w:hint="default"/>
                <w:sz w:val="18"/>
                <w:szCs w:val="18"/>
              </w:rPr>
            </w:pPr>
            <w:r>
              <w:rPr>
                <w:rFonts w:ascii="Times New Roman"/>
                <w:sz w:val="18"/>
              </w:rPr>
              <w:t>4.37</w:t>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宋体" w:hAnsi="宋体" w:cs="宋体" w:eastAsia="宋体" w:hint="default"/>
                <w:sz w:val="18"/>
                <w:szCs w:val="18"/>
              </w:rPr>
              <w:t>应收分期股权转让款</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r>
      <w:tr>
        <w:trPr>
          <w:trHeight w:val="410" w:hRule="exact"/>
        </w:trPr>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83"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5,162,739</w:t>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98" w:type="dxa"/>
            <w:tcBorders>
              <w:top w:val="nil" w:sz="6" w:space="0" w:color="auto"/>
              <w:left w:val="nil" w:sz="6" w:space="0" w:color="auto"/>
              <w:bottom w:val="nil" w:sz="6" w:space="0" w:color="auto"/>
              <w:right w:val="nil" w:sz="6" w:space="0" w:color="auto"/>
            </w:tcBorders>
          </w:tcPr>
          <w:p>
            <w:pPr/>
          </w:p>
        </w:tc>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6"/>
              <w:jc w:val="right"/>
              <w:rPr>
                <w:rFonts w:ascii="Times New Roman" w:hAnsi="Times New Roman" w:cs="Times New Roman" w:eastAsia="Times New Roman" w:hint="default"/>
                <w:sz w:val="18"/>
                <w:szCs w:val="18"/>
              </w:rPr>
            </w:pPr>
            <w:r>
              <w:rPr>
                <w:rFonts w:ascii="Times New Roman"/>
                <w:sz w:val="18"/>
              </w:rPr>
              <w:t>4.37</w:t>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宋体" w:hAnsi="宋体" w:cs="宋体" w:eastAsia="宋体" w:hint="default"/>
                <w:sz w:val="18"/>
                <w:szCs w:val="18"/>
              </w:rPr>
              <w:t>应收分期股权转让款</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r>
      <w:tr>
        <w:trPr>
          <w:trHeight w:val="324" w:hRule="exact"/>
        </w:trPr>
        <w:tc>
          <w:tcPr>
            <w:tcW w:w="1055" w:type="dxa"/>
            <w:tcBorders>
              <w:top w:val="nil" w:sz="6" w:space="0" w:color="auto"/>
              <w:left w:val="nil" w:sz="6" w:space="0" w:color="auto"/>
              <w:bottom w:val="single" w:sz="8" w:space="0" w:color="000000"/>
              <w:right w:val="nil" w:sz="6" w:space="0" w:color="auto"/>
            </w:tcBorders>
          </w:tcPr>
          <w:p>
            <w:pPr>
              <w:pStyle w:val="TableParagraph"/>
              <w:spacing w:line="240" w:lineRule="auto" w:before="49"/>
              <w:ind w:left="161" w:right="0"/>
              <w:jc w:val="left"/>
              <w:rPr>
                <w:rFonts w:ascii="宋体" w:hAnsi="宋体" w:cs="宋体" w:eastAsia="宋体" w:hint="default"/>
                <w:sz w:val="18"/>
                <w:szCs w:val="18"/>
              </w:rPr>
            </w:pPr>
            <w:r>
              <w:rPr>
                <w:rFonts w:ascii="宋体" w:hAnsi="宋体" w:cs="宋体" w:eastAsia="宋体" w:hint="default"/>
                <w:sz w:val="18"/>
                <w:szCs w:val="18"/>
              </w:rPr>
              <w:t>合    计 </w:t>
            </w:r>
          </w:p>
        </w:tc>
        <w:tc>
          <w:tcPr>
            <w:tcW w:w="1091" w:type="dxa"/>
            <w:tcBorders>
              <w:top w:val="nil" w:sz="6" w:space="0" w:color="auto"/>
              <w:left w:val="nil" w:sz="6" w:space="0" w:color="auto"/>
              <w:bottom w:val="single" w:sz="8" w:space="0" w:color="000000"/>
              <w:right w:val="nil" w:sz="6" w:space="0" w:color="auto"/>
            </w:tcBorders>
          </w:tcPr>
          <w:p>
            <w:pPr/>
          </w:p>
        </w:tc>
        <w:tc>
          <w:tcPr>
            <w:tcW w:w="1207"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31,050,065</w:t>
            </w:r>
          </w:p>
        </w:tc>
        <w:tc>
          <w:tcPr>
            <w:tcW w:w="1302" w:type="dxa"/>
            <w:tcBorders>
              <w:top w:val="nil" w:sz="6" w:space="0" w:color="auto"/>
              <w:left w:val="nil" w:sz="6" w:space="0" w:color="auto"/>
              <w:bottom w:val="single" w:sz="8" w:space="0" w:color="000000"/>
              <w:right w:val="nil" w:sz="6" w:space="0" w:color="auto"/>
            </w:tcBorders>
          </w:tcPr>
          <w:p>
            <w:pPr/>
          </w:p>
        </w:tc>
        <w:tc>
          <w:tcPr>
            <w:tcW w:w="998" w:type="dxa"/>
            <w:tcBorders>
              <w:top w:val="nil" w:sz="6" w:space="0" w:color="auto"/>
              <w:left w:val="nil" w:sz="6" w:space="0" w:color="auto"/>
              <w:bottom w:val="single" w:sz="8" w:space="0" w:color="000000"/>
              <w:right w:val="nil" w:sz="6" w:space="0" w:color="auto"/>
            </w:tcBorders>
          </w:tcPr>
          <w:p>
            <w:pPr/>
          </w:p>
        </w:tc>
        <w:tc>
          <w:tcPr>
            <w:tcW w:w="763"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46"/>
              <w:jc w:val="right"/>
              <w:rPr>
                <w:rFonts w:ascii="Times New Roman" w:hAnsi="Times New Roman" w:cs="Times New Roman" w:eastAsia="Times New Roman" w:hint="default"/>
                <w:sz w:val="18"/>
                <w:szCs w:val="18"/>
              </w:rPr>
            </w:pPr>
            <w:r>
              <w:rPr>
                <w:rFonts w:ascii="Times New Roman"/>
                <w:sz w:val="18"/>
              </w:rPr>
              <w:t>26.28</w:t>
            </w:r>
          </w:p>
        </w:tc>
        <w:tc>
          <w:tcPr>
            <w:tcW w:w="2176" w:type="dxa"/>
            <w:tcBorders>
              <w:top w:val="nil" w:sz="6" w:space="0" w:color="auto"/>
              <w:left w:val="nil" w:sz="6" w:space="0" w:color="auto"/>
              <w:bottom w:val="single" w:sz="8" w:space="0" w:color="000000"/>
              <w:right w:val="nil" w:sz="6" w:space="0" w:color="auto"/>
            </w:tcBorders>
          </w:tcPr>
          <w:p>
            <w:pPr/>
          </w:p>
        </w:tc>
      </w:tr>
    </w:tbl>
    <w:p>
      <w:pPr>
        <w:spacing w:line="328" w:lineRule="auto" w:before="83"/>
        <w:ind w:left="857" w:right="135"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注：</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月，本公司之全资子公司北京东软超越软件技术有限公司和西安东软系统集成 工程有限公司分别将其持有的占沈阳东软系统集成工程有限公司注册资本 </w:t>
      </w:r>
      <w:r>
        <w:rPr>
          <w:rFonts w:ascii="Times New Roman" w:hAnsi="Times New Roman" w:cs="Times New Roman" w:eastAsia="Times New Roman" w:hint="default"/>
          <w:sz w:val="21"/>
          <w:szCs w:val="21"/>
        </w:rPr>
        <w:t>89.09%</w:t>
      </w:r>
      <w:r>
        <w:rPr>
          <w:rFonts w:ascii="宋体" w:hAnsi="宋体" w:cs="宋体" w:eastAsia="宋体" w:hint="default"/>
          <w:sz w:val="21"/>
          <w:szCs w:val="21"/>
        </w:rPr>
        <w:t>和</w:t>
      </w:r>
      <w:r>
        <w:rPr>
          <w:rFonts w:ascii="宋体" w:hAnsi="宋体" w:cs="宋体" w:eastAsia="宋体" w:hint="default"/>
          <w:spacing w:val="9"/>
          <w:sz w:val="21"/>
          <w:szCs w:val="21"/>
        </w:rPr>
        <w:t> </w:t>
      </w:r>
      <w:r>
        <w:rPr>
          <w:rFonts w:ascii="Times New Roman" w:hAnsi="Times New Roman" w:cs="Times New Roman" w:eastAsia="Times New Roman" w:hint="default"/>
          <w:sz w:val="21"/>
          <w:szCs w:val="21"/>
        </w:rPr>
        <w:t>10.91%</w:t>
      </w:r>
    </w:p>
    <w:p>
      <w:pPr>
        <w:spacing w:before="23"/>
        <w:ind w:left="857" w:right="0" w:firstLine="0"/>
        <w:jc w:val="left"/>
        <w:rPr>
          <w:rFonts w:ascii="宋体" w:hAnsi="宋体" w:cs="宋体" w:eastAsia="宋体" w:hint="default"/>
          <w:sz w:val="21"/>
          <w:szCs w:val="21"/>
        </w:rPr>
      </w:pPr>
      <w:r>
        <w:rPr>
          <w:rFonts w:ascii="宋体" w:hAnsi="宋体" w:cs="宋体" w:eastAsia="宋体" w:hint="default"/>
          <w:sz w:val="21"/>
          <w:szCs w:val="21"/>
        </w:rPr>
        <w:t>的股权分别转让给五个自然人，股权转让价以沈阳东软系统集成工程有限公司</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月末</w:t>
      </w:r>
    </w:p>
    <w:p>
      <w:pPr>
        <w:spacing w:before="110"/>
        <w:ind w:left="857" w:right="0" w:firstLine="0"/>
        <w:jc w:val="left"/>
        <w:rPr>
          <w:rFonts w:ascii="宋体" w:hAnsi="宋体" w:cs="宋体" w:eastAsia="宋体" w:hint="default"/>
          <w:sz w:val="21"/>
          <w:szCs w:val="21"/>
        </w:rPr>
      </w:pPr>
      <w:r>
        <w:rPr>
          <w:rFonts w:ascii="宋体" w:hAnsi="宋体" w:cs="宋体" w:eastAsia="宋体" w:hint="default"/>
          <w:sz w:val="21"/>
          <w:szCs w:val="21"/>
        </w:rPr>
        <w:t>评估值为依据确定，合计</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4,072.84</w:t>
      </w:r>
      <w:r>
        <w:rPr>
          <w:rFonts w:ascii="Times New Roman" w:hAnsi="Times New Roman" w:cs="Times New Roman" w:eastAsia="Times New Roman" w:hint="default"/>
          <w:spacing w:val="-6"/>
          <w:sz w:val="21"/>
          <w:szCs w:val="21"/>
        </w:rPr>
        <w:t> </w:t>
      </w:r>
      <w:r>
        <w:rPr>
          <w:rFonts w:ascii="宋体" w:hAnsi="宋体" w:cs="宋体" w:eastAsia="宋体" w:hint="default"/>
          <w:spacing w:val="-4"/>
          <w:sz w:val="21"/>
          <w:szCs w:val="21"/>
        </w:rPr>
        <w:t>万元。截至</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日，该股权转让款应收五个自</w:t>
      </w:r>
    </w:p>
    <w:p>
      <w:pPr>
        <w:spacing w:before="109"/>
        <w:ind w:left="857" w:right="0" w:firstLine="0"/>
        <w:jc w:val="left"/>
        <w:rPr>
          <w:rFonts w:ascii="宋体" w:hAnsi="宋体" w:cs="宋体" w:eastAsia="宋体" w:hint="default"/>
          <w:sz w:val="21"/>
          <w:szCs w:val="21"/>
        </w:rPr>
      </w:pPr>
      <w:r>
        <w:rPr>
          <w:rFonts w:ascii="宋体" w:hAnsi="宋体" w:cs="宋体" w:eastAsia="宋体" w:hint="default"/>
          <w:sz w:val="21"/>
          <w:szCs w:val="21"/>
        </w:rPr>
        <w:t>然人（含上述第二名至第五名债务人）余额合计</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2,300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396"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sz w:val="21"/>
          <w:szCs w:val="21"/>
        </w:rPr>
        <w:t>、</w:t>
        <w:tab/>
        <w:t>本报告期无应收关联方账款情况；</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1413"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sz w:val="21"/>
          <w:szCs w:val="21"/>
        </w:rPr>
        <w:t>、</w:t>
        <w:tab/>
        <w:t>本报告期无终止确认其他应收款项的情况。</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853" w:val="left" w:leader="none"/>
        </w:tabs>
        <w:spacing w:before="0"/>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六</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预付款项</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396" w:val="left" w:leader="none"/>
        </w:tabs>
        <w:spacing w:before="0"/>
        <w:ind w:left="857" w:right="0" w:firstLine="0"/>
        <w:jc w:val="left"/>
        <w:rPr>
          <w:rFonts w:ascii="宋体" w:hAnsi="宋体" w:cs="宋体" w:eastAsia="宋体" w:hint="default"/>
          <w:sz w:val="21"/>
          <w:szCs w:val="21"/>
        </w:rPr>
      </w:pPr>
      <w:r>
        <w:rPr/>
        <w:pict>
          <v:group style="position:absolute;margin-left:102.089996pt;margin-top:15.32233pt;width:430.1pt;height:144.5pt;mso-position-horizontal-relative:page;mso-position-vertical-relative:paragraph;z-index:-991720" coordorigin="2042,306" coordsize="8602,2890">
            <v:group style="position:absolute;left:2057;top:321;width:8572;height:2" coordorigin="2057,321" coordsize="8572,2">
              <v:shape style="position:absolute;left:2057;top:321;width:8572;height:2" coordorigin="2057,321" coordsize="8572,0" path="m2057,321l10628,321e" filled="false" stroked="true" strokeweight="1.5pt" strokecolor="#000000">
                <v:path arrowok="t"/>
              </v:shape>
              <v:shape style="position:absolute;left:2050;top:336;width:8591;height:2860" type="#_x0000_t75" stroked="false">
                <v:imagedata r:id="rId60" o:title=""/>
              </v:shape>
              <v:shape style="position:absolute;left:5482;top:494;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期末金额</w:t>
                      </w:r>
                    </w:p>
                  </w:txbxContent>
                </v:textbox>
                <w10:wrap type="none"/>
              </v:shape>
              <v:shape style="position:absolute;left:8662;top:494;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期初金额</w:t>
                      </w:r>
                    </w:p>
                  </w:txbxContent>
                </v:textbox>
                <w10:wrap type="none"/>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预付款项按账龄列示</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0"/>
          <w:szCs w:val="10"/>
        </w:rPr>
      </w:pPr>
    </w:p>
    <w:tbl>
      <w:tblPr>
        <w:tblW w:w="0" w:type="auto"/>
        <w:jc w:val="left"/>
        <w:tblInd w:w="735" w:type="dxa"/>
        <w:tblLayout w:type="fixed"/>
        <w:tblCellMar>
          <w:top w:w="0" w:type="dxa"/>
          <w:left w:w="0" w:type="dxa"/>
          <w:bottom w:w="0" w:type="dxa"/>
          <w:right w:w="0" w:type="dxa"/>
        </w:tblCellMar>
        <w:tblLook w:val="01E0"/>
      </w:tblPr>
      <w:tblGrid>
        <w:gridCol w:w="1073"/>
        <w:gridCol w:w="210"/>
        <w:gridCol w:w="958"/>
        <w:gridCol w:w="2092"/>
        <w:gridCol w:w="1410"/>
        <w:gridCol w:w="1673"/>
        <w:gridCol w:w="1184"/>
      </w:tblGrid>
      <w:tr>
        <w:trPr>
          <w:trHeight w:val="536" w:hRule="exact"/>
        </w:trPr>
        <w:tc>
          <w:tcPr>
            <w:tcW w:w="1073" w:type="dxa"/>
            <w:tcBorders>
              <w:top w:val="nil" w:sz="6" w:space="0" w:color="auto"/>
              <w:left w:val="nil" w:sz="6" w:space="0" w:color="auto"/>
              <w:bottom w:val="nil" w:sz="6" w:space="0" w:color="auto"/>
              <w:right w:val="nil" w:sz="6" w:space="0" w:color="auto"/>
            </w:tcBorders>
          </w:tcPr>
          <w:p>
            <w:pPr>
              <w:pStyle w:val="TableParagraph"/>
              <w:spacing w:line="210" w:lineRule="exact"/>
              <w:ind w:right="50"/>
              <w:jc w:val="right"/>
              <w:rPr>
                <w:rFonts w:ascii="宋体" w:hAnsi="宋体" w:cs="宋体" w:eastAsia="宋体" w:hint="default"/>
                <w:sz w:val="21"/>
                <w:szCs w:val="21"/>
              </w:rPr>
            </w:pPr>
            <w:r>
              <w:rPr>
                <w:rFonts w:ascii="宋体" w:hAnsi="宋体" w:cs="宋体" w:eastAsia="宋体" w:hint="default"/>
                <w:sz w:val="21"/>
                <w:szCs w:val="21"/>
              </w:rPr>
              <w:t>账 </w:t>
            </w:r>
          </w:p>
        </w:tc>
        <w:tc>
          <w:tcPr>
            <w:tcW w:w="210" w:type="dxa"/>
            <w:tcBorders>
              <w:top w:val="nil" w:sz="6" w:space="0" w:color="auto"/>
              <w:left w:val="nil" w:sz="6" w:space="0" w:color="auto"/>
              <w:bottom w:val="nil" w:sz="6" w:space="0" w:color="auto"/>
              <w:right w:val="nil" w:sz="6" w:space="0" w:color="auto"/>
            </w:tcBorders>
          </w:tcPr>
          <w:p>
            <w:pPr>
              <w:pStyle w:val="TableParagraph"/>
              <w:spacing w:line="210" w:lineRule="exact"/>
              <w:ind w:right="50"/>
              <w:jc w:val="right"/>
              <w:rPr>
                <w:rFonts w:ascii="宋体" w:hAnsi="宋体" w:cs="宋体" w:eastAsia="宋体" w:hint="default"/>
                <w:sz w:val="21"/>
                <w:szCs w:val="21"/>
              </w:rPr>
            </w:pPr>
            <w:r>
              <w:rPr>
                <w:rFonts w:ascii="宋体"/>
                <w:sz w:val="21"/>
              </w:rPr>
              <w:t> </w:t>
            </w:r>
          </w:p>
        </w:tc>
        <w:tc>
          <w:tcPr>
            <w:tcW w:w="958" w:type="dxa"/>
            <w:tcBorders>
              <w:top w:val="nil" w:sz="6" w:space="0" w:color="auto"/>
              <w:left w:val="nil" w:sz="6" w:space="0" w:color="auto"/>
              <w:bottom w:val="nil" w:sz="6" w:space="0" w:color="auto"/>
              <w:right w:val="nil" w:sz="6" w:space="0" w:color="auto"/>
            </w:tcBorders>
          </w:tcPr>
          <w:p>
            <w:pPr>
              <w:pStyle w:val="TableParagraph"/>
              <w:spacing w:line="210" w:lineRule="exact"/>
              <w:ind w:left="52" w:right="0"/>
              <w:jc w:val="left"/>
              <w:rPr>
                <w:rFonts w:ascii="宋体" w:hAnsi="宋体" w:cs="宋体" w:eastAsia="宋体" w:hint="default"/>
                <w:sz w:val="21"/>
                <w:szCs w:val="21"/>
              </w:rPr>
            </w:pPr>
            <w:r>
              <w:rPr>
                <w:rFonts w:ascii="宋体" w:hAnsi="宋体" w:cs="宋体" w:eastAsia="宋体" w:hint="default"/>
                <w:sz w:val="21"/>
                <w:szCs w:val="21"/>
              </w:rPr>
              <w:t>龄</w:t>
            </w: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154"/>
              <w:ind w:left="695" w:right="0"/>
              <w:jc w:val="left"/>
              <w:rPr>
                <w:rFonts w:ascii="宋体" w:hAnsi="宋体" w:cs="宋体" w:eastAsia="宋体" w:hint="default"/>
                <w:sz w:val="21"/>
                <w:szCs w:val="21"/>
              </w:rPr>
            </w:pPr>
            <w:r>
              <w:rPr>
                <w:rFonts w:ascii="宋体" w:hAnsi="宋体" w:cs="宋体" w:eastAsia="宋体" w:hint="default"/>
                <w:sz w:val="21"/>
                <w:szCs w:val="21"/>
              </w:rPr>
              <w:t>金  额</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154"/>
              <w:ind w:left="177"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54"/>
              <w:ind w:left="357" w:right="0"/>
              <w:jc w:val="left"/>
              <w:rPr>
                <w:rFonts w:ascii="宋体" w:hAnsi="宋体" w:cs="宋体" w:eastAsia="宋体" w:hint="default"/>
                <w:sz w:val="21"/>
                <w:szCs w:val="21"/>
              </w:rPr>
            </w:pPr>
            <w:r>
              <w:rPr>
                <w:rFonts w:ascii="宋体" w:hAnsi="宋体" w:cs="宋体" w:eastAsia="宋体" w:hint="default"/>
                <w:sz w:val="21"/>
                <w:szCs w:val="21"/>
              </w:rPr>
              <w:t>金  额</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154"/>
              <w:ind w:left="186"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r>
      <w:tr>
        <w:trPr>
          <w:trHeight w:val="418" w:hRule="exact"/>
        </w:trPr>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210" w:type="dxa"/>
            <w:tcBorders>
              <w:top w:val="nil" w:sz="6" w:space="0" w:color="auto"/>
              <w:left w:val="nil" w:sz="6" w:space="0" w:color="auto"/>
              <w:bottom w:val="nil" w:sz="6" w:space="0" w:color="auto"/>
              <w:right w:val="nil" w:sz="6" w:space="0" w:color="auto"/>
            </w:tcBorders>
          </w:tcPr>
          <w:p>
            <w:pPr/>
          </w:p>
        </w:tc>
        <w:tc>
          <w:tcPr>
            <w:tcW w:w="958" w:type="dxa"/>
            <w:tcBorders>
              <w:top w:val="nil" w:sz="6" w:space="0" w:color="auto"/>
              <w:left w:val="nil" w:sz="6" w:space="0" w:color="auto"/>
              <w:bottom w:val="nil" w:sz="6" w:space="0" w:color="auto"/>
              <w:right w:val="nil" w:sz="6" w:space="0" w:color="auto"/>
            </w:tcBorders>
          </w:tcPr>
          <w:p>
            <w:pP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75"/>
              <w:jc w:val="right"/>
              <w:rPr>
                <w:rFonts w:ascii="Times New Roman" w:hAnsi="Times New Roman" w:cs="Times New Roman" w:eastAsia="Times New Roman" w:hint="default"/>
                <w:sz w:val="21"/>
                <w:szCs w:val="21"/>
              </w:rPr>
            </w:pPr>
            <w:r>
              <w:rPr>
                <w:rFonts w:ascii="Times New Roman"/>
                <w:spacing w:val="-1"/>
                <w:sz w:val="21"/>
              </w:rPr>
              <w:t>33,415,398</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55"/>
              <w:jc w:val="right"/>
              <w:rPr>
                <w:rFonts w:ascii="Times New Roman" w:hAnsi="Times New Roman" w:cs="Times New Roman" w:eastAsia="Times New Roman" w:hint="default"/>
                <w:sz w:val="21"/>
                <w:szCs w:val="21"/>
              </w:rPr>
            </w:pPr>
            <w:r>
              <w:rPr>
                <w:rFonts w:ascii="Times New Roman"/>
                <w:spacing w:val="-1"/>
                <w:sz w:val="21"/>
              </w:rPr>
              <w:t>89.26</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84"/>
              <w:jc w:val="right"/>
              <w:rPr>
                <w:rFonts w:ascii="Times New Roman" w:hAnsi="Times New Roman" w:cs="Times New Roman" w:eastAsia="Times New Roman" w:hint="default"/>
                <w:sz w:val="21"/>
                <w:szCs w:val="21"/>
              </w:rPr>
            </w:pPr>
            <w:r>
              <w:rPr>
                <w:rFonts w:ascii="Times New Roman"/>
                <w:spacing w:val="-1"/>
                <w:sz w:val="21"/>
              </w:rPr>
              <w:t>27,538,161</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21"/>
                <w:szCs w:val="21"/>
              </w:rPr>
            </w:pPr>
            <w:r>
              <w:rPr>
                <w:rFonts w:ascii="Times New Roman"/>
                <w:spacing w:val="-1"/>
                <w:sz w:val="21"/>
              </w:rPr>
              <w:t>98.63</w:t>
            </w:r>
          </w:p>
        </w:tc>
      </w:tr>
      <w:tr>
        <w:trPr>
          <w:trHeight w:val="410" w:hRule="exact"/>
        </w:trPr>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210" w:type="dxa"/>
            <w:tcBorders>
              <w:top w:val="nil" w:sz="6" w:space="0" w:color="auto"/>
              <w:left w:val="nil" w:sz="6" w:space="0" w:color="auto"/>
              <w:bottom w:val="nil" w:sz="6" w:space="0" w:color="auto"/>
              <w:right w:val="nil" w:sz="6" w:space="0" w:color="auto"/>
            </w:tcBorders>
          </w:tcPr>
          <w:p>
            <w:pPr/>
          </w:p>
        </w:tc>
        <w:tc>
          <w:tcPr>
            <w:tcW w:w="958" w:type="dxa"/>
            <w:tcBorders>
              <w:top w:val="nil" w:sz="6" w:space="0" w:color="auto"/>
              <w:left w:val="nil" w:sz="6" w:space="0" w:color="auto"/>
              <w:bottom w:val="nil" w:sz="6" w:space="0" w:color="auto"/>
              <w:right w:val="nil" w:sz="6" w:space="0" w:color="auto"/>
            </w:tcBorders>
          </w:tcPr>
          <w:p>
            <w:pP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75"/>
              <w:jc w:val="right"/>
              <w:rPr>
                <w:rFonts w:ascii="Times New Roman" w:hAnsi="Times New Roman" w:cs="Times New Roman" w:eastAsia="Times New Roman" w:hint="default"/>
                <w:sz w:val="21"/>
                <w:szCs w:val="21"/>
              </w:rPr>
            </w:pPr>
            <w:r>
              <w:rPr>
                <w:rFonts w:ascii="Times New Roman"/>
                <w:spacing w:val="-1"/>
                <w:sz w:val="21"/>
              </w:rPr>
              <w:t>3,740,206</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57"/>
              <w:jc w:val="right"/>
              <w:rPr>
                <w:rFonts w:ascii="Times New Roman" w:hAnsi="Times New Roman" w:cs="Times New Roman" w:eastAsia="Times New Roman" w:hint="default"/>
                <w:sz w:val="21"/>
                <w:szCs w:val="21"/>
              </w:rPr>
            </w:pPr>
            <w:r>
              <w:rPr>
                <w:rFonts w:ascii="Times New Roman"/>
                <w:spacing w:val="-1"/>
                <w:sz w:val="21"/>
              </w:rPr>
              <w:t>9.99</w:t>
            </w:r>
            <w:r>
              <w:rPr>
                <w:rFonts w:ascii="Times New Roman"/>
                <w:sz w:val="21"/>
              </w:rPr>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85"/>
              <w:jc w:val="right"/>
              <w:rPr>
                <w:rFonts w:ascii="Times New Roman" w:hAnsi="Times New Roman" w:cs="Times New Roman" w:eastAsia="Times New Roman" w:hint="default"/>
                <w:sz w:val="21"/>
                <w:szCs w:val="21"/>
              </w:rPr>
            </w:pPr>
            <w:r>
              <w:rPr>
                <w:rFonts w:ascii="Times New Roman"/>
                <w:spacing w:val="-1"/>
                <w:sz w:val="21"/>
              </w:rPr>
              <w:t>6,944</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21"/>
                <w:szCs w:val="21"/>
              </w:rPr>
            </w:pPr>
            <w:r>
              <w:rPr>
                <w:rFonts w:ascii="Times New Roman"/>
                <w:spacing w:val="-1"/>
                <w:sz w:val="21"/>
              </w:rPr>
              <w:t>0.02</w:t>
            </w:r>
            <w:r>
              <w:rPr>
                <w:rFonts w:ascii="Times New Roman"/>
                <w:sz w:val="21"/>
              </w:rPr>
            </w:r>
          </w:p>
        </w:tc>
      </w:tr>
      <w:tr>
        <w:trPr>
          <w:trHeight w:val="410" w:hRule="exact"/>
        </w:trPr>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210" w:type="dxa"/>
            <w:tcBorders>
              <w:top w:val="nil" w:sz="6" w:space="0" w:color="auto"/>
              <w:left w:val="nil" w:sz="6" w:space="0" w:color="auto"/>
              <w:bottom w:val="nil" w:sz="6" w:space="0" w:color="auto"/>
              <w:right w:val="nil" w:sz="6" w:space="0" w:color="auto"/>
            </w:tcBorders>
          </w:tcPr>
          <w:p>
            <w:pPr/>
          </w:p>
        </w:tc>
        <w:tc>
          <w:tcPr>
            <w:tcW w:w="958" w:type="dxa"/>
            <w:tcBorders>
              <w:top w:val="nil" w:sz="6" w:space="0" w:color="auto"/>
              <w:left w:val="nil" w:sz="6" w:space="0" w:color="auto"/>
              <w:bottom w:val="nil" w:sz="6" w:space="0" w:color="auto"/>
              <w:right w:val="nil" w:sz="6" w:space="0" w:color="auto"/>
            </w:tcBorders>
          </w:tcPr>
          <w:p>
            <w:pP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75"/>
              <w:jc w:val="right"/>
              <w:rPr>
                <w:rFonts w:ascii="Times New Roman" w:hAnsi="Times New Roman" w:cs="Times New Roman" w:eastAsia="Times New Roman" w:hint="default"/>
                <w:sz w:val="21"/>
                <w:szCs w:val="21"/>
              </w:rPr>
            </w:pPr>
            <w:r>
              <w:rPr>
                <w:rFonts w:ascii="Times New Roman"/>
                <w:spacing w:val="-1"/>
                <w:sz w:val="21"/>
              </w:rPr>
              <w:t>6,945</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55"/>
              <w:jc w:val="right"/>
              <w:rPr>
                <w:rFonts w:ascii="Times New Roman" w:hAnsi="Times New Roman" w:cs="Times New Roman" w:eastAsia="Times New Roman" w:hint="default"/>
                <w:sz w:val="21"/>
                <w:szCs w:val="21"/>
              </w:rPr>
            </w:pPr>
            <w:r>
              <w:rPr>
                <w:rFonts w:ascii="Times New Roman"/>
                <w:spacing w:val="-1"/>
                <w:sz w:val="21"/>
              </w:rPr>
              <w:t>0.02</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84"/>
              <w:jc w:val="right"/>
              <w:rPr>
                <w:rFonts w:ascii="Times New Roman" w:hAnsi="Times New Roman" w:cs="Times New Roman" w:eastAsia="Times New Roman" w:hint="default"/>
                <w:sz w:val="21"/>
                <w:szCs w:val="21"/>
              </w:rPr>
            </w:pPr>
            <w:r>
              <w:rPr>
                <w:rFonts w:ascii="Times New Roman"/>
                <w:spacing w:val="-1"/>
                <w:sz w:val="21"/>
              </w:rPr>
              <w:t>47,207</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6"/>
              <w:jc w:val="right"/>
              <w:rPr>
                <w:rFonts w:ascii="Times New Roman" w:hAnsi="Times New Roman" w:cs="Times New Roman" w:eastAsia="Times New Roman" w:hint="default"/>
                <w:sz w:val="21"/>
                <w:szCs w:val="21"/>
              </w:rPr>
            </w:pPr>
            <w:r>
              <w:rPr>
                <w:rFonts w:ascii="Times New Roman"/>
                <w:spacing w:val="-1"/>
                <w:sz w:val="21"/>
              </w:rPr>
              <w:t>0.17</w:t>
            </w:r>
          </w:p>
        </w:tc>
      </w:tr>
      <w:tr>
        <w:trPr>
          <w:trHeight w:val="410" w:hRule="exact"/>
        </w:trPr>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年以上</w:t>
            </w:r>
          </w:p>
        </w:tc>
        <w:tc>
          <w:tcPr>
            <w:tcW w:w="210" w:type="dxa"/>
            <w:tcBorders>
              <w:top w:val="nil" w:sz="6" w:space="0" w:color="auto"/>
              <w:left w:val="nil" w:sz="6" w:space="0" w:color="auto"/>
              <w:bottom w:val="nil" w:sz="6" w:space="0" w:color="auto"/>
              <w:right w:val="nil" w:sz="6" w:space="0" w:color="auto"/>
            </w:tcBorders>
          </w:tcPr>
          <w:p>
            <w:pPr/>
          </w:p>
        </w:tc>
        <w:tc>
          <w:tcPr>
            <w:tcW w:w="958" w:type="dxa"/>
            <w:tcBorders>
              <w:top w:val="nil" w:sz="6" w:space="0" w:color="auto"/>
              <w:left w:val="nil" w:sz="6" w:space="0" w:color="auto"/>
              <w:bottom w:val="nil" w:sz="6" w:space="0" w:color="auto"/>
              <w:right w:val="nil" w:sz="6" w:space="0" w:color="auto"/>
            </w:tcBorders>
          </w:tcPr>
          <w:p>
            <w:pP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76"/>
              <w:jc w:val="right"/>
              <w:rPr>
                <w:rFonts w:ascii="Times New Roman" w:hAnsi="Times New Roman" w:cs="Times New Roman" w:eastAsia="Times New Roman" w:hint="default"/>
                <w:sz w:val="21"/>
                <w:szCs w:val="21"/>
              </w:rPr>
            </w:pPr>
            <w:r>
              <w:rPr>
                <w:rFonts w:ascii="Times New Roman"/>
                <w:spacing w:val="-1"/>
                <w:sz w:val="21"/>
              </w:rPr>
              <w:t>272,677</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56"/>
              <w:jc w:val="right"/>
              <w:rPr>
                <w:rFonts w:ascii="Times New Roman" w:hAnsi="Times New Roman" w:cs="Times New Roman" w:eastAsia="Times New Roman" w:hint="default"/>
                <w:sz w:val="21"/>
                <w:szCs w:val="21"/>
              </w:rPr>
            </w:pPr>
            <w:r>
              <w:rPr>
                <w:rFonts w:ascii="Times New Roman"/>
                <w:spacing w:val="-1"/>
                <w:sz w:val="21"/>
              </w:rPr>
              <w:t>0.73</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84"/>
              <w:jc w:val="right"/>
              <w:rPr>
                <w:rFonts w:ascii="Times New Roman" w:hAnsi="Times New Roman" w:cs="Times New Roman" w:eastAsia="Times New Roman" w:hint="default"/>
                <w:sz w:val="21"/>
                <w:szCs w:val="21"/>
              </w:rPr>
            </w:pPr>
            <w:r>
              <w:rPr>
                <w:rFonts w:ascii="Times New Roman"/>
                <w:spacing w:val="-1"/>
                <w:sz w:val="21"/>
              </w:rPr>
              <w:t>328,741</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21"/>
                <w:szCs w:val="21"/>
              </w:rPr>
            </w:pPr>
            <w:r>
              <w:rPr>
                <w:rFonts w:ascii="Times New Roman"/>
                <w:spacing w:val="-1"/>
                <w:sz w:val="21"/>
              </w:rPr>
              <w:t>1.18</w:t>
            </w:r>
          </w:p>
        </w:tc>
      </w:tr>
      <w:tr>
        <w:trPr>
          <w:trHeight w:val="344" w:hRule="exact"/>
        </w:trPr>
        <w:tc>
          <w:tcPr>
            <w:tcW w:w="1073"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right="50"/>
              <w:jc w:val="right"/>
              <w:rPr>
                <w:rFonts w:ascii="宋体" w:hAnsi="宋体" w:cs="宋体" w:eastAsia="宋体" w:hint="default"/>
                <w:sz w:val="21"/>
                <w:szCs w:val="21"/>
              </w:rPr>
            </w:pPr>
            <w:r>
              <w:rPr>
                <w:rFonts w:ascii="宋体" w:hAnsi="宋体" w:cs="宋体" w:eastAsia="宋体" w:hint="default"/>
                <w:sz w:val="21"/>
                <w:szCs w:val="21"/>
              </w:rPr>
              <w:t>合 </w:t>
            </w:r>
          </w:p>
        </w:tc>
        <w:tc>
          <w:tcPr>
            <w:tcW w:w="210"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right="50"/>
              <w:jc w:val="right"/>
              <w:rPr>
                <w:rFonts w:ascii="宋体" w:hAnsi="宋体" w:cs="宋体" w:eastAsia="宋体" w:hint="default"/>
                <w:sz w:val="21"/>
                <w:szCs w:val="21"/>
              </w:rPr>
            </w:pPr>
            <w:r>
              <w:rPr>
                <w:rFonts w:ascii="宋体"/>
                <w:sz w:val="21"/>
              </w:rPr>
              <w:t> </w:t>
            </w:r>
          </w:p>
        </w:tc>
        <w:tc>
          <w:tcPr>
            <w:tcW w:w="958"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52"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092"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176"/>
              <w:jc w:val="right"/>
              <w:rPr>
                <w:rFonts w:ascii="Times New Roman" w:hAnsi="Times New Roman" w:cs="Times New Roman" w:eastAsia="Times New Roman" w:hint="default"/>
                <w:sz w:val="21"/>
                <w:szCs w:val="21"/>
              </w:rPr>
            </w:pPr>
            <w:r>
              <w:rPr>
                <w:rFonts w:ascii="Times New Roman"/>
                <w:spacing w:val="-1"/>
                <w:sz w:val="21"/>
              </w:rPr>
              <w:t>37,435,226</w:t>
            </w:r>
          </w:p>
        </w:tc>
        <w:tc>
          <w:tcPr>
            <w:tcW w:w="1410"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356"/>
              <w:jc w:val="right"/>
              <w:rPr>
                <w:rFonts w:ascii="Times New Roman" w:hAnsi="Times New Roman" w:cs="Times New Roman" w:eastAsia="Times New Roman" w:hint="default"/>
                <w:sz w:val="21"/>
                <w:szCs w:val="21"/>
              </w:rPr>
            </w:pPr>
            <w:r>
              <w:rPr>
                <w:rFonts w:ascii="Times New Roman"/>
                <w:spacing w:val="-1"/>
                <w:sz w:val="21"/>
              </w:rPr>
              <w:t>100.00</w:t>
            </w:r>
          </w:p>
        </w:tc>
        <w:tc>
          <w:tcPr>
            <w:tcW w:w="1673"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184"/>
              <w:jc w:val="right"/>
              <w:rPr>
                <w:rFonts w:ascii="Times New Roman" w:hAnsi="Times New Roman" w:cs="Times New Roman" w:eastAsia="Times New Roman" w:hint="default"/>
                <w:sz w:val="21"/>
                <w:szCs w:val="21"/>
              </w:rPr>
            </w:pPr>
            <w:r>
              <w:rPr>
                <w:rFonts w:ascii="Times New Roman"/>
                <w:spacing w:val="-1"/>
                <w:sz w:val="21"/>
              </w:rPr>
              <w:t>27,921,053</w:t>
            </w:r>
          </w:p>
        </w:tc>
        <w:tc>
          <w:tcPr>
            <w:tcW w:w="1184"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21"/>
                <w:szCs w:val="21"/>
              </w:rPr>
            </w:pPr>
            <w:r>
              <w:rPr>
                <w:rFonts w:ascii="Times New Roman"/>
                <w:spacing w:val="-1"/>
                <w:sz w:val="21"/>
              </w:rPr>
              <w:t>100.00</w:t>
            </w:r>
          </w:p>
        </w:tc>
      </w:tr>
    </w:tbl>
    <w:p>
      <w:pPr>
        <w:spacing w:after="0" w:line="240" w:lineRule="auto"/>
        <w:jc w:val="right"/>
        <w:rPr>
          <w:rFonts w:ascii="Times New Roman" w:hAnsi="Times New Roman" w:cs="Times New Roman" w:eastAsia="Times New Roman" w:hint="default"/>
          <w:sz w:val="21"/>
          <w:szCs w:val="21"/>
        </w:rPr>
        <w:sectPr>
          <w:pgSz w:w="11900" w:h="16840"/>
          <w:pgMar w:header="883" w:footer="1003" w:top="1540" w:bottom="1200" w:left="1300" w:right="1140"/>
        </w:sectPr>
      </w:pPr>
    </w:p>
    <w:p>
      <w:pPr>
        <w:tabs>
          <w:tab w:pos="1413" w:val="left" w:leader="none"/>
        </w:tabs>
        <w:spacing w:before="129"/>
        <w:ind w:left="857" w:right="0" w:firstLine="0"/>
        <w:jc w:val="left"/>
        <w:rPr>
          <w:rFonts w:ascii="宋体" w:hAnsi="宋体" w:cs="宋体" w:eastAsia="宋体" w:hint="default"/>
          <w:sz w:val="21"/>
          <w:szCs w:val="21"/>
        </w:rPr>
      </w:pPr>
      <w:r>
        <w:rPr/>
        <w:pict>
          <v:group style="position:absolute;margin-left:102.000023pt;margin-top:21.834015pt;width:430.8pt;height:137.050pt;mso-position-horizontal-relative:page;mso-position-vertical-relative:paragraph;z-index:-989944" coordorigin="2040,437" coordsize="8616,2741">
            <v:group style="position:absolute;left:2050;top:446;width:1510;height:2" coordorigin="2050,446" coordsize="1510,2">
              <v:shape style="position:absolute;left:2050;top:446;width:1510;height:2" coordorigin="2050,446" coordsize="1510,0" path="m2050,446l3559,446e" filled="false" stroked="true" strokeweight=".95996pt" strokecolor="#000000">
                <v:path arrowok="t"/>
              </v:shape>
            </v:group>
            <v:group style="position:absolute;left:3559;top:446;width:1788;height:2" coordorigin="3559,446" coordsize="1788,2">
              <v:shape style="position:absolute;left:3559;top:446;width:1788;height:2" coordorigin="3559,446" coordsize="1788,0" path="m3559,446l5347,446e" filled="false" stroked="true" strokeweight=".95996pt" strokecolor="#000000">
                <v:path arrowok="t"/>
              </v:shape>
            </v:group>
            <v:group style="position:absolute;left:5347;top:446;width:1342;height:2" coordorigin="5347,446" coordsize="1342,2">
              <v:shape style="position:absolute;left:5347;top:446;width:1342;height:2" coordorigin="5347,446" coordsize="1342,0" path="m5347,446l6689,446e" filled="false" stroked="true" strokeweight=".95996pt" strokecolor="#000000">
                <v:path arrowok="t"/>
              </v:shape>
            </v:group>
            <v:group style="position:absolute;left:6689;top:446;width:1227;height:2" coordorigin="6689,446" coordsize="1227,2">
              <v:shape style="position:absolute;left:6689;top:446;width:1227;height:2" coordorigin="6689,446" coordsize="1227,0" path="m6689,446l7915,446e" filled="false" stroked="true" strokeweight=".95996pt" strokecolor="#000000">
                <v:path arrowok="t"/>
              </v:shape>
            </v:group>
            <v:group style="position:absolute;left:7915;top:446;width:2732;height:2" coordorigin="7915,446" coordsize="2732,2">
              <v:shape style="position:absolute;left:7915;top:446;width:2732;height:2" coordorigin="7915,446" coordsize="2732,0" path="m7915,446l10646,446e" filled="false" stroked="true" strokeweight=".95996pt" strokecolor="#000000">
                <v:path arrowok="t"/>
              </v:shape>
              <v:shape style="position:absolute;left:2050;top:456;width:8597;height:2722" type="#_x0000_t75" stroked="false">
                <v:imagedata r:id="rId61" o:title=""/>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预付款项金额前五名单位情况</w:t>
      </w:r>
    </w:p>
    <w:p>
      <w:pPr>
        <w:spacing w:line="240" w:lineRule="auto" w:before="4"/>
        <w:rPr>
          <w:rFonts w:ascii="宋体" w:hAnsi="宋体" w:cs="宋体" w:eastAsia="宋体" w:hint="default"/>
          <w:sz w:val="8"/>
          <w:szCs w:val="8"/>
        </w:rPr>
      </w:pPr>
    </w:p>
    <w:tbl>
      <w:tblPr>
        <w:tblW w:w="0" w:type="auto"/>
        <w:jc w:val="left"/>
        <w:tblInd w:w="735" w:type="dxa"/>
        <w:tblLayout w:type="fixed"/>
        <w:tblCellMar>
          <w:top w:w="0" w:type="dxa"/>
          <w:left w:w="0" w:type="dxa"/>
          <w:bottom w:w="0" w:type="dxa"/>
          <w:right w:w="0" w:type="dxa"/>
        </w:tblCellMar>
        <w:tblLook w:val="01E0"/>
      </w:tblPr>
      <w:tblGrid>
        <w:gridCol w:w="1384"/>
        <w:gridCol w:w="1956"/>
        <w:gridCol w:w="1318"/>
        <w:gridCol w:w="1109"/>
        <w:gridCol w:w="2851"/>
      </w:tblGrid>
      <w:tr>
        <w:trPr>
          <w:trHeight w:val="784" w:hRule="exact"/>
        </w:trPr>
        <w:tc>
          <w:tcPr>
            <w:tcW w:w="1384" w:type="dxa"/>
            <w:tcBorders>
              <w:top w:val="nil" w:sz="6" w:space="0" w:color="auto"/>
              <w:left w:val="nil" w:sz="6" w:space="0" w:color="auto"/>
              <w:bottom w:val="nil" w:sz="6" w:space="0" w:color="auto"/>
              <w:right w:val="nil" w:sz="6" w:space="0" w:color="auto"/>
            </w:tcBorders>
          </w:tcPr>
          <w:p>
            <w:pPr>
              <w:pStyle w:val="TableParagraph"/>
              <w:spacing w:line="396" w:lineRule="auto" w:before="44"/>
              <w:ind w:left="122" w:right="250" w:firstLine="289"/>
              <w:jc w:val="left"/>
              <w:rPr>
                <w:rFonts w:ascii="宋体" w:hAnsi="宋体" w:cs="宋体" w:eastAsia="宋体" w:hint="default"/>
                <w:sz w:val="18"/>
                <w:szCs w:val="18"/>
              </w:rPr>
            </w:pPr>
            <w:r>
              <w:rPr>
                <w:rFonts w:ascii="宋体" w:hAnsi="宋体" w:cs="宋体" w:eastAsia="宋体" w:hint="default"/>
                <w:sz w:val="18"/>
                <w:szCs w:val="18"/>
              </w:rPr>
              <w:t>单位排名 第一名</w:t>
            </w:r>
          </w:p>
        </w:tc>
        <w:tc>
          <w:tcPr>
            <w:tcW w:w="1956" w:type="dxa"/>
            <w:tcBorders>
              <w:top w:val="nil" w:sz="6" w:space="0" w:color="auto"/>
              <w:left w:val="nil" w:sz="6" w:space="0" w:color="auto"/>
              <w:bottom w:val="nil" w:sz="6" w:space="0" w:color="auto"/>
              <w:right w:val="nil" w:sz="6" w:space="0" w:color="auto"/>
            </w:tcBorders>
          </w:tcPr>
          <w:p>
            <w:pPr>
              <w:pStyle w:val="TableParagraph"/>
              <w:spacing w:line="396" w:lineRule="auto" w:before="44"/>
              <w:ind w:left="252" w:right="375" w:firstLine="246"/>
              <w:jc w:val="left"/>
              <w:rPr>
                <w:rFonts w:ascii="宋体" w:hAnsi="宋体" w:cs="宋体" w:eastAsia="宋体" w:hint="default"/>
                <w:sz w:val="18"/>
                <w:szCs w:val="18"/>
              </w:rPr>
            </w:pPr>
            <w:r>
              <w:rPr>
                <w:rFonts w:ascii="宋体" w:hAnsi="宋体" w:cs="宋体" w:eastAsia="宋体" w:hint="default"/>
                <w:sz w:val="18"/>
                <w:szCs w:val="18"/>
              </w:rPr>
              <w:t>与本公司关系 非关联方</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77" w:right="0"/>
              <w:jc w:val="left"/>
              <w:rPr>
                <w:rFonts w:ascii="宋体" w:hAnsi="宋体" w:cs="宋体" w:eastAsia="宋体" w:hint="default"/>
                <w:sz w:val="18"/>
                <w:szCs w:val="18"/>
              </w:rPr>
            </w:pPr>
            <w:r>
              <w:rPr>
                <w:rFonts w:ascii="宋体" w:hAnsi="宋体" w:cs="宋体" w:eastAsia="宋体" w:hint="default"/>
                <w:sz w:val="18"/>
                <w:szCs w:val="18"/>
              </w:rPr>
              <w:t>金  额</w:t>
            </w: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89" w:right="0"/>
              <w:jc w:val="left"/>
              <w:rPr>
                <w:rFonts w:ascii="Times New Roman" w:hAnsi="Times New Roman" w:cs="Times New Roman" w:eastAsia="Times New Roman" w:hint="default"/>
                <w:sz w:val="18"/>
                <w:szCs w:val="18"/>
              </w:rPr>
            </w:pPr>
            <w:r>
              <w:rPr>
                <w:rFonts w:ascii="Times New Roman"/>
                <w:sz w:val="18"/>
              </w:rPr>
              <w:t>8,344,425</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43" w:right="0"/>
              <w:jc w:val="left"/>
              <w:rPr>
                <w:rFonts w:ascii="宋体" w:hAnsi="宋体" w:cs="宋体" w:eastAsia="宋体" w:hint="default"/>
                <w:sz w:val="18"/>
                <w:szCs w:val="18"/>
              </w:rPr>
            </w:pPr>
            <w:r>
              <w:rPr>
                <w:rFonts w:ascii="宋体" w:hAnsi="宋体" w:cs="宋体" w:eastAsia="宋体" w:hint="default"/>
                <w:sz w:val="18"/>
                <w:szCs w:val="18"/>
              </w:rPr>
              <w:t>时  间</w:t>
            </w:r>
          </w:p>
          <w:p>
            <w:pPr>
              <w:pStyle w:val="TableParagraph"/>
              <w:spacing w:line="240" w:lineRule="auto" w:before="153"/>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851" w:type="dxa"/>
            <w:tcBorders>
              <w:top w:val="nil" w:sz="6" w:space="0" w:color="auto"/>
              <w:left w:val="nil" w:sz="6" w:space="0" w:color="auto"/>
              <w:bottom w:val="nil" w:sz="6" w:space="0" w:color="auto"/>
              <w:right w:val="nil" w:sz="6" w:space="0" w:color="auto"/>
            </w:tcBorders>
          </w:tcPr>
          <w:p>
            <w:pPr>
              <w:pStyle w:val="TableParagraph"/>
              <w:spacing w:line="396" w:lineRule="auto" w:before="44"/>
              <w:ind w:left="225" w:right="107" w:firstLine="808"/>
              <w:jc w:val="left"/>
              <w:rPr>
                <w:rFonts w:ascii="宋体" w:hAnsi="宋体" w:cs="宋体" w:eastAsia="宋体" w:hint="default"/>
                <w:sz w:val="18"/>
                <w:szCs w:val="18"/>
              </w:rPr>
            </w:pPr>
            <w:r>
              <w:rPr>
                <w:rFonts w:ascii="宋体" w:hAnsi="宋体" w:cs="宋体" w:eastAsia="宋体" w:hint="default"/>
                <w:sz w:val="18"/>
                <w:szCs w:val="18"/>
              </w:rPr>
              <w:t>未结算原因 </w:t>
            </w:r>
            <w:r>
              <w:rPr>
                <w:rFonts w:ascii="宋体" w:hAnsi="宋体" w:cs="宋体" w:eastAsia="宋体" w:hint="default"/>
                <w:spacing w:val="-1"/>
                <w:sz w:val="18"/>
                <w:szCs w:val="18"/>
              </w:rPr>
              <w:t>合同约定的预付款，按进度结算</w:t>
            </w:r>
          </w:p>
        </w:tc>
      </w:tr>
      <w:tr>
        <w:trPr>
          <w:trHeight w:val="390" w:hRule="exact"/>
        </w:trPr>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52"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z w:val="18"/>
              </w:rPr>
              <w:t>3,685,983</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hAnsi="宋体" w:cs="宋体" w:eastAsia="宋体" w:hint="default"/>
                <w:spacing w:val="-1"/>
                <w:sz w:val="18"/>
                <w:szCs w:val="18"/>
              </w:rPr>
              <w:t>合同约定的预付款，按进度结算</w:t>
            </w:r>
          </w:p>
        </w:tc>
      </w:tr>
      <w:tr>
        <w:trPr>
          <w:trHeight w:val="390" w:hRule="exact"/>
        </w:trPr>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52"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z w:val="18"/>
              </w:rPr>
              <w:t>3,502,727</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hAnsi="宋体" w:cs="宋体" w:eastAsia="宋体" w:hint="default"/>
                <w:spacing w:val="-1"/>
                <w:sz w:val="18"/>
                <w:szCs w:val="18"/>
              </w:rPr>
              <w:t>合同约定的预付款，按进度结算</w:t>
            </w:r>
          </w:p>
        </w:tc>
      </w:tr>
      <w:tr>
        <w:trPr>
          <w:trHeight w:val="390" w:hRule="exact"/>
        </w:trPr>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52"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z w:val="18"/>
              </w:rPr>
              <w:t>3,351,298</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hAnsi="宋体" w:cs="宋体" w:eastAsia="宋体" w:hint="default"/>
                <w:spacing w:val="-1"/>
                <w:sz w:val="18"/>
                <w:szCs w:val="18"/>
              </w:rPr>
              <w:t>合同约定的预付款，按进度结算</w:t>
            </w:r>
          </w:p>
        </w:tc>
      </w:tr>
      <w:tr>
        <w:trPr>
          <w:trHeight w:val="390" w:hRule="exact"/>
        </w:trPr>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52"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z w:val="18"/>
              </w:rPr>
              <w:t>3,049,915</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hAnsi="宋体" w:cs="宋体" w:eastAsia="宋体" w:hint="default"/>
                <w:spacing w:val="-1"/>
                <w:sz w:val="18"/>
                <w:szCs w:val="18"/>
              </w:rPr>
              <w:t>合同约定的预付款，按进度结算</w:t>
            </w:r>
          </w:p>
        </w:tc>
      </w:tr>
      <w:tr>
        <w:trPr>
          <w:trHeight w:val="315" w:hRule="exact"/>
        </w:trPr>
        <w:tc>
          <w:tcPr>
            <w:tcW w:w="1384" w:type="dxa"/>
            <w:tcBorders>
              <w:top w:val="nil" w:sz="6" w:space="0" w:color="auto"/>
              <w:left w:val="nil" w:sz="6" w:space="0" w:color="auto"/>
              <w:bottom w:val="single" w:sz="8" w:space="0" w:color="000000"/>
              <w:right w:val="nil" w:sz="6" w:space="0" w:color="auto"/>
            </w:tcBorders>
          </w:tcPr>
          <w:p>
            <w:pPr>
              <w:pStyle w:val="TableParagraph"/>
              <w:spacing w:line="240" w:lineRule="auto" w:before="39"/>
              <w:ind w:left="501"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956" w:type="dxa"/>
            <w:tcBorders>
              <w:top w:val="nil" w:sz="6" w:space="0" w:color="auto"/>
              <w:left w:val="nil" w:sz="6" w:space="0" w:color="auto"/>
              <w:bottom w:val="single" w:sz="8" w:space="0" w:color="000000"/>
              <w:right w:val="nil" w:sz="6" w:space="0" w:color="auto"/>
            </w:tcBorders>
          </w:tcPr>
          <w:p>
            <w:pPr/>
          </w:p>
        </w:tc>
        <w:tc>
          <w:tcPr>
            <w:tcW w:w="1318" w:type="dxa"/>
            <w:tcBorders>
              <w:top w:val="nil" w:sz="6" w:space="0" w:color="auto"/>
              <w:left w:val="nil" w:sz="6" w:space="0" w:color="auto"/>
              <w:bottom w:val="single" w:sz="8" w:space="0" w:color="000000"/>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z w:val="18"/>
              </w:rPr>
              <w:t>21,934,348</w:t>
            </w:r>
          </w:p>
        </w:tc>
        <w:tc>
          <w:tcPr>
            <w:tcW w:w="1109" w:type="dxa"/>
            <w:tcBorders>
              <w:top w:val="nil" w:sz="6" w:space="0" w:color="auto"/>
              <w:left w:val="nil" w:sz="6" w:space="0" w:color="auto"/>
              <w:bottom w:val="single" w:sz="8" w:space="0" w:color="000000"/>
              <w:right w:val="nil" w:sz="6" w:space="0" w:color="auto"/>
            </w:tcBorders>
          </w:tcPr>
          <w:p>
            <w:pPr/>
          </w:p>
        </w:tc>
        <w:tc>
          <w:tcPr>
            <w:tcW w:w="2851" w:type="dxa"/>
            <w:tcBorders>
              <w:top w:val="nil" w:sz="6" w:space="0" w:color="auto"/>
              <w:left w:val="nil" w:sz="6" w:space="0" w:color="auto"/>
              <w:bottom w:val="single" w:sz="8" w:space="0" w:color="000000"/>
              <w:right w:val="nil" w:sz="6" w:space="0" w:color="auto"/>
            </w:tcBorders>
          </w:tcPr>
          <w:p>
            <w:pPr/>
          </w:p>
        </w:tc>
      </w:tr>
    </w:tbl>
    <w:p>
      <w:pPr>
        <w:spacing w:line="240" w:lineRule="auto" w:before="0"/>
        <w:rPr>
          <w:rFonts w:ascii="宋体" w:hAnsi="宋体" w:cs="宋体" w:eastAsia="宋体" w:hint="default"/>
          <w:sz w:val="20"/>
          <w:szCs w:val="20"/>
        </w:rPr>
      </w:pPr>
    </w:p>
    <w:p>
      <w:pPr>
        <w:tabs>
          <w:tab w:pos="853" w:val="left" w:leader="none"/>
          <w:tab w:pos="1396" w:val="left" w:leader="none"/>
        </w:tabs>
        <w:spacing w:line="626" w:lineRule="auto" w:before="182"/>
        <w:ind w:left="125" w:right="1002" w:firstLine="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期末预付款项中无持本公司</w:t>
      </w:r>
      <w:r>
        <w:rPr>
          <w:rFonts w:ascii="宋体" w:hAnsi="宋体" w:cs="宋体" w:eastAsia="宋体" w:hint="default"/>
          <w:spacing w:val="-43"/>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％以上（含</w:t>
      </w:r>
      <w:r>
        <w:rPr>
          <w:rFonts w:ascii="宋体" w:hAnsi="宋体" w:cs="宋体" w:eastAsia="宋体" w:hint="default"/>
          <w:spacing w:val="-43"/>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％）表决权股份的股东单位欠款。 </w:t>
      </w:r>
      <w:r>
        <w:rPr>
          <w:rFonts w:ascii="Times New Roman" w:hAnsi="Times New Roman" w:cs="Times New Roman" w:eastAsia="Times New Roman" w:hint="default"/>
          <w:b/>
          <w:bCs/>
          <w:sz w:val="21"/>
          <w:szCs w:val="21"/>
        </w:rPr>
        <w:t>(</w:t>
      </w:r>
      <w:r>
        <w:rPr>
          <w:rFonts w:ascii="宋体" w:hAnsi="宋体" w:cs="宋体" w:eastAsia="宋体" w:hint="default"/>
          <w:sz w:val="21"/>
          <w:szCs w:val="21"/>
        </w:rPr>
        <w:t>七</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存货</w:t>
      </w:r>
    </w:p>
    <w:p>
      <w:pPr>
        <w:tabs>
          <w:tab w:pos="1396" w:val="left" w:leader="none"/>
        </w:tabs>
        <w:spacing w:before="94"/>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存货分类</w:t>
      </w:r>
    </w:p>
    <w:p>
      <w:pPr>
        <w:spacing w:line="2370" w:lineRule="exact"/>
        <w:ind w:left="725"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30.35pt;height:118.5pt;mso-position-horizontal-relative:char;mso-position-vertical-relative:line" coordorigin="0,0" coordsize="8607,2370">
            <v:group style="position:absolute;left:31;top:10;width:1116;height:2" coordorigin="31,10" coordsize="1116,2">
              <v:shape style="position:absolute;left:31;top:10;width:1116;height:2" coordorigin="31,10" coordsize="1116,0" path="m31,10l1147,10e" filled="false" stroked="true" strokeweight=".95999pt" strokecolor="#000000">
                <v:path arrowok="t"/>
              </v:shape>
            </v:group>
            <v:group style="position:absolute;left:1147;top:10;width:3864;height:2" coordorigin="1147,10" coordsize="3864,2">
              <v:shape style="position:absolute;left:1147;top:10;width:3864;height:2" coordorigin="1147,10" coordsize="3864,0" path="m1147,10l5011,10e" filled="false" stroked="true" strokeweight=".95999pt" strokecolor="#000000">
                <v:path arrowok="t"/>
              </v:shape>
            </v:group>
            <v:group style="position:absolute;left:5011;top:10;width:3579;height:2" coordorigin="5011,10" coordsize="3579,2">
              <v:shape style="position:absolute;left:5011;top:10;width:3579;height:2" coordorigin="5011,10" coordsize="3579,0" path="m5011,10l8590,10e" filled="false" stroked="true" strokeweight=".95999pt" strokecolor="#000000">
                <v:path arrowok="t"/>
              </v:shape>
            </v:group>
            <v:group style="position:absolute;left:10;top:2360;width:1138;height:2" coordorigin="10,2360" coordsize="1138,2">
              <v:shape style="position:absolute;left:10;top:2360;width:1138;height:2" coordorigin="10,2360" coordsize="1138,0" path="m10,2360l1147,2360e" filled="false" stroked="true" strokeweight=".96002pt" strokecolor="#000000">
                <v:path arrowok="t"/>
              </v:shape>
            </v:group>
            <v:group style="position:absolute;left:1147;top:2360;width:1415;height:2" coordorigin="1147,2360" coordsize="1415,2">
              <v:shape style="position:absolute;left:1147;top:2360;width:1415;height:2" coordorigin="1147,2360" coordsize="1415,0" path="m1147,2360l2562,2360e" filled="false" stroked="true" strokeweight=".96002pt" strokecolor="#000000">
                <v:path arrowok="t"/>
              </v:shape>
            </v:group>
            <v:group style="position:absolute;left:2562;top:2360;width:1077;height:2" coordorigin="2562,2360" coordsize="1077,2">
              <v:shape style="position:absolute;left:2562;top:2360;width:1077;height:2" coordorigin="2562,2360" coordsize="1077,0" path="m2562,2360l3638,2360e" filled="false" stroked="true" strokeweight=".96002pt" strokecolor="#000000">
                <v:path arrowok="t"/>
              </v:shape>
            </v:group>
            <v:group style="position:absolute;left:3638;top:2360;width:1373;height:2" coordorigin="3638,2360" coordsize="1373,2">
              <v:shape style="position:absolute;left:3638;top:2360;width:1373;height:2" coordorigin="3638,2360" coordsize="1373,0" path="m3638,2360l5011,2360e" filled="false" stroked="true" strokeweight=".96002pt" strokecolor="#000000">
                <v:path arrowok="t"/>
              </v:shape>
            </v:group>
            <v:group style="position:absolute;left:5011;top:2360;width:1244;height:2" coordorigin="5011,2360" coordsize="1244,2">
              <v:shape style="position:absolute;left:5011;top:2360;width:1244;height:2" coordorigin="5011,2360" coordsize="1244,0" path="m5011,2360l6254,2360e" filled="false" stroked="true" strokeweight=".96002pt" strokecolor="#000000">
                <v:path arrowok="t"/>
              </v:shape>
            </v:group>
            <v:group style="position:absolute;left:6254;top:2360;width:1078;height:2" coordorigin="6254,2360" coordsize="1078,2">
              <v:shape style="position:absolute;left:6254;top:2360;width:1078;height:2" coordorigin="6254,2360" coordsize="1078,0" path="m6254,2360l7332,2360e" filled="false" stroked="true" strokeweight=".96002pt" strokecolor="#000000">
                <v:path arrowok="t"/>
              </v:shape>
              <v:shape style="position:absolute;left:24;top:19;width:8575;height:2332" type="#_x0000_t75" stroked="false">
                <v:imagedata r:id="rId62" o:title=""/>
              </v:shape>
            </v:group>
            <v:group style="position:absolute;left:7332;top:2360;width:1265;height:2" coordorigin="7332,2360" coordsize="1265,2">
              <v:shape style="position:absolute;left:7332;top:2360;width:1265;height:2" coordorigin="7332,2360" coordsize="1265,0" path="m7332,2360l8597,2360e" filled="false" stroked="true" strokeweight=".96002pt" strokecolor="#000000">
                <v:path arrowok="t"/>
              </v:shape>
              <v:shape style="position:absolute;left:2724;top:1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期末金额</w:t>
                      </w:r>
                    </w:p>
                  </w:txbxContent>
                </v:textbox>
                <w10:wrap type="none"/>
              </v:shape>
              <v:shape style="position:absolute;left:6446;top:1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期初金额</w:t>
                      </w:r>
                    </w:p>
                  </w:txbxContent>
                </v:textbox>
                <w10:wrap type="none"/>
              </v:shape>
              <v:shape style="position:absolute;left:272;top:37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722;top:37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1499;top:58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账面金额</w:t>
                      </w:r>
                    </w:p>
                  </w:txbxContent>
                </v:textbox>
                <w10:wrap type="none"/>
              </v:shape>
              <v:shape style="position:absolute;left:2746;top:58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跌价准备</w:t>
                      </w:r>
                    </w:p>
                  </w:txbxContent>
                </v:textbox>
                <w10:wrap type="none"/>
              </v:shape>
              <v:shape style="position:absolute;left:3970;top:58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5278;top:58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账面金额</w:t>
                      </w:r>
                    </w:p>
                  </w:txbxContent>
                </v:textbox>
                <w10:wrap type="none"/>
              </v:shape>
              <v:shape style="position:absolute;left:6438;top:58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跌价准备</w:t>
                      </w:r>
                    </w:p>
                  </w:txbxContent>
                </v:textbox>
                <w10:wrap type="none"/>
              </v:shape>
              <v:shape style="position:absolute;left:7607;top:58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79;top:97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原材料</w:t>
                      </w:r>
                    </w:p>
                  </w:txbxContent>
                </v:textbox>
                <w10:wrap type="none"/>
              </v:shape>
              <v:shape style="position:absolute;left:1564;top:990;width:89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109,403,118</w:t>
                      </w:r>
                    </w:p>
                  </w:txbxContent>
                </v:textbox>
                <w10:wrap type="none"/>
              </v:shape>
              <v:shape style="position:absolute;left:2815;top:990;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8,881,956</w:t>
                      </w:r>
                    </w:p>
                  </w:txbxContent>
                </v:textbox>
                <w10:wrap type="none"/>
              </v:shape>
              <v:shape style="position:absolute;left:4006;top:99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100,521,162</w:t>
                      </w:r>
                    </w:p>
                  </w:txbxContent>
                </v:textbox>
                <w10:wrap type="none"/>
              </v:shape>
              <v:shape style="position:absolute;left:5250;top:99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107,077,988</w:t>
                      </w:r>
                    </w:p>
                  </w:txbxContent>
                </v:textbox>
                <w10:wrap type="none"/>
              </v:shape>
              <v:shape style="position:absolute;left:6507;top:990;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8,034,565</w:t>
                      </w:r>
                    </w:p>
                  </w:txbxContent>
                </v:textbox>
                <w10:wrap type="none"/>
              </v:shape>
              <v:shape style="position:absolute;left:7677;top:99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99,043,423</w:t>
                      </w:r>
                    </w:p>
                  </w:txbxContent>
                </v:textbox>
                <w10:wrap type="none"/>
              </v:shape>
              <v:shape style="position:absolute;left:79;top:136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在产品</w:t>
                      </w:r>
                    </w:p>
                  </w:txbxContent>
                </v:textbox>
                <w10:wrap type="none"/>
              </v:shape>
              <v:shape style="position:absolute;left:1556;top:138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153,228,642</w:t>
                      </w:r>
                    </w:p>
                  </w:txbxContent>
                </v:textbox>
                <w10:wrap type="none"/>
              </v:shape>
              <v:shape style="position:absolute;left:2815;top:1380;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7,537,863</w:t>
                      </w:r>
                    </w:p>
                  </w:txbxContent>
                </v:textbox>
                <w10:wrap type="none"/>
              </v:shape>
              <v:shape style="position:absolute;left:4007;top:138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145,690,779</w:t>
                      </w:r>
                    </w:p>
                  </w:txbxContent>
                </v:textbox>
                <w10:wrap type="none"/>
              </v:shape>
              <v:shape style="position:absolute;left:5250;top:138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160,925,004</w:t>
                      </w:r>
                    </w:p>
                  </w:txbxContent>
                </v:textbox>
                <w10:wrap type="none"/>
              </v:shape>
              <v:shape style="position:absolute;left:6508;top:1380;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8,074,661</w:t>
                      </w:r>
                    </w:p>
                  </w:txbxContent>
                </v:textbox>
                <w10:wrap type="none"/>
              </v:shape>
              <v:shape style="position:absolute;left:7587;top:138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152,850,343</w:t>
                      </w:r>
                    </w:p>
                  </w:txbxContent>
                </v:textbox>
                <w10:wrap type="none"/>
              </v:shape>
              <v:shape style="position:absolute;left:79;top:175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产成品</w:t>
                      </w:r>
                    </w:p>
                  </w:txbxContent>
                </v:textbox>
                <w10:wrap type="none"/>
              </v:shape>
              <v:shape style="position:absolute;left:1646;top:177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51,274,838</w:t>
                      </w:r>
                    </w:p>
                  </w:txbxContent>
                </v:textbox>
                <w10:wrap type="none"/>
              </v:shape>
              <v:shape style="position:absolute;left:2951;top:1770;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204,348</w:t>
                      </w:r>
                    </w:p>
                  </w:txbxContent>
                </v:textbox>
                <w10:wrap type="none"/>
              </v:shape>
              <v:shape style="position:absolute;left:4097;top:177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51,070,490</w:t>
                      </w:r>
                    </w:p>
                  </w:txbxContent>
                </v:textbox>
                <w10:wrap type="none"/>
              </v:shape>
              <v:shape style="position:absolute;left:5340;top:177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87,105,618</w:t>
                      </w:r>
                    </w:p>
                  </w:txbxContent>
                </v:textbox>
                <w10:wrap type="none"/>
              </v:shape>
              <v:shape style="position:absolute;left:6643;top:1770;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204,348</w:t>
                      </w:r>
                    </w:p>
                  </w:txbxContent>
                </v:textbox>
                <w10:wrap type="none"/>
              </v:shape>
              <v:shape style="position:absolute;left:7678;top:177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86,901,270</w:t>
                      </w:r>
                    </w:p>
                  </w:txbxContent>
                </v:textbox>
                <w10:wrap type="none"/>
              </v:shape>
              <v:shape style="position:absolute;left:318;top:214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1556;top:2160;width:1980;height:180" type="#_x0000_t202" filled="false" stroked="false">
                <v:textbox inset="0,0,0,0">
                  <w:txbxContent>
                    <w:p>
                      <w:pPr>
                        <w:tabs>
                          <w:tab w:pos="1168"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313,906,598</w:t>
                        <w:tab/>
                        <w:t>16,624,167</w:t>
                      </w:r>
                    </w:p>
                  </w:txbxContent>
                </v:textbox>
                <w10:wrap type="none"/>
              </v:shape>
              <v:shape style="position:absolute;left:4007;top:216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297,282,431</w:t>
                      </w:r>
                    </w:p>
                  </w:txbxContent>
                </v:textbox>
                <w10:wrap type="none"/>
              </v:shape>
              <v:shape style="position:absolute;left:5250;top:2160;width:1979;height:180" type="#_x0000_t202" filled="false" stroked="false">
                <v:textbox inset="0,0,0,0">
                  <w:txbxContent>
                    <w:p>
                      <w:pPr>
                        <w:tabs>
                          <w:tab w:pos="116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355,108,610</w:t>
                        <w:tab/>
                        <w:t>16,313,574</w:t>
                      </w:r>
                    </w:p>
                  </w:txbxContent>
                </v:textbox>
                <w10:wrap type="none"/>
              </v:shape>
              <v:shape style="position:absolute;left:7587;top:216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338,795,036</w:t>
                      </w:r>
                    </w:p>
                  </w:txbxContent>
                </v:textbox>
                <w10:wrap type="none"/>
              </v:shape>
            </v:group>
          </v:group>
        </w:pict>
      </w:r>
      <w:r>
        <w:rPr>
          <w:rFonts w:ascii="宋体" w:hAnsi="宋体" w:cs="宋体" w:eastAsia="宋体" w:hint="default"/>
          <w:position w:val="-46"/>
          <w:sz w:val="20"/>
          <w:szCs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tabs>
          <w:tab w:pos="1413"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存货跌价准备</w:t>
      </w:r>
    </w:p>
    <w:p>
      <w:pPr>
        <w:spacing w:line="2370" w:lineRule="exact"/>
        <w:ind w:left="725"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31.05pt;height:118.5pt;mso-position-horizontal-relative:char;mso-position-vertical-relative:line" coordorigin="0,0" coordsize="8621,2370">
            <v:group style="position:absolute;left:31;top:10;width:1456;height:2" coordorigin="31,10" coordsize="1456,2">
              <v:shape style="position:absolute;left:31;top:10;width:1456;height:2" coordorigin="31,10" coordsize="1456,0" path="m31,10l1487,10e" filled="false" stroked="true" strokeweight=".95999pt" strokecolor="#000000">
                <v:path arrowok="t"/>
              </v:shape>
            </v:group>
            <v:group style="position:absolute;left:1487;top:10;width:1511;height:2" coordorigin="1487,10" coordsize="1511,2">
              <v:shape style="position:absolute;left:1487;top:10;width:1511;height:2" coordorigin="1487,10" coordsize="1511,0" path="m1487,10l2998,10e" filled="false" stroked="true" strokeweight=".95999pt" strokecolor="#000000">
                <v:path arrowok="t"/>
              </v:shape>
            </v:group>
            <v:group style="position:absolute;left:2998;top:10;width:1442;height:2" coordorigin="2998,10" coordsize="1442,2">
              <v:shape style="position:absolute;left:2998;top:10;width:1442;height:2" coordorigin="2998,10" coordsize="1442,0" path="m2998,10l4439,10e" filled="false" stroked="true" strokeweight=".95999pt" strokecolor="#000000">
                <v:path arrowok="t"/>
              </v:shape>
            </v:group>
            <v:group style="position:absolute;left:4439;top:10;width:2559;height:2" coordorigin="4439,10" coordsize="2559,2">
              <v:shape style="position:absolute;left:4439;top:10;width:2559;height:2" coordorigin="4439,10" coordsize="2559,0" path="m4439,10l6997,10e" filled="false" stroked="true" strokeweight=".95999pt" strokecolor="#000000">
                <v:path arrowok="t"/>
              </v:shape>
            </v:group>
            <v:group style="position:absolute;left:6997;top:10;width:1607;height:2" coordorigin="6997,10" coordsize="1607,2">
              <v:shape style="position:absolute;left:6997;top:10;width:1607;height:2" coordorigin="6997,10" coordsize="1607,0" path="m6997,10l8604,10e" filled="false" stroked="true" strokeweight=".95999pt" strokecolor="#000000">
                <v:path arrowok="t"/>
              </v:shape>
            </v:group>
            <v:group style="position:absolute;left:10;top:2360;width:1478;height:2" coordorigin="10,2360" coordsize="1478,2">
              <v:shape style="position:absolute;left:10;top:2360;width:1478;height:2" coordorigin="10,2360" coordsize="1478,0" path="m10,2360l1487,2360e" filled="false" stroked="true" strokeweight=".96001pt" strokecolor="#000000">
                <v:path arrowok="t"/>
              </v:shape>
            </v:group>
            <v:group style="position:absolute;left:1487;top:2360;width:1511;height:2" coordorigin="1487,2360" coordsize="1511,2">
              <v:shape style="position:absolute;left:1487;top:2360;width:1511;height:2" coordorigin="1487,2360" coordsize="1511,0" path="m1487,2360l2998,2360e" filled="false" stroked="true" strokeweight=".96001pt" strokecolor="#000000">
                <v:path arrowok="t"/>
              </v:shape>
            </v:group>
            <v:group style="position:absolute;left:2998;top:2360;width:1442;height:2" coordorigin="2998,2360" coordsize="1442,2">
              <v:shape style="position:absolute;left:2998;top:2360;width:1442;height:2" coordorigin="2998,2360" coordsize="1442,0" path="m2998,2360l4439,2360e" filled="false" stroked="true" strokeweight=".96001pt" strokecolor="#000000">
                <v:path arrowok="t"/>
              </v:shape>
            </v:group>
            <v:group style="position:absolute;left:4439;top:2360;width:1439;height:2" coordorigin="4439,2360" coordsize="1439,2">
              <v:shape style="position:absolute;left:4439;top:2360;width:1439;height:2" coordorigin="4439,2360" coordsize="1439,0" path="m4439,2360l5878,2360e" filled="false" stroked="true" strokeweight=".96001pt" strokecolor="#000000">
                <v:path arrowok="t"/>
              </v:shape>
            </v:group>
            <v:group style="position:absolute;left:5878;top:2360;width:1120;height:2" coordorigin="5878,2360" coordsize="1120,2">
              <v:shape style="position:absolute;left:5878;top:2360;width:1120;height:2" coordorigin="5878,2360" coordsize="1120,0" path="m5878,2360l6997,2360e" filled="false" stroked="true" strokeweight=".96001pt" strokecolor="#000000">
                <v:path arrowok="t"/>
              </v:shape>
              <v:shape style="position:absolute;left:24;top:19;width:8591;height:2332" type="#_x0000_t75" stroked="false">
                <v:imagedata r:id="rId63" o:title=""/>
              </v:shape>
            </v:group>
            <v:group style="position:absolute;left:6997;top:2360;width:1614;height:2" coordorigin="6997,2360" coordsize="1614,2">
              <v:shape style="position:absolute;left:6997;top:2360;width:1614;height:2" coordorigin="6997,2360" coordsize="1614,0" path="m6997,2360l8611,2360e" filled="false" stroked="true" strokeweight=".96001pt" strokecolor="#000000">
                <v:path arrowok="t"/>
              </v:shape>
              <v:shape style="position:absolute;left:5273;top:19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本期减少额</w:t>
                      </w:r>
                    </w:p>
                  </w:txbxContent>
                </v:textbox>
                <w10:wrap type="none"/>
              </v:shape>
              <v:shape style="position:absolute;left:397;top:37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存货种类</w:t>
                      </w:r>
                    </w:p>
                  </w:txbxContent>
                </v:textbox>
                <w10:wrap type="none"/>
              </v:shape>
              <v:shape style="position:absolute;left:1706;top:37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期初账面金额</w:t>
                      </w:r>
                    </w:p>
                  </w:txbxContent>
                </v:textbox>
                <w10:wrap type="none"/>
              </v:shape>
              <v:shape style="position:absolute;left:3272;top:37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本期计提额</w:t>
                      </w:r>
                    </w:p>
                  </w:txbxContent>
                </v:textbox>
                <w10:wrap type="none"/>
              </v:shape>
              <v:shape style="position:absolute;left:7266;top:37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期末账面金额</w:t>
                      </w:r>
                    </w:p>
                  </w:txbxContent>
                </v:textbox>
                <w10:wrap type="none"/>
              </v:shape>
              <v:shape style="position:absolute;left:4982;top:582;width:1640;height:180" type="#_x0000_t202" filled="false" stroked="false">
                <v:textbox inset="0,0,0,0">
                  <w:txbxContent>
                    <w:p>
                      <w:pPr>
                        <w:tabs>
                          <w:tab w:pos="127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转回</w:t>
                        <w:tab/>
                        <w:t>转销</w:t>
                      </w:r>
                    </w:p>
                  </w:txbxContent>
                </v:textbox>
                <w10:wrap type="none"/>
              </v:shape>
              <v:shape style="position:absolute;left:132;top:97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原材料</w:t>
                      </w:r>
                    </w:p>
                  </w:txbxContent>
                </v:textbox>
                <w10:wrap type="none"/>
              </v:shape>
              <v:shape style="position:absolute;left:2173;top:992;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8,034,565</w:t>
                      </w:r>
                    </w:p>
                  </w:txbxContent>
                </v:textbox>
                <w10:wrap type="none"/>
              </v:shape>
              <v:shape style="position:absolute;left:3750;top:99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847,391</w:t>
                      </w:r>
                    </w:p>
                  </w:txbxContent>
                </v:textbox>
                <w10:wrap type="none"/>
              </v:shape>
              <v:shape style="position:absolute;left:7782;top:992;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8,881,956</w:t>
                      </w:r>
                    </w:p>
                  </w:txbxContent>
                </v:textbox>
                <w10:wrap type="none"/>
              </v:shape>
              <v:shape style="position:absolute;left:132;top:136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在产品</w:t>
                      </w:r>
                    </w:p>
                  </w:txbxContent>
                </v:textbox>
                <w10:wrap type="none"/>
              </v:shape>
              <v:shape style="position:absolute;left:2173;top:1382;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8,074,661</w:t>
                      </w:r>
                    </w:p>
                  </w:txbxContent>
                </v:textbox>
                <w10:wrap type="none"/>
              </v:shape>
              <v:shape style="position:absolute;left:5189;top:138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536,798</w:t>
                      </w:r>
                    </w:p>
                  </w:txbxContent>
                </v:textbox>
                <w10:wrap type="none"/>
              </v:shape>
              <v:shape style="position:absolute;left:7782;top:1382;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7,537,863</w:t>
                      </w:r>
                    </w:p>
                  </w:txbxContent>
                </v:textbox>
                <w10:wrap type="none"/>
              </v:shape>
              <v:shape style="position:absolute;left:132;top:17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产成品</w:t>
                      </w:r>
                    </w:p>
                  </w:txbxContent>
                </v:textbox>
                <w10:wrap type="none"/>
              </v:shape>
              <v:shape style="position:absolute;left:2309;top:177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204,348</w:t>
                      </w:r>
                    </w:p>
                  </w:txbxContent>
                </v:textbox>
                <w10:wrap type="none"/>
              </v:shape>
              <v:shape style="position:absolute;left:7918;top:177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204,348</w:t>
                      </w:r>
                    </w:p>
                  </w:txbxContent>
                </v:textbox>
                <w10:wrap type="none"/>
              </v:shape>
              <v:shape style="position:absolute;left:487;top:21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2083;top:216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16,313,574</w:t>
                      </w:r>
                    </w:p>
                  </w:txbxContent>
                </v:textbox>
                <w10:wrap type="none"/>
              </v:shape>
              <v:shape style="position:absolute;left:3750;top:216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847,391</w:t>
                      </w:r>
                    </w:p>
                  </w:txbxContent>
                </v:textbox>
                <w10:wrap type="none"/>
              </v:shape>
              <v:shape style="position:absolute;left:5189;top:216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536,798</w:t>
                      </w:r>
                    </w:p>
                  </w:txbxContent>
                </v:textbox>
                <w10:wrap type="none"/>
              </v:shape>
              <v:shape style="position:absolute;left:7692;top:216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16,624,167</w:t>
                      </w:r>
                    </w:p>
                  </w:txbxContent>
                </v:textbox>
                <w10:wrap type="none"/>
              </v:shape>
            </v:group>
          </v:group>
        </w:pict>
      </w:r>
      <w:r>
        <w:rPr>
          <w:rFonts w:ascii="宋体" w:hAnsi="宋体" w:cs="宋体" w:eastAsia="宋体" w:hint="default"/>
          <w:position w:val="-46"/>
          <w:sz w:val="20"/>
          <w:szCs w:val="20"/>
        </w:rPr>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tabs>
          <w:tab w:pos="1413"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存货跌价准备情况</w:t>
      </w:r>
    </w:p>
    <w:p>
      <w:pPr>
        <w:spacing w:line="1969" w:lineRule="exact"/>
        <w:ind w:left="725"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431.05pt;height:98.5pt;mso-position-horizontal-relative:char;mso-position-vertical-relative:line" coordorigin="0,0" coordsize="8621,1970">
            <v:group style="position:absolute;left:24;top:10;width:1088;height:2" coordorigin="24,10" coordsize="1088,2">
              <v:shape style="position:absolute;left:24;top:10;width:1088;height:2" coordorigin="24,10" coordsize="1088,0" path="m24,10l1111,10e" filled="false" stroked="true" strokeweight=".96001pt" strokecolor="#000000">
                <v:path arrowok="t"/>
              </v:shape>
            </v:group>
            <v:group style="position:absolute;left:1111;top:10;width:2397;height:2" coordorigin="1111,10" coordsize="2397,2">
              <v:shape style="position:absolute;left:1111;top:10;width:2397;height:2" coordorigin="1111,10" coordsize="2397,0" path="m1111,10l3508,10e" filled="false" stroked="true" strokeweight=".96001pt" strokecolor="#000000">
                <v:path arrowok="t"/>
              </v:shape>
            </v:group>
            <v:group style="position:absolute;left:3508;top:10;width:2796;height:2" coordorigin="3508,10" coordsize="2796,2">
              <v:shape style="position:absolute;left:3508;top:10;width:2796;height:2" coordorigin="3508,10" coordsize="2796,0" path="m3508,10l6304,10e" filled="false" stroked="true" strokeweight=".96001pt" strokecolor="#000000">
                <v:path arrowok="t"/>
              </v:shape>
            </v:group>
            <v:group style="position:absolute;left:6304;top:10;width:2301;height:2" coordorigin="6304,10" coordsize="2301,2">
              <v:shape style="position:absolute;left:6304;top:10;width:2301;height:2" coordorigin="6304,10" coordsize="2301,0" path="m6304,10l8604,10e" filled="false" stroked="true" strokeweight=".96001pt" strokecolor="#000000">
                <v:path arrowok="t"/>
              </v:shape>
            </v:group>
            <v:group style="position:absolute;left:10;top:1960;width:1102;height:2" coordorigin="10,1960" coordsize="1102,2">
              <v:shape style="position:absolute;left:10;top:1960;width:1102;height:2" coordorigin="10,1960" coordsize="1102,0" path="m10,1960l1111,1960e" filled="false" stroked="true" strokeweight=".96002pt" strokecolor="#000000">
                <v:path arrowok="t"/>
              </v:shape>
            </v:group>
            <v:group style="position:absolute;left:1111;top:1960;width:2397;height:2" coordorigin="1111,1960" coordsize="2397,2">
              <v:shape style="position:absolute;left:1111;top:1960;width:2397;height:2" coordorigin="1111,1960" coordsize="2397,0" path="m1111,1960l3508,1960e" filled="false" stroked="true" strokeweight=".96002pt" strokecolor="#000000">
                <v:path arrowok="t"/>
              </v:shape>
            </v:group>
            <v:group style="position:absolute;left:3508;top:1960;width:2796;height:2" coordorigin="3508,1960" coordsize="2796,2">
              <v:shape style="position:absolute;left:3508;top:1960;width:2796;height:2" coordorigin="3508,1960" coordsize="2796,0" path="m3508,1960l6304,1960e" filled="false" stroked="true" strokeweight=".96002pt" strokecolor="#000000">
                <v:path arrowok="t"/>
              </v:shape>
              <v:shape style="position:absolute;left:24;top:19;width:8588;height:1931" type="#_x0000_t75" stroked="false">
                <v:imagedata r:id="rId64" o:title=""/>
              </v:shape>
            </v:group>
            <v:group style="position:absolute;left:6304;top:1960;width:2308;height:2" coordorigin="6304,1960" coordsize="2308,2">
              <v:shape style="position:absolute;left:6304;top:1960;width:2308;height:2" coordorigin="6304,1960" coordsize="2308,0" path="m6304,1960l8611,1960e" filled="false" stroked="true" strokeweight=".96002pt" strokecolor="#000000">
                <v:path arrowok="t"/>
              </v:shape>
              <v:shape style="position:absolute;left:6469;top:19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本期转回金额占该项存货</w:t>
                      </w:r>
                    </w:p>
                  </w:txbxContent>
                </v:textbox>
                <w10:wrap type="none"/>
              </v:shape>
              <v:shape style="position:absolute;left:299;top:38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1325;top:38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计提存货跌价准备的依据</w:t>
                      </w:r>
                    </w:p>
                  </w:txbxContent>
                </v:textbox>
                <w10:wrap type="none"/>
              </v:shape>
              <v:shape style="position:absolute;left:3740;top:382;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本期转回存货跌价准备的原因</w:t>
                      </w:r>
                    </w:p>
                  </w:txbxContent>
                </v:textbox>
                <w10:wrap type="none"/>
              </v:shape>
              <v:shape style="position:absolute;left:6829;top:571;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期末金额的比例</w:t>
                      </w:r>
                    </w:p>
                  </w:txbxContent>
                </v:textbox>
                <w10:wrap type="none"/>
              </v:shape>
              <v:shape style="position:absolute;left:132;top:96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原材料</w:t>
                      </w:r>
                    </w:p>
                  </w:txbxContent>
                </v:textbox>
                <w10:wrap type="none"/>
              </v:shape>
              <v:shape style="position:absolute;left:1224;top:961;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可收回金额低于账面价值</w:t>
                      </w:r>
                    </w:p>
                  </w:txbxContent>
                </v:textbox>
                <w10:wrap type="none"/>
              </v:shape>
              <v:shape style="position:absolute;left:132;top:135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在产品</w:t>
                      </w:r>
                    </w:p>
                  </w:txbxContent>
                </v:textbox>
                <w10:wrap type="none"/>
              </v:shape>
              <v:shape style="position:absolute;left:1224;top:1351;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可收回金额低于账面价值</w:t>
                      </w:r>
                    </w:p>
                  </w:txbxContent>
                </v:textbox>
                <w10:wrap type="none"/>
              </v:shape>
              <v:shape style="position:absolute;left:3620;top:1351;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完工实现销售，价值回升</w:t>
                      </w:r>
                    </w:p>
                  </w:txbxContent>
                </v:textbox>
                <w10:wrap type="none"/>
              </v:shape>
              <v:shape style="position:absolute;left:132;top:174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产成品</w:t>
                      </w:r>
                    </w:p>
                  </w:txbxContent>
                </v:textbox>
                <w10:wrap type="none"/>
              </v:shape>
              <v:shape style="position:absolute;left:1224;top:1741;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可收回金额低于账面价值</w:t>
                      </w:r>
                    </w:p>
                  </w:txbxContent>
                </v:textbox>
                <w10:wrap type="none"/>
              </v:shape>
            </v:group>
          </v:group>
        </w:pict>
      </w:r>
      <w:r>
        <w:rPr>
          <w:rFonts w:ascii="宋体" w:hAnsi="宋体" w:cs="宋体" w:eastAsia="宋体" w:hint="default"/>
          <w:position w:val="-38"/>
          <w:sz w:val="20"/>
          <w:szCs w:val="20"/>
        </w:rPr>
      </w:r>
    </w:p>
    <w:p>
      <w:pPr>
        <w:spacing w:after="0" w:line="1969" w:lineRule="exact"/>
        <w:rPr>
          <w:rFonts w:ascii="宋体" w:hAnsi="宋体" w:cs="宋体" w:eastAsia="宋体" w:hint="default"/>
          <w:sz w:val="20"/>
          <w:szCs w:val="20"/>
        </w:rPr>
        <w:sectPr>
          <w:pgSz w:w="11900" w:h="16840"/>
          <w:pgMar w:header="883" w:footer="1003" w:top="1540" w:bottom="1200" w:left="1300" w:right="1140"/>
        </w:sectPr>
      </w:pPr>
    </w:p>
    <w:p>
      <w:pPr>
        <w:spacing w:line="240" w:lineRule="auto" w:before="10"/>
        <w:rPr>
          <w:rFonts w:ascii="宋体" w:hAnsi="宋体" w:cs="宋体" w:eastAsia="宋体" w:hint="default"/>
          <w:sz w:val="8"/>
          <w:szCs w:val="8"/>
        </w:rPr>
      </w:pPr>
    </w:p>
    <w:p>
      <w:pPr>
        <w:tabs>
          <w:tab w:pos="853" w:val="left" w:leader="none"/>
        </w:tabs>
        <w:spacing w:before="35"/>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八</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其他流动资产</w:t>
      </w:r>
    </w:p>
    <w:p>
      <w:pPr>
        <w:spacing w:line="2490" w:lineRule="exact"/>
        <w:ind w:left="725"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31.9pt;height:124.5pt;mso-position-horizontal-relative:char;mso-position-vertical-relative:line" coordorigin="0,0" coordsize="8638,2490">
            <v:group style="position:absolute;left:24;top:10;width:3551;height:2" coordorigin="24,10" coordsize="3551,2">
              <v:shape style="position:absolute;left:24;top:10;width:3551;height:2" coordorigin="24,10" coordsize="3551,0" path="m24,10l3575,10e" filled="false" stroked="true" strokeweight=".95996pt" strokecolor="#000000">
                <v:path arrowok="t"/>
              </v:shape>
            </v:group>
            <v:group style="position:absolute;left:3575;top:10;width:2542;height:2" coordorigin="3575,10" coordsize="2542,2">
              <v:shape style="position:absolute;left:3575;top:10;width:2542;height:2" coordorigin="3575,10" coordsize="2542,0" path="m3575,10l6116,10e" filled="false" stroked="true" strokeweight=".95996pt" strokecolor="#000000">
                <v:path arrowok="t"/>
              </v:shape>
            </v:group>
            <v:group style="position:absolute;left:6116;top:10;width:2505;height:2" coordorigin="6116,10" coordsize="2505,2">
              <v:shape style="position:absolute;left:6116;top:10;width:2505;height:2" coordorigin="6116,10" coordsize="2505,0" path="m6116,10l8621,10e" filled="false" stroked="true" strokeweight=".95996pt" strokecolor="#000000">
                <v:path arrowok="t"/>
              </v:shape>
            </v:group>
            <v:group style="position:absolute;left:10;top:2480;width:3566;height:2" coordorigin="10,2480" coordsize="3566,2">
              <v:shape style="position:absolute;left:10;top:2480;width:3566;height:2" coordorigin="10,2480" coordsize="3566,0" path="m10,2480l3575,2480e" filled="false" stroked="true" strokeweight=".96002pt" strokecolor="#000000">
                <v:path arrowok="t"/>
              </v:shape>
            </v:group>
            <v:group style="position:absolute;left:3575;top:2480;width:2542;height:2" coordorigin="3575,2480" coordsize="2542,2">
              <v:shape style="position:absolute;left:3575;top:2480;width:2542;height:2" coordorigin="3575,2480" coordsize="2542,0" path="m3575,2480l6116,2480e" filled="false" stroked="true" strokeweight=".96002pt" strokecolor="#000000">
                <v:path arrowok="t"/>
              </v:shape>
              <v:shape style="position:absolute;left:24;top:19;width:8608;height:2452" type="#_x0000_t75" stroked="false">
                <v:imagedata r:id="rId65" o:title=""/>
              </v:shape>
            </v:group>
            <v:group style="position:absolute;left:6116;top:2480;width:2512;height:2" coordorigin="6116,2480" coordsize="2512,2">
              <v:shape style="position:absolute;left:6116;top:2480;width:2512;height:2" coordorigin="6116,2480" coordsize="2512,0" path="m6116,2480l8628,2480e" filled="false" stroked="true" strokeweight=".96002pt" strokecolor="#000000">
                <v:path arrowok="t"/>
              </v:shape>
              <v:shape style="position:absolute;left:1381;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    目</w:t>
                      </w:r>
                    </w:p>
                  </w:txbxContent>
                </v:textbox>
                <w10:wrap type="none"/>
              </v:shape>
              <v:shape style="position:absolute;left:4430;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期末金额</w:t>
                      </w:r>
                    </w:p>
                  </w:txbxContent>
                </v:textbox>
                <w10:wrap type="none"/>
              </v:shape>
              <v:shape style="position:absolute;left:6954;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期初金额</w:t>
                      </w:r>
                    </w:p>
                  </w:txbxContent>
                </v:textbox>
                <w10:wrap type="none"/>
              </v:shape>
              <v:shape style="position:absolute;left:132;top:588;width:1050;height:144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待摊房产税</w:t>
                      </w:r>
                    </w:p>
                    <w:p>
                      <w:pPr>
                        <w:spacing w:line="357" w:lineRule="auto"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待摊营业税 租赁费</w:t>
                      </w:r>
                    </w:p>
                    <w:p>
                      <w:pPr>
                        <w:spacing w:before="32"/>
                        <w:ind w:left="0" w:right="0" w:firstLine="0"/>
                        <w:jc w:val="left"/>
                        <w:rPr>
                          <w:rFonts w:ascii="宋体" w:hAnsi="宋体" w:cs="宋体" w:eastAsia="宋体" w:hint="default"/>
                          <w:sz w:val="21"/>
                          <w:szCs w:val="21"/>
                        </w:rPr>
                      </w:pPr>
                      <w:r>
                        <w:rPr>
                          <w:rFonts w:ascii="宋体" w:hAnsi="宋体" w:cs="宋体" w:eastAsia="宋体" w:hint="default"/>
                          <w:sz w:val="21"/>
                          <w:szCs w:val="21"/>
                        </w:rPr>
                        <w:t>其  他</w:t>
                      </w:r>
                    </w:p>
                  </w:txbxContent>
                </v:textbox>
                <w10:wrap type="none"/>
              </v:shape>
              <v:shape style="position:absolute;left:1381;top:222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    计</w:t>
                      </w:r>
                    </w:p>
                  </w:txbxContent>
                </v:textbox>
                <w10:wrap type="none"/>
              </v:shape>
              <v:shape style="position:absolute;left:5076;top:613;width:939;height:1850" type="#_x0000_t202" filled="false" stroked="false">
                <v:textbox inset="0,0,0,0">
                  <w:txbxContent>
                    <w:p>
                      <w:pPr>
                        <w:spacing w:line="214" w:lineRule="exact" w:before="0"/>
                        <w:ind w:left="253" w:right="0" w:firstLine="0"/>
                        <w:jc w:val="center"/>
                        <w:rPr>
                          <w:rFonts w:ascii="Times New Roman" w:hAnsi="Times New Roman" w:cs="Times New Roman" w:eastAsia="Times New Roman" w:hint="default"/>
                          <w:sz w:val="21"/>
                          <w:szCs w:val="21"/>
                        </w:rPr>
                      </w:pPr>
                      <w:r>
                        <w:rPr>
                          <w:rFonts w:ascii="Times New Roman"/>
                          <w:spacing w:val="-1"/>
                          <w:sz w:val="21"/>
                        </w:rPr>
                        <w:t>201,469</w:t>
                      </w:r>
                    </w:p>
                    <w:p>
                      <w:pPr>
                        <w:spacing w:before="167"/>
                        <w:ind w:left="102" w:right="0" w:firstLine="0"/>
                        <w:jc w:val="center"/>
                        <w:rPr>
                          <w:rFonts w:ascii="Times New Roman" w:hAnsi="Times New Roman" w:cs="Times New Roman" w:eastAsia="Times New Roman" w:hint="default"/>
                          <w:sz w:val="21"/>
                          <w:szCs w:val="21"/>
                        </w:rPr>
                      </w:pPr>
                      <w:r>
                        <w:rPr>
                          <w:rFonts w:ascii="Times New Roman"/>
                          <w:spacing w:val="-2"/>
                          <w:sz w:val="21"/>
                        </w:rPr>
                        <w:t>4,711,404</w:t>
                      </w:r>
                    </w:p>
                    <w:p>
                      <w:pPr>
                        <w:spacing w:before="169"/>
                        <w:ind w:left="95" w:right="0" w:firstLine="0"/>
                        <w:jc w:val="center"/>
                        <w:rPr>
                          <w:rFonts w:ascii="Times New Roman" w:hAnsi="Times New Roman" w:cs="Times New Roman" w:eastAsia="Times New Roman" w:hint="default"/>
                          <w:sz w:val="21"/>
                          <w:szCs w:val="21"/>
                        </w:rPr>
                      </w:pPr>
                      <w:r>
                        <w:rPr>
                          <w:rFonts w:ascii="Times New Roman"/>
                          <w:spacing w:val="-1"/>
                          <w:sz w:val="21"/>
                        </w:rPr>
                        <w:t>1,248,979</w:t>
                      </w:r>
                    </w:p>
                    <w:p>
                      <w:pPr>
                        <w:spacing w:before="169"/>
                        <w:ind w:left="95" w:right="0" w:firstLine="0"/>
                        <w:jc w:val="center"/>
                        <w:rPr>
                          <w:rFonts w:ascii="Times New Roman" w:hAnsi="Times New Roman" w:cs="Times New Roman" w:eastAsia="Times New Roman" w:hint="default"/>
                          <w:sz w:val="21"/>
                          <w:szCs w:val="21"/>
                        </w:rPr>
                      </w:pPr>
                      <w:r>
                        <w:rPr>
                          <w:rFonts w:ascii="Times New Roman"/>
                          <w:spacing w:val="-1"/>
                          <w:sz w:val="21"/>
                        </w:rPr>
                        <w:t>5,153,783</w:t>
                      </w:r>
                    </w:p>
                    <w:p>
                      <w:pPr>
                        <w:spacing w:line="237" w:lineRule="exact" w:before="167"/>
                        <w:ind w:left="-1" w:right="0" w:firstLine="0"/>
                        <w:jc w:val="center"/>
                        <w:rPr>
                          <w:rFonts w:ascii="Times New Roman" w:hAnsi="Times New Roman" w:cs="Times New Roman" w:eastAsia="Times New Roman" w:hint="default"/>
                          <w:sz w:val="21"/>
                          <w:szCs w:val="21"/>
                        </w:rPr>
                      </w:pPr>
                      <w:r>
                        <w:rPr>
                          <w:rFonts w:ascii="Times New Roman"/>
                          <w:spacing w:val="-2"/>
                          <w:sz w:val="21"/>
                        </w:rPr>
                        <w:t>11,315,635</w:t>
                      </w:r>
                    </w:p>
                  </w:txbxContent>
                </v:textbox>
                <w10:wrap type="none"/>
              </v:shape>
              <v:shape style="position:absolute;left:7575;top:613;width:945;height:1850" type="#_x0000_t202" filled="false" stroked="false">
                <v:textbox inset="0,0,0,0">
                  <w:txbxContent>
                    <w:p>
                      <w:pPr>
                        <w:spacing w:line="214" w:lineRule="exact" w:before="0"/>
                        <w:ind w:left="261" w:right="0" w:firstLine="0"/>
                        <w:jc w:val="center"/>
                        <w:rPr>
                          <w:rFonts w:ascii="Times New Roman" w:hAnsi="Times New Roman" w:cs="Times New Roman" w:eastAsia="Times New Roman" w:hint="default"/>
                          <w:sz w:val="21"/>
                          <w:szCs w:val="21"/>
                        </w:rPr>
                      </w:pPr>
                      <w:r>
                        <w:rPr>
                          <w:rFonts w:ascii="Times New Roman"/>
                          <w:spacing w:val="-1"/>
                          <w:sz w:val="21"/>
                        </w:rPr>
                        <w:t>202,895</w:t>
                      </w:r>
                    </w:p>
                    <w:p>
                      <w:pPr>
                        <w:spacing w:before="167"/>
                        <w:ind w:left="104" w:right="0" w:firstLine="0"/>
                        <w:jc w:val="center"/>
                        <w:rPr>
                          <w:rFonts w:ascii="Times New Roman" w:hAnsi="Times New Roman" w:cs="Times New Roman" w:eastAsia="Times New Roman" w:hint="default"/>
                          <w:sz w:val="21"/>
                          <w:szCs w:val="21"/>
                        </w:rPr>
                      </w:pPr>
                      <w:r>
                        <w:rPr>
                          <w:rFonts w:ascii="Times New Roman"/>
                          <w:spacing w:val="-1"/>
                          <w:sz w:val="21"/>
                        </w:rPr>
                        <w:t>2,088,139</w:t>
                      </w:r>
                    </w:p>
                    <w:p>
                      <w:pPr>
                        <w:spacing w:before="169"/>
                        <w:ind w:left="102" w:right="0" w:firstLine="0"/>
                        <w:jc w:val="center"/>
                        <w:rPr>
                          <w:rFonts w:ascii="Times New Roman" w:hAnsi="Times New Roman" w:cs="Times New Roman" w:eastAsia="Times New Roman" w:hint="default"/>
                          <w:sz w:val="21"/>
                          <w:szCs w:val="21"/>
                        </w:rPr>
                      </w:pPr>
                      <w:r>
                        <w:rPr>
                          <w:rFonts w:ascii="Times New Roman"/>
                          <w:spacing w:val="-1"/>
                          <w:sz w:val="21"/>
                        </w:rPr>
                        <w:t>2,526,801</w:t>
                      </w:r>
                    </w:p>
                    <w:p>
                      <w:pPr>
                        <w:spacing w:before="169"/>
                        <w:ind w:left="102" w:right="0" w:firstLine="0"/>
                        <w:jc w:val="center"/>
                        <w:rPr>
                          <w:rFonts w:ascii="Times New Roman" w:hAnsi="Times New Roman" w:cs="Times New Roman" w:eastAsia="Times New Roman" w:hint="default"/>
                          <w:sz w:val="21"/>
                          <w:szCs w:val="21"/>
                        </w:rPr>
                      </w:pPr>
                      <w:r>
                        <w:rPr>
                          <w:rFonts w:ascii="Times New Roman"/>
                          <w:spacing w:val="-1"/>
                          <w:sz w:val="21"/>
                        </w:rPr>
                        <w:t>5,250,081</w:t>
                      </w:r>
                    </w:p>
                    <w:p>
                      <w:pPr>
                        <w:spacing w:line="237" w:lineRule="exact" w:before="167"/>
                        <w:ind w:left="-1" w:right="0" w:firstLine="0"/>
                        <w:jc w:val="center"/>
                        <w:rPr>
                          <w:rFonts w:ascii="Times New Roman" w:hAnsi="Times New Roman" w:cs="Times New Roman" w:eastAsia="Times New Roman" w:hint="default"/>
                          <w:sz w:val="21"/>
                          <w:szCs w:val="21"/>
                        </w:rPr>
                      </w:pPr>
                      <w:r>
                        <w:rPr>
                          <w:rFonts w:ascii="Times New Roman"/>
                          <w:spacing w:val="-1"/>
                          <w:sz w:val="21"/>
                        </w:rPr>
                        <w:t>10,067,916</w:t>
                      </w:r>
                    </w:p>
                  </w:txbxContent>
                </v:textbox>
                <w10:wrap type="none"/>
              </v:shape>
            </v:group>
          </v:group>
        </w:pict>
      </w:r>
      <w:r>
        <w:rPr>
          <w:rFonts w:ascii="宋体" w:hAnsi="宋体" w:cs="宋体" w:eastAsia="宋体" w:hint="default"/>
          <w:position w:val="-49"/>
          <w:sz w:val="20"/>
          <w:szCs w:val="20"/>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tabs>
          <w:tab w:pos="853" w:val="left" w:leader="none"/>
        </w:tabs>
        <w:spacing w:before="35"/>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九</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可供出售金融资产</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396"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可供出售金融资产情况</w:t>
      </w:r>
    </w:p>
    <w:p>
      <w:pPr>
        <w:spacing w:line="849" w:lineRule="exact"/>
        <w:ind w:left="725"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31.05pt;height:42.5pt;mso-position-horizontal-relative:char;mso-position-vertical-relative:line" coordorigin="0,0" coordsize="8621,850">
            <v:group style="position:absolute;left:24;top:10;width:3544;height:2" coordorigin="24,10" coordsize="3544,2">
              <v:shape style="position:absolute;left:24;top:10;width:3544;height:2" coordorigin="24,10" coordsize="3544,0" path="m24,10l3568,10e" filled="false" stroked="true" strokeweight=".95996pt" strokecolor="#000000">
                <v:path arrowok="t"/>
              </v:shape>
            </v:group>
            <v:group style="position:absolute;left:3568;top:10;width:2549;height:2" coordorigin="3568,10" coordsize="2549,2">
              <v:shape style="position:absolute;left:3568;top:10;width:2549;height:2" coordorigin="3568,10" coordsize="2549,0" path="m3568,10l6116,10e" filled="false" stroked="true" strokeweight=".95996pt" strokecolor="#000000">
                <v:path arrowok="t"/>
              </v:shape>
            </v:group>
            <v:group style="position:absolute;left:6116;top:10;width:2488;height:2" coordorigin="6116,10" coordsize="2488,2">
              <v:shape style="position:absolute;left:6116;top:10;width:2488;height:2" coordorigin="6116,10" coordsize="2488,0" path="m6116,10l8604,10e" filled="false" stroked="true" strokeweight=".95996pt" strokecolor="#000000">
                <v:path arrowok="t"/>
              </v:shape>
            </v:group>
            <v:group style="position:absolute;left:10;top:840;width:3558;height:2" coordorigin="10,840" coordsize="3558,2">
              <v:shape style="position:absolute;left:10;top:840;width:3558;height:2" coordorigin="10,840" coordsize="3558,0" path="m10,840l3568,840e" filled="false" stroked="true" strokeweight=".95999pt" strokecolor="#000000">
                <v:path arrowok="t"/>
              </v:shape>
            </v:group>
            <v:group style="position:absolute;left:3568;top:840;width:2549;height:2" coordorigin="3568,840" coordsize="2549,2">
              <v:shape style="position:absolute;left:3568;top:840;width:2549;height:2" coordorigin="3568,840" coordsize="2549,0" path="m3568,840l6116,840e" filled="false" stroked="true" strokeweight=".95999pt" strokecolor="#000000">
                <v:path arrowok="t"/>
              </v:shape>
              <v:shape style="position:absolute;left:24;top:19;width:8588;height:811" type="#_x0000_t75" stroked="false">
                <v:imagedata r:id="rId66" o:title=""/>
              </v:shape>
            </v:group>
            <v:group style="position:absolute;left:6116;top:840;width:2495;height:2" coordorigin="6116,840" coordsize="2495,2">
              <v:shape style="position:absolute;left:6116;top:840;width:2495;height:2" coordorigin="6116,840" coordsize="2495,0" path="m6116,840l8611,840e" filled="false" stroked="true" strokeweight=".95999pt" strokecolor="#000000">
                <v:path arrowok="t"/>
              </v:shape>
              <v:shape style="position:absolute;left:132;top:178;width:2086;height:620" type="#_x0000_t202" filled="false" stroked="false">
                <v:textbox inset="0,0,0,0">
                  <w:txbxContent>
                    <w:p>
                      <w:pPr>
                        <w:spacing w:line="210" w:lineRule="exact" w:before="0"/>
                        <w:ind w:left="1245" w:right="0" w:firstLine="0"/>
                        <w:jc w:val="left"/>
                        <w:rPr>
                          <w:rFonts w:ascii="宋体" w:hAnsi="宋体" w:cs="宋体" w:eastAsia="宋体" w:hint="default"/>
                          <w:sz w:val="21"/>
                          <w:szCs w:val="21"/>
                        </w:rPr>
                      </w:pPr>
                      <w:r>
                        <w:rPr>
                          <w:rFonts w:ascii="宋体" w:hAnsi="宋体" w:cs="宋体" w:eastAsia="宋体" w:hint="default"/>
                          <w:sz w:val="21"/>
                          <w:szCs w:val="21"/>
                        </w:rPr>
                        <w:t>项    目</w:t>
                      </w:r>
                    </w:p>
                    <w:p>
                      <w:pPr>
                        <w:spacing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可供出售权益工具</w:t>
                      </w:r>
                    </w:p>
                  </w:txbxContent>
                </v:textbox>
                <w10:wrap type="none"/>
              </v:shape>
              <v:shape style="position:absolute;left:4217;top:17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期末公允价值</w:t>
                      </w:r>
                    </w:p>
                  </w:txbxContent>
                </v:textbox>
                <w10:wrap type="none"/>
              </v:shape>
              <v:shape style="position:absolute;left:6736;top:17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期初公允价值</w:t>
                      </w:r>
                    </w:p>
                  </w:txbxContent>
                </v:textbox>
                <w10:wrap type="none"/>
              </v:shape>
              <v:shape style="position:absolute;left:7558;top:613;width:946;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80,171,609</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spacing w:before="35"/>
        <w:ind w:left="857" w:right="0" w:firstLine="0"/>
        <w:jc w:val="left"/>
        <w:rPr>
          <w:rFonts w:ascii="宋体" w:hAnsi="宋体" w:cs="宋体" w:eastAsia="宋体" w:hint="default"/>
          <w:sz w:val="21"/>
          <w:szCs w:val="21"/>
        </w:rPr>
      </w:pPr>
      <w:r>
        <w:rPr>
          <w:rFonts w:ascii="宋体" w:hAnsi="宋体" w:cs="宋体" w:eastAsia="宋体" w:hint="default"/>
          <w:sz w:val="21"/>
          <w:szCs w:val="21"/>
        </w:rPr>
        <w:t>可供出售权益工具的具体明细为：</w:t>
      </w:r>
    </w:p>
    <w:p>
      <w:pPr>
        <w:spacing w:line="240" w:lineRule="auto" w:before="6"/>
        <w:rPr>
          <w:rFonts w:ascii="宋体" w:hAnsi="宋体" w:cs="宋体" w:eastAsia="宋体" w:hint="default"/>
          <w:sz w:val="2"/>
          <w:szCs w:val="2"/>
        </w:rPr>
      </w:pPr>
    </w:p>
    <w:p>
      <w:pPr>
        <w:spacing w:line="2490" w:lineRule="exact"/>
        <w:ind w:left="725"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31.7pt;height:124.5pt;mso-position-horizontal-relative:char;mso-position-vertical-relative:line" coordorigin="0,0" coordsize="8634,2490">
            <v:group style="position:absolute;left:31;top:10;width:1636;height:2" coordorigin="31,10" coordsize="1636,2">
              <v:shape style="position:absolute;left:31;top:10;width:1636;height:2" coordorigin="31,10" coordsize="1636,0" path="m31,10l1667,10e" filled="false" stroked="true" strokeweight=".95999pt" strokecolor="#000000">
                <v:path arrowok="t"/>
              </v:shape>
            </v:group>
            <v:group style="position:absolute;left:1667;top:10;width:3204;height:2" coordorigin="1667,10" coordsize="3204,2">
              <v:shape style="position:absolute;left:1667;top:10;width:3204;height:2" coordorigin="1667,10" coordsize="3204,0" path="m1667,10l4871,10e" filled="false" stroked="true" strokeweight=".95999pt" strokecolor="#000000">
                <v:path arrowok="t"/>
              </v:shape>
            </v:group>
            <v:group style="position:absolute;left:4871;top:10;width:3747;height:2" coordorigin="4871,10" coordsize="3747,2">
              <v:shape style="position:absolute;left:4871;top:10;width:3747;height:2" coordorigin="4871,10" coordsize="3747,0" path="m4871,10l8617,10e" filled="false" stroked="true" strokeweight=".95999pt" strokecolor="#000000">
                <v:path arrowok="t"/>
              </v:shape>
            </v:group>
            <v:group style="position:absolute;left:10;top:2480;width:1658;height:2" coordorigin="10,2480" coordsize="1658,2">
              <v:shape style="position:absolute;left:10;top:2480;width:1658;height:2" coordorigin="10,2480" coordsize="1658,0" path="m10,2480l1667,2480e" filled="false" stroked="true" strokeweight=".95999pt" strokecolor="#000000">
                <v:path arrowok="t"/>
              </v:shape>
            </v:group>
            <v:group style="position:absolute;left:1667;top:2480;width:1713;height:2" coordorigin="1667,2480" coordsize="1713,2">
              <v:shape style="position:absolute;left:1667;top:2480;width:1713;height:2" coordorigin="1667,2480" coordsize="1713,0" path="m1667,2480l3379,2480e" filled="false" stroked="true" strokeweight=".95999pt" strokecolor="#000000">
                <v:path arrowok="t"/>
              </v:shape>
            </v:group>
            <v:group style="position:absolute;left:3379;top:2480;width:1492;height:2" coordorigin="3379,2480" coordsize="1492,2">
              <v:shape style="position:absolute;left:3379;top:2480;width:1492;height:2" coordorigin="3379,2480" coordsize="1492,0" path="m3379,2480l4871,2480e" filled="false" stroked="true" strokeweight=".95999pt" strokecolor="#000000">
                <v:path arrowok="t"/>
              </v:shape>
            </v:group>
            <v:group style="position:absolute;left:4871;top:2480;width:20;height:2" coordorigin="4871,2480" coordsize="20,2">
              <v:shape style="position:absolute;left:4871;top:2480;width:20;height:2" coordorigin="4871,2480" coordsize="20,0" path="m4871,2480l4890,2480e" filled="false" stroked="true" strokeweight=".95999pt" strokecolor="#000000">
                <v:path arrowok="t"/>
              </v:shape>
            </v:group>
            <v:group style="position:absolute;left:4890;top:2480;width:1964;height:2" coordorigin="4890,2480" coordsize="1964,2">
              <v:shape style="position:absolute;left:4890;top:2480;width:1964;height:2" coordorigin="4890,2480" coordsize="1964,0" path="m4890,2480l6853,2480e" filled="false" stroked="true" strokeweight=".96pt" strokecolor="#000000">
                <v:path arrowok="t"/>
              </v:shape>
              <v:shape style="position:absolute;left:24;top:19;width:8600;height:2452" type="#_x0000_t75" stroked="false">
                <v:imagedata r:id="rId67" o:title=""/>
              </v:shape>
            </v:group>
            <v:group style="position:absolute;left:6853;top:2480;width:1772;height:2" coordorigin="6853,2480" coordsize="1772,2">
              <v:shape style="position:absolute;left:6853;top:2480;width:1772;height:2" coordorigin="6853,2480" coordsize="1772,0" path="m6853,2480l8624,2480e" filled="false" stroked="true" strokeweight=".95999pt" strokecolor="#000000">
                <v:path arrowok="t"/>
              </v:shape>
              <v:shape style="position:absolute;left:2914;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期末金额</w:t>
                      </w:r>
                    </w:p>
                  </w:txbxContent>
                </v:textbox>
                <w10:wrap type="none"/>
              </v:shape>
              <v:shape style="position:absolute;left:6390;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期初金额</w:t>
                      </w:r>
                    </w:p>
                  </w:txbxContent>
                </v:textbox>
                <w10:wrap type="none"/>
              </v:shape>
              <v:shape style="position:absolute;left:307;top:40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可供出售股票</w:t>
                      </w:r>
                    </w:p>
                  </w:txbxContent>
                </v:textbox>
                <w10:wrap type="none"/>
              </v:shape>
              <v:shape style="position:absolute;left:1988;top:62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账面投资成本</w:t>
                      </w:r>
                    </w:p>
                  </w:txbxContent>
                </v:textbox>
                <w10:wrap type="none"/>
              </v:shape>
              <v:shape style="position:absolute;left:3769;top:6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公允价值</w:t>
                      </w:r>
                    </w:p>
                  </w:txbxContent>
                </v:textbox>
                <w10:wrap type="none"/>
              </v:shape>
              <v:shape style="position:absolute;left:5327;top:62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账面投资成本</w:t>
                      </w:r>
                    </w:p>
                  </w:txbxContent>
                </v:textbox>
                <w10:wrap type="none"/>
              </v:shape>
              <v:shape style="position:absolute;left:7381;top:6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公允价值</w:t>
                      </w:r>
                    </w:p>
                  </w:txbxContent>
                </v:textbox>
                <w10:wrap type="none"/>
              </v:shape>
              <v:shape style="position:absolute;left:132;top:1032;width:102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中国联通 </w:t>
                      </w:r>
                      <w:r>
                        <w:rPr>
                          <w:rFonts w:ascii="Times New Roman" w:hAnsi="Times New Roman" w:cs="Times New Roman" w:eastAsia="Times New Roman" w:hint="default"/>
                          <w:sz w:val="18"/>
                          <w:szCs w:val="18"/>
                        </w:rPr>
                        <w:t>(1)</w:t>
                      </w:r>
                    </w:p>
                  </w:txbxContent>
                </v:textbox>
                <w10:wrap type="none"/>
              </v:shape>
              <v:shape style="position:absolute;left:5940;top:105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29,237,521</w:t>
                      </w:r>
                    </w:p>
                  </w:txbxContent>
                </v:textbox>
                <w10:wrap type="none"/>
              </v:shape>
              <v:shape style="position:absolute;left:7705;top:105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80,148,423</w:t>
                      </w:r>
                    </w:p>
                  </w:txbxContent>
                </v:textbox>
                <w10:wrap type="none"/>
              </v:shape>
              <v:shape style="position:absolute;left:132;top:144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南京港</w:t>
                      </w:r>
                    </w:p>
                  </w:txbxContent>
                </v:textbox>
                <w10:wrap type="none"/>
              </v:shape>
              <v:shape style="position:absolute;left:942;top:1451;width:21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w:t>
                      </w:r>
                    </w:p>
                  </w:txbxContent>
                </v:textbox>
                <w10:wrap type="none"/>
              </v:shape>
              <v:shape style="position:absolute;left:6346;top:1461;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6,890</w:t>
                      </w:r>
                    </w:p>
                  </w:txbxContent>
                </v:textbox>
                <w10:wrap type="none"/>
              </v:shape>
              <v:shape style="position:absolute;left:8111;top:1461;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7,758</w:t>
                      </w:r>
                    </w:p>
                  </w:txbxContent>
                </v:textbox>
                <w10:wrap type="none"/>
              </v:shape>
              <v:shape style="position:absolute;left:132;top:1852;width:102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广州国光 </w:t>
                      </w:r>
                      <w:r>
                        <w:rPr>
                          <w:rFonts w:ascii="Times New Roman" w:hAnsi="Times New Roman" w:cs="Times New Roman" w:eastAsia="Times New Roman" w:hint="default"/>
                          <w:sz w:val="18"/>
                          <w:szCs w:val="18"/>
                        </w:rPr>
                        <w:t>(2)</w:t>
                      </w:r>
                    </w:p>
                  </w:txbxContent>
                </v:textbox>
                <w10:wrap type="none"/>
              </v:shape>
              <v:shape style="position:absolute;left:6256;top:1871;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10,184</w:t>
                      </w:r>
                    </w:p>
                  </w:txbxContent>
                </v:textbox>
                <w10:wrap type="none"/>
              </v:shape>
              <v:shape style="position:absolute;left:8021;top:1871;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15,428</w:t>
                      </w:r>
                    </w:p>
                  </w:txbxContent>
                </v:textbox>
                <w10:wrap type="none"/>
              </v:shape>
              <v:shape style="position:absolute;left:577;top:226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5940;top:228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29,254,595</w:t>
                      </w:r>
                    </w:p>
                  </w:txbxContent>
                </v:textbox>
                <w10:wrap type="none"/>
              </v:shape>
              <v:shape style="position:absolute;left:7705;top:228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80,171,609</w:t>
                      </w:r>
                    </w:p>
                  </w:txbxContent>
                </v:textbox>
                <w10:wrap type="none"/>
              </v:shape>
            </v:group>
          </v:group>
        </w:pict>
      </w:r>
      <w:r>
        <w:rPr>
          <w:rFonts w:ascii="宋体" w:hAnsi="宋体" w:cs="宋体" w:eastAsia="宋体" w:hint="default"/>
          <w:position w:val="-49"/>
          <w:sz w:val="20"/>
          <w:szCs w:val="20"/>
        </w:rPr>
      </w:r>
    </w:p>
    <w:p>
      <w:pPr>
        <w:spacing w:before="93"/>
        <w:ind w:left="857" w:right="0" w:firstLine="0"/>
        <w:jc w:val="both"/>
        <w:rPr>
          <w:rFonts w:ascii="Times New Roman" w:hAnsi="Times New Roman" w:cs="Times New Roman" w:eastAsia="Times New Roman" w:hint="default"/>
          <w:sz w:val="21"/>
          <w:szCs w:val="21"/>
        </w:rPr>
      </w:pPr>
      <w:r>
        <w:rPr>
          <w:rFonts w:ascii="宋体" w:hAnsi="宋体" w:cs="宋体" w:eastAsia="宋体" w:hint="default"/>
          <w:sz w:val="21"/>
          <w:szCs w:val="21"/>
        </w:rPr>
        <w:t>注</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z w:val="21"/>
          <w:szCs w:val="21"/>
        </w:rPr>
        <w:t>报告</w:t>
      </w:r>
      <w:r>
        <w:rPr>
          <w:rFonts w:ascii="宋体" w:hAnsi="宋体" w:cs="宋体" w:eastAsia="宋体" w:hint="default"/>
          <w:spacing w:val="-2"/>
          <w:sz w:val="21"/>
          <w:szCs w:val="21"/>
        </w:rPr>
        <w:t>期</w:t>
      </w:r>
      <w:r>
        <w:rPr>
          <w:rFonts w:ascii="宋体" w:hAnsi="宋体" w:cs="宋体" w:eastAsia="宋体" w:hint="default"/>
          <w:sz w:val="21"/>
          <w:szCs w:val="21"/>
        </w:rPr>
        <w:t>内本公司处置持有的全部</w:t>
      </w:r>
      <w:r>
        <w:rPr>
          <w:rFonts w:ascii="Times New Roman" w:hAnsi="Times New Roman" w:cs="Times New Roman" w:eastAsia="Times New Roman" w:hint="default"/>
          <w:spacing w:val="-1"/>
          <w:sz w:val="21"/>
          <w:szCs w:val="21"/>
        </w:rPr>
        <w:t>“</w:t>
      </w:r>
      <w:r>
        <w:rPr>
          <w:rFonts w:ascii="宋体" w:hAnsi="宋体" w:cs="宋体" w:eastAsia="宋体" w:hint="default"/>
          <w:sz w:val="21"/>
          <w:szCs w:val="21"/>
        </w:rPr>
        <w:t>中国联</w:t>
      </w:r>
      <w:r>
        <w:rPr>
          <w:rFonts w:ascii="宋体" w:hAnsi="宋体" w:cs="宋体" w:eastAsia="宋体" w:hint="default"/>
          <w:spacing w:val="1"/>
          <w:sz w:val="21"/>
          <w:szCs w:val="21"/>
        </w:rPr>
        <w:t>通</w:t>
      </w:r>
      <w:r>
        <w:rPr>
          <w:rFonts w:ascii="Times New Roman" w:hAnsi="Times New Roman" w:cs="Times New Roman" w:eastAsia="Times New Roman" w:hint="default"/>
          <w:sz w:val="21"/>
          <w:szCs w:val="21"/>
        </w:rPr>
        <w:t>”</w:t>
      </w:r>
      <w:r>
        <w:rPr>
          <w:rFonts w:ascii="宋体" w:hAnsi="宋体" w:cs="宋体" w:eastAsia="宋体" w:hint="default"/>
          <w:sz w:val="21"/>
          <w:szCs w:val="21"/>
        </w:rPr>
        <w:t>股票</w:t>
      </w:r>
      <w:r>
        <w:rPr>
          <w:rFonts w:ascii="宋体" w:hAnsi="宋体" w:cs="宋体" w:eastAsia="宋体" w:hint="default"/>
          <w:spacing w:val="-60"/>
          <w:sz w:val="21"/>
          <w:szCs w:val="21"/>
        </w:rPr>
        <w:t> </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,9</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4,</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8</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股</w:t>
      </w:r>
      <w:r>
        <w:rPr>
          <w:rFonts w:ascii="宋体" w:hAnsi="宋体" w:cs="宋体" w:eastAsia="宋体" w:hint="default"/>
          <w:spacing w:val="-105"/>
          <w:sz w:val="21"/>
          <w:szCs w:val="21"/>
        </w:rPr>
        <w:t>，</w:t>
      </w:r>
      <w:r>
        <w:rPr>
          <w:rFonts w:ascii="宋体" w:hAnsi="宋体" w:cs="宋体" w:eastAsia="宋体" w:hint="default"/>
          <w:sz w:val="21"/>
          <w:szCs w:val="21"/>
        </w:rPr>
        <w:t>取</w:t>
      </w:r>
      <w:r>
        <w:rPr>
          <w:rFonts w:ascii="宋体" w:hAnsi="宋体" w:cs="宋体" w:eastAsia="宋体" w:hint="default"/>
          <w:spacing w:val="-2"/>
          <w:sz w:val="21"/>
          <w:szCs w:val="21"/>
        </w:rPr>
        <w:t>得</w:t>
      </w:r>
      <w:r>
        <w:rPr>
          <w:rFonts w:ascii="宋体" w:hAnsi="宋体" w:cs="宋体" w:eastAsia="宋体" w:hint="default"/>
          <w:sz w:val="21"/>
          <w:szCs w:val="21"/>
        </w:rPr>
        <w:t>投资收益</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74</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9</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62</w:t>
      </w:r>
    </w:p>
    <w:p>
      <w:pPr>
        <w:spacing w:before="109"/>
        <w:ind w:left="857" w:right="0" w:firstLine="0"/>
        <w:jc w:val="both"/>
        <w:rPr>
          <w:rFonts w:ascii="宋体" w:hAnsi="宋体" w:cs="宋体" w:eastAsia="宋体" w:hint="default"/>
          <w:sz w:val="21"/>
          <w:szCs w:val="21"/>
        </w:rPr>
      </w:pPr>
      <w:r>
        <w:rPr>
          <w:rFonts w:ascii="宋体" w:hAnsi="宋体" w:cs="宋体" w:eastAsia="宋体" w:hint="default"/>
          <w:sz w:val="21"/>
          <w:szCs w:val="21"/>
        </w:rPr>
        <w:t>元；</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spacing w:line="331" w:lineRule="auto" w:before="0"/>
        <w:ind w:left="857" w:right="166" w:hanging="1"/>
        <w:jc w:val="both"/>
        <w:rPr>
          <w:rFonts w:ascii="宋体" w:hAnsi="宋体" w:cs="宋体" w:eastAsia="宋体" w:hint="default"/>
          <w:sz w:val="21"/>
          <w:szCs w:val="21"/>
        </w:rPr>
      </w:pPr>
      <w:r>
        <w:rPr>
          <w:rFonts w:ascii="宋体" w:hAnsi="宋体" w:cs="宋体" w:eastAsia="宋体" w:hint="default"/>
          <w:sz w:val="21"/>
          <w:szCs w:val="21"/>
        </w:rPr>
        <w:t>注 </w:t>
      </w:r>
      <w:r>
        <w:rPr>
          <w:rFonts w:ascii="Times New Roman" w:hAnsi="Times New Roman" w:cs="Times New Roman" w:eastAsia="Times New Roman" w:hint="default"/>
          <w:sz w:val="21"/>
          <w:szCs w:val="21"/>
        </w:rPr>
        <w:t>2</w:t>
      </w:r>
      <w:r>
        <w:rPr>
          <w:rFonts w:ascii="宋体" w:hAnsi="宋体" w:cs="宋体" w:eastAsia="宋体" w:hint="default"/>
          <w:sz w:val="21"/>
          <w:szCs w:val="21"/>
        </w:rPr>
        <w:t>：报告期内本公司对持有的</w:t>
      </w:r>
      <w:r>
        <w:rPr>
          <w:rFonts w:ascii="Times New Roman" w:hAnsi="Times New Roman" w:cs="Times New Roman" w:eastAsia="Times New Roman" w:hint="default"/>
          <w:sz w:val="21"/>
          <w:szCs w:val="21"/>
        </w:rPr>
        <w:t>“</w:t>
      </w:r>
      <w:r>
        <w:rPr>
          <w:rFonts w:ascii="宋体" w:hAnsi="宋体" w:cs="宋体" w:eastAsia="宋体" w:hint="default"/>
          <w:sz w:val="21"/>
          <w:szCs w:val="21"/>
        </w:rPr>
        <w:t>南京港</w:t>
      </w:r>
      <w:r>
        <w:rPr>
          <w:rFonts w:ascii="Times New Roman" w:hAnsi="Times New Roman" w:cs="Times New Roman" w:eastAsia="Times New Roman" w:hint="default"/>
          <w:sz w:val="21"/>
          <w:szCs w:val="21"/>
        </w:rPr>
        <w:t>”2,080 </w:t>
      </w:r>
      <w:r>
        <w:rPr>
          <w:rFonts w:ascii="宋体" w:hAnsi="宋体" w:cs="宋体" w:eastAsia="宋体" w:hint="default"/>
          <w:sz w:val="21"/>
          <w:szCs w:val="21"/>
        </w:rPr>
        <w:t>股股票，账面投资成本 </w:t>
      </w:r>
      <w:r>
        <w:rPr>
          <w:rFonts w:ascii="Times New Roman" w:hAnsi="Times New Roman" w:cs="Times New Roman" w:eastAsia="Times New Roman" w:hint="default"/>
          <w:sz w:val="21"/>
          <w:szCs w:val="21"/>
        </w:rPr>
        <w:t>6,890 </w:t>
      </w:r>
      <w:r>
        <w:rPr>
          <w:rFonts w:ascii="宋体" w:hAnsi="宋体" w:cs="宋体" w:eastAsia="宋体" w:hint="default"/>
          <w:sz w:val="21"/>
          <w:szCs w:val="21"/>
        </w:rPr>
        <w:t>元，以及</w:t>
      </w:r>
      <w:r>
        <w:rPr>
          <w:rFonts w:ascii="宋体" w:hAnsi="宋体" w:cs="宋体" w:eastAsia="宋体" w:hint="default"/>
          <w:spacing w:val="-24"/>
          <w:sz w:val="21"/>
          <w:szCs w:val="21"/>
        </w:rPr>
        <w:t> </w:t>
      </w:r>
      <w:r>
        <w:rPr>
          <w:rFonts w:ascii="Times New Roman" w:hAnsi="Times New Roman" w:cs="Times New Roman" w:eastAsia="Times New Roman" w:hint="default"/>
          <w:sz w:val="21"/>
          <w:szCs w:val="21"/>
        </w:rPr>
        <w:t>“</w:t>
      </w:r>
      <w:r>
        <w:rPr>
          <w:rFonts w:ascii="宋体" w:hAnsi="宋体" w:cs="宋体" w:eastAsia="宋体" w:hint="default"/>
          <w:sz w:val="21"/>
          <w:szCs w:val="21"/>
        </w:rPr>
        <w:t>广州 国光</w:t>
      </w:r>
      <w:r>
        <w:rPr>
          <w:rFonts w:ascii="Times New Roman" w:hAnsi="Times New Roman" w:cs="Times New Roman" w:eastAsia="Times New Roman" w:hint="default"/>
          <w:sz w:val="21"/>
          <w:szCs w:val="21"/>
        </w:rPr>
        <w:t>”3,192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股股票，账面投资成本</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10,184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元，因为跨市结转登记，长时间无法办理过户等原 因，公司予以核销，确认投资损失</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17,074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1"/>
        <w:rPr>
          <w:rFonts w:ascii="宋体" w:hAnsi="宋体" w:cs="宋体" w:eastAsia="宋体" w:hint="default"/>
          <w:sz w:val="32"/>
          <w:szCs w:val="32"/>
        </w:rPr>
      </w:pPr>
    </w:p>
    <w:p>
      <w:pPr>
        <w:spacing w:before="0"/>
        <w:ind w:left="857"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 </w:t>
      </w:r>
      <w:r>
        <w:rPr>
          <w:rFonts w:ascii="宋体" w:hAnsi="宋体" w:cs="宋体" w:eastAsia="宋体" w:hint="default"/>
          <w:spacing w:val="39"/>
          <w:sz w:val="21"/>
          <w:szCs w:val="21"/>
        </w:rPr>
        <w:t> </w:t>
      </w:r>
      <w:r>
        <w:rPr>
          <w:rFonts w:ascii="宋体" w:hAnsi="宋体" w:cs="宋体" w:eastAsia="宋体" w:hint="default"/>
          <w:sz w:val="21"/>
          <w:szCs w:val="21"/>
        </w:rPr>
        <w:t>可供出售金融资产中无长期债权投资；</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before="0"/>
        <w:ind w:left="857"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 </w:t>
      </w:r>
      <w:r>
        <w:rPr>
          <w:rFonts w:ascii="宋体" w:hAnsi="宋体" w:cs="宋体" w:eastAsia="宋体" w:hint="default"/>
          <w:spacing w:val="39"/>
          <w:sz w:val="21"/>
          <w:szCs w:val="21"/>
        </w:rPr>
        <w:t> </w:t>
      </w:r>
      <w:r>
        <w:rPr>
          <w:rFonts w:ascii="宋体" w:hAnsi="宋体" w:cs="宋体" w:eastAsia="宋体" w:hint="default"/>
          <w:sz w:val="21"/>
          <w:szCs w:val="21"/>
        </w:rPr>
        <w:t>无存在限售期限的可供出售金融资产。</w:t>
      </w:r>
    </w:p>
    <w:p>
      <w:pPr>
        <w:spacing w:after="0"/>
        <w:jc w:val="both"/>
        <w:rPr>
          <w:rFonts w:ascii="宋体" w:hAnsi="宋体" w:cs="宋体" w:eastAsia="宋体" w:hint="default"/>
          <w:sz w:val="21"/>
          <w:szCs w:val="21"/>
        </w:rPr>
        <w:sectPr>
          <w:pgSz w:w="11900" w:h="16840"/>
          <w:pgMar w:header="883" w:footer="1003" w:top="1540" w:bottom="1200" w:left="1300" w:right="1120"/>
        </w:sectPr>
      </w:pPr>
    </w:p>
    <w:p>
      <w:pPr>
        <w:spacing w:line="240" w:lineRule="auto" w:before="10"/>
        <w:rPr>
          <w:rFonts w:ascii="宋体" w:hAnsi="宋体" w:cs="宋体" w:eastAsia="宋体" w:hint="default"/>
          <w:sz w:val="8"/>
          <w:szCs w:val="8"/>
        </w:rPr>
      </w:pPr>
    </w:p>
    <w:tbl>
      <w:tblPr>
        <w:tblW w:w="0" w:type="auto"/>
        <w:jc w:val="left"/>
        <w:tblInd w:w="110" w:type="dxa"/>
        <w:tblLayout w:type="fixed"/>
        <w:tblCellMar>
          <w:top w:w="0" w:type="dxa"/>
          <w:left w:w="0" w:type="dxa"/>
          <w:bottom w:w="0" w:type="dxa"/>
          <w:right w:w="0" w:type="dxa"/>
        </w:tblCellMar>
        <w:tblLook w:val="01E0"/>
      </w:tblPr>
      <w:tblGrid>
        <w:gridCol w:w="666"/>
        <w:gridCol w:w="1506"/>
        <w:gridCol w:w="880"/>
        <w:gridCol w:w="1680"/>
        <w:gridCol w:w="965"/>
        <w:gridCol w:w="949"/>
        <w:gridCol w:w="1741"/>
        <w:gridCol w:w="865"/>
      </w:tblGrid>
      <w:tr>
        <w:trPr>
          <w:trHeight w:val="352" w:hRule="exact"/>
        </w:trPr>
        <w:tc>
          <w:tcPr>
            <w:tcW w:w="66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506" w:type="dxa"/>
            <w:tcBorders>
              <w:top w:val="nil" w:sz="6" w:space="0" w:color="auto"/>
              <w:left w:val="nil" w:sz="6" w:space="0" w:color="auto"/>
              <w:bottom w:val="single" w:sz="8" w:space="0" w:color="000000"/>
              <w:right w:val="nil" w:sz="6" w:space="0" w:color="auto"/>
            </w:tcBorders>
          </w:tcPr>
          <w:p>
            <w:pPr>
              <w:pStyle w:val="TableParagraph"/>
              <w:spacing w:line="240" w:lineRule="auto" w:before="35"/>
              <w:ind w:left="97"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7080" w:type="dxa"/>
            <w:gridSpan w:val="6"/>
            <w:tcBorders>
              <w:top w:val="nil" w:sz="6" w:space="0" w:color="auto"/>
              <w:left w:val="nil" w:sz="6" w:space="0" w:color="auto"/>
              <w:bottom w:val="single" w:sz="8" w:space="0" w:color="000000"/>
              <w:right w:val="nil" w:sz="6" w:space="0" w:color="auto"/>
            </w:tcBorders>
          </w:tcPr>
          <w:p>
            <w:pPr/>
          </w:p>
        </w:tc>
      </w:tr>
      <w:tr>
        <w:trPr>
          <w:trHeight w:val="614" w:hRule="exact"/>
        </w:trPr>
        <w:tc>
          <w:tcPr>
            <w:tcW w:w="666" w:type="dxa"/>
            <w:tcBorders>
              <w:top w:val="nil" w:sz="6" w:space="0" w:color="auto"/>
              <w:left w:val="nil" w:sz="6" w:space="0" w:color="auto"/>
              <w:bottom w:val="nil" w:sz="6" w:space="0" w:color="auto"/>
              <w:right w:val="nil" w:sz="6" w:space="0" w:color="auto"/>
            </w:tcBorders>
          </w:tcPr>
          <w:p>
            <w:pPr/>
          </w:p>
        </w:tc>
        <w:tc>
          <w:tcPr>
            <w:tcW w:w="1506" w:type="dxa"/>
            <w:tcBorders>
              <w:top w:val="single" w:sz="8"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1"/>
              <w:jc w:val="center"/>
              <w:rPr>
                <w:rFonts w:ascii="宋体" w:hAnsi="宋体" w:cs="宋体" w:eastAsia="宋体" w:hint="default"/>
                <w:sz w:val="15"/>
                <w:szCs w:val="15"/>
              </w:rPr>
            </w:pPr>
            <w:r>
              <w:rPr>
                <w:rFonts w:ascii="宋体" w:hAnsi="宋体" w:cs="宋体" w:eastAsia="宋体" w:hint="default"/>
                <w:sz w:val="15"/>
                <w:szCs w:val="15"/>
              </w:rPr>
              <w:t>项  目</w:t>
            </w:r>
          </w:p>
        </w:tc>
        <w:tc>
          <w:tcPr>
            <w:tcW w:w="880" w:type="dxa"/>
            <w:tcBorders>
              <w:top w:val="single" w:sz="8" w:space="0" w:color="000000"/>
              <w:left w:val="nil" w:sz="6" w:space="0" w:color="auto"/>
              <w:bottom w:val="nil" w:sz="6" w:space="0" w:color="auto"/>
              <w:right w:val="nil" w:sz="6" w:space="0" w:color="auto"/>
            </w:tcBorders>
          </w:tcPr>
          <w:p>
            <w:pPr/>
          </w:p>
        </w:tc>
        <w:tc>
          <w:tcPr>
            <w:tcW w:w="1680" w:type="dxa"/>
            <w:tcBorders>
              <w:top w:val="single" w:sz="8"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547" w:right="0"/>
              <w:jc w:val="left"/>
              <w:rPr>
                <w:rFonts w:ascii="宋体" w:hAnsi="宋体" w:cs="宋体" w:eastAsia="宋体" w:hint="default"/>
                <w:sz w:val="15"/>
                <w:szCs w:val="15"/>
              </w:rPr>
            </w:pPr>
            <w:r>
              <w:rPr>
                <w:rFonts w:ascii="宋体" w:hAnsi="宋体" w:cs="宋体" w:eastAsia="宋体" w:hint="default"/>
                <w:sz w:val="15"/>
                <w:szCs w:val="15"/>
              </w:rPr>
              <w:t>期末金额</w:t>
            </w:r>
          </w:p>
        </w:tc>
        <w:tc>
          <w:tcPr>
            <w:tcW w:w="965" w:type="dxa"/>
            <w:tcBorders>
              <w:top w:val="single" w:sz="8" w:space="0" w:color="000000"/>
              <w:left w:val="nil" w:sz="6" w:space="0" w:color="auto"/>
              <w:bottom w:val="nil" w:sz="6" w:space="0" w:color="auto"/>
              <w:right w:val="nil" w:sz="6" w:space="0" w:color="auto"/>
            </w:tcBorders>
          </w:tcPr>
          <w:p>
            <w:pPr/>
          </w:p>
        </w:tc>
        <w:tc>
          <w:tcPr>
            <w:tcW w:w="949" w:type="dxa"/>
            <w:tcBorders>
              <w:top w:val="single" w:sz="8" w:space="0" w:color="000000"/>
              <w:left w:val="nil" w:sz="6" w:space="0" w:color="auto"/>
              <w:bottom w:val="nil" w:sz="6" w:space="0" w:color="auto"/>
              <w:right w:val="nil" w:sz="6" w:space="0" w:color="auto"/>
            </w:tcBorders>
          </w:tcPr>
          <w:p>
            <w:pPr/>
          </w:p>
        </w:tc>
        <w:tc>
          <w:tcPr>
            <w:tcW w:w="1741" w:type="dxa"/>
            <w:tcBorders>
              <w:top w:val="single" w:sz="8"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503" w:right="0"/>
              <w:jc w:val="left"/>
              <w:rPr>
                <w:rFonts w:ascii="宋体" w:hAnsi="宋体" w:cs="宋体" w:eastAsia="宋体" w:hint="default"/>
                <w:sz w:val="15"/>
                <w:szCs w:val="15"/>
              </w:rPr>
            </w:pPr>
            <w:r>
              <w:rPr>
                <w:rFonts w:ascii="宋体" w:hAnsi="宋体" w:cs="宋体" w:eastAsia="宋体" w:hint="default"/>
                <w:sz w:val="15"/>
                <w:szCs w:val="15"/>
              </w:rPr>
              <w:t>期初金额</w:t>
            </w:r>
          </w:p>
        </w:tc>
        <w:tc>
          <w:tcPr>
            <w:tcW w:w="865" w:type="dxa"/>
            <w:tcBorders>
              <w:top w:val="single" w:sz="8" w:space="0" w:color="000000"/>
              <w:left w:val="nil" w:sz="6" w:space="0" w:color="auto"/>
              <w:bottom w:val="nil" w:sz="6" w:space="0" w:color="auto"/>
              <w:right w:val="nil" w:sz="6" w:space="0" w:color="auto"/>
            </w:tcBorders>
          </w:tcPr>
          <w:p>
            <w:pPr/>
          </w:p>
        </w:tc>
      </w:tr>
      <w:tr>
        <w:trPr>
          <w:trHeight w:val="316" w:hRule="exact"/>
        </w:trPr>
        <w:tc>
          <w:tcPr>
            <w:tcW w:w="666" w:type="dxa"/>
            <w:tcBorders>
              <w:top w:val="nil" w:sz="6" w:space="0" w:color="auto"/>
              <w:left w:val="nil" w:sz="6" w:space="0" w:color="auto"/>
              <w:bottom w:val="nil" w:sz="6" w:space="0" w:color="auto"/>
              <w:right w:val="nil" w:sz="6" w:space="0" w:color="auto"/>
            </w:tcBorders>
          </w:tcPr>
          <w:p>
            <w:pPr/>
          </w:p>
        </w:tc>
        <w:tc>
          <w:tcPr>
            <w:tcW w:w="1506" w:type="dxa"/>
            <w:tcBorders>
              <w:top w:val="nil" w:sz="6" w:space="0" w:color="auto"/>
              <w:left w:val="nil" w:sz="6" w:space="0" w:color="auto"/>
              <w:bottom w:val="nil" w:sz="6" w:space="0" w:color="auto"/>
              <w:right w:val="nil" w:sz="6" w:space="0" w:color="auto"/>
            </w:tcBorders>
          </w:tcPr>
          <w:p>
            <w:pPr/>
          </w:p>
        </w:tc>
        <w:tc>
          <w:tcPr>
            <w:tcW w:w="880" w:type="dxa"/>
            <w:tcBorders>
              <w:top w:val="nil" w:sz="6" w:space="0" w:color="auto"/>
              <w:left w:val="nil" w:sz="6" w:space="0" w:color="auto"/>
              <w:bottom w:val="nil" w:sz="6" w:space="0" w:color="auto"/>
              <w:right w:val="nil" w:sz="6" w:space="0" w:color="auto"/>
            </w:tcBorders>
          </w:tcPr>
          <w:p>
            <w:pPr>
              <w:pStyle w:val="TableParagraph"/>
              <w:spacing w:line="182" w:lineRule="exact"/>
              <w:ind w:left="188" w:right="0"/>
              <w:jc w:val="left"/>
              <w:rPr>
                <w:rFonts w:ascii="宋体" w:hAnsi="宋体" w:cs="宋体" w:eastAsia="宋体" w:hint="default"/>
                <w:sz w:val="15"/>
                <w:szCs w:val="15"/>
              </w:rPr>
            </w:pPr>
            <w:r>
              <w:rPr>
                <w:rFonts w:ascii="宋体" w:hAnsi="宋体" w:cs="宋体" w:eastAsia="宋体" w:hint="default"/>
                <w:sz w:val="15"/>
                <w:szCs w:val="15"/>
              </w:rPr>
              <w:t>金  额</w:t>
            </w:r>
          </w:p>
        </w:tc>
        <w:tc>
          <w:tcPr>
            <w:tcW w:w="1680" w:type="dxa"/>
            <w:tcBorders>
              <w:top w:val="nil" w:sz="6" w:space="0" w:color="auto"/>
              <w:left w:val="nil" w:sz="6" w:space="0" w:color="auto"/>
              <w:bottom w:val="nil" w:sz="6" w:space="0" w:color="auto"/>
              <w:right w:val="nil" w:sz="6" w:space="0" w:color="auto"/>
            </w:tcBorders>
          </w:tcPr>
          <w:p>
            <w:pPr>
              <w:pStyle w:val="TableParagraph"/>
              <w:tabs>
                <w:tab w:pos="884" w:val="left" w:leader="none"/>
              </w:tabs>
              <w:spacing w:line="194" w:lineRule="exact"/>
              <w:ind w:left="90" w:right="0"/>
              <w:jc w:val="left"/>
              <w:rPr>
                <w:rFonts w:ascii="宋体" w:hAnsi="宋体" w:cs="宋体" w:eastAsia="宋体"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坏账准备</w:t>
            </w:r>
          </w:p>
        </w:tc>
        <w:tc>
          <w:tcPr>
            <w:tcW w:w="965" w:type="dxa"/>
            <w:tcBorders>
              <w:top w:val="nil" w:sz="6" w:space="0" w:color="auto"/>
              <w:left w:val="nil" w:sz="6" w:space="0" w:color="auto"/>
              <w:bottom w:val="nil" w:sz="6" w:space="0" w:color="auto"/>
              <w:right w:val="nil" w:sz="6" w:space="0" w:color="auto"/>
            </w:tcBorders>
          </w:tcPr>
          <w:p>
            <w:pPr>
              <w:pStyle w:val="TableParagraph"/>
              <w:spacing w:line="182" w:lineRule="exact"/>
              <w:ind w:left="196" w:right="0"/>
              <w:jc w:val="left"/>
              <w:rPr>
                <w:rFonts w:ascii="宋体" w:hAnsi="宋体" w:cs="宋体" w:eastAsia="宋体" w:hint="default"/>
                <w:sz w:val="15"/>
                <w:szCs w:val="15"/>
              </w:rPr>
            </w:pPr>
            <w:r>
              <w:rPr>
                <w:rFonts w:ascii="宋体" w:hAnsi="宋体" w:cs="宋体" w:eastAsia="宋体" w:hint="default"/>
                <w:sz w:val="15"/>
                <w:szCs w:val="15"/>
              </w:rPr>
              <w:t>净  值</w:t>
            </w:r>
          </w:p>
        </w:tc>
        <w:tc>
          <w:tcPr>
            <w:tcW w:w="949" w:type="dxa"/>
            <w:tcBorders>
              <w:top w:val="nil" w:sz="6" w:space="0" w:color="auto"/>
              <w:left w:val="nil" w:sz="6" w:space="0" w:color="auto"/>
              <w:bottom w:val="nil" w:sz="6" w:space="0" w:color="auto"/>
              <w:right w:val="nil" w:sz="6" w:space="0" w:color="auto"/>
            </w:tcBorders>
          </w:tcPr>
          <w:p>
            <w:pPr>
              <w:pStyle w:val="TableParagraph"/>
              <w:spacing w:line="182" w:lineRule="exact"/>
              <w:ind w:left="196" w:right="0"/>
              <w:jc w:val="left"/>
              <w:rPr>
                <w:rFonts w:ascii="宋体" w:hAnsi="宋体" w:cs="宋体" w:eastAsia="宋体" w:hint="default"/>
                <w:sz w:val="15"/>
                <w:szCs w:val="15"/>
              </w:rPr>
            </w:pPr>
            <w:r>
              <w:rPr>
                <w:rFonts w:ascii="宋体" w:hAnsi="宋体" w:cs="宋体" w:eastAsia="宋体" w:hint="default"/>
                <w:sz w:val="15"/>
                <w:szCs w:val="15"/>
              </w:rPr>
              <w:t>金  额</w:t>
            </w:r>
          </w:p>
        </w:tc>
        <w:tc>
          <w:tcPr>
            <w:tcW w:w="1741" w:type="dxa"/>
            <w:tcBorders>
              <w:top w:val="nil" w:sz="6" w:space="0" w:color="auto"/>
              <w:left w:val="nil" w:sz="6" w:space="0" w:color="auto"/>
              <w:bottom w:val="nil" w:sz="6" w:space="0" w:color="auto"/>
              <w:right w:val="nil" w:sz="6" w:space="0" w:color="auto"/>
            </w:tcBorders>
          </w:tcPr>
          <w:p>
            <w:pPr>
              <w:pStyle w:val="TableParagraph"/>
              <w:tabs>
                <w:tab w:pos="931" w:val="left" w:leader="none"/>
              </w:tabs>
              <w:spacing w:line="194" w:lineRule="exact"/>
              <w:ind w:left="91" w:right="0"/>
              <w:jc w:val="left"/>
              <w:rPr>
                <w:rFonts w:ascii="宋体" w:hAnsi="宋体" w:cs="宋体" w:eastAsia="宋体"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坏账准备</w:t>
            </w:r>
          </w:p>
        </w:tc>
        <w:tc>
          <w:tcPr>
            <w:tcW w:w="865" w:type="dxa"/>
            <w:tcBorders>
              <w:top w:val="nil" w:sz="6" w:space="0" w:color="auto"/>
              <w:left w:val="nil" w:sz="6" w:space="0" w:color="auto"/>
              <w:bottom w:val="nil" w:sz="6" w:space="0" w:color="auto"/>
              <w:right w:val="nil" w:sz="6" w:space="0" w:color="auto"/>
            </w:tcBorders>
          </w:tcPr>
          <w:p>
            <w:pPr>
              <w:pStyle w:val="TableParagraph"/>
              <w:spacing w:line="182" w:lineRule="exact"/>
              <w:ind w:left="196" w:right="0"/>
              <w:jc w:val="left"/>
              <w:rPr>
                <w:rFonts w:ascii="宋体" w:hAnsi="宋体" w:cs="宋体" w:eastAsia="宋体" w:hint="default"/>
                <w:sz w:val="15"/>
                <w:szCs w:val="15"/>
              </w:rPr>
            </w:pPr>
            <w:r>
              <w:rPr>
                <w:rFonts w:ascii="宋体" w:hAnsi="宋体" w:cs="宋体" w:eastAsia="宋体" w:hint="default"/>
                <w:sz w:val="15"/>
                <w:szCs w:val="15"/>
              </w:rPr>
              <w:t>净  值</w:t>
            </w:r>
          </w:p>
        </w:tc>
      </w:tr>
      <w:tr>
        <w:trPr>
          <w:trHeight w:val="414" w:hRule="exact"/>
        </w:trPr>
        <w:tc>
          <w:tcPr>
            <w:tcW w:w="666" w:type="dxa"/>
            <w:tcBorders>
              <w:top w:val="nil" w:sz="6" w:space="0" w:color="auto"/>
              <w:left w:val="nil" w:sz="6" w:space="0" w:color="auto"/>
              <w:bottom w:val="nil" w:sz="6" w:space="0" w:color="auto"/>
              <w:right w:val="nil" w:sz="6" w:space="0" w:color="auto"/>
            </w:tcBorders>
          </w:tcPr>
          <w:p>
            <w:pPr/>
          </w:p>
        </w:tc>
        <w:tc>
          <w:tcPr>
            <w:tcW w:w="1506"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1" w:right="0"/>
              <w:jc w:val="left"/>
              <w:rPr>
                <w:rFonts w:ascii="宋体" w:hAnsi="宋体" w:cs="宋体" w:eastAsia="宋体" w:hint="default"/>
                <w:sz w:val="15"/>
                <w:szCs w:val="15"/>
              </w:rPr>
            </w:pPr>
            <w:r>
              <w:rPr>
                <w:rFonts w:ascii="宋体" w:hAnsi="宋体" w:cs="宋体" w:eastAsia="宋体" w:hint="default"/>
                <w:sz w:val="15"/>
                <w:szCs w:val="15"/>
              </w:rPr>
              <w:t>房租押金（</w:t>
            </w:r>
            <w:r>
              <w:rPr>
                <w:rFonts w:ascii="Times New Roman" w:hAnsi="Times New Roman" w:cs="Times New Roman" w:eastAsia="Times New Roman" w:hint="default"/>
                <w:sz w:val="15"/>
                <w:szCs w:val="15"/>
              </w:rPr>
              <w:t>1</w:t>
            </w:r>
            <w:r>
              <w:rPr>
                <w:rFonts w:ascii="宋体" w:hAnsi="宋体" w:cs="宋体" w:eastAsia="宋体" w:hint="default"/>
                <w:sz w:val="15"/>
                <w:szCs w:val="15"/>
              </w:rPr>
              <w:t>）</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88"/>
              <w:jc w:val="right"/>
              <w:rPr>
                <w:rFonts w:ascii="Times New Roman" w:hAnsi="Times New Roman" w:cs="Times New Roman" w:eastAsia="Times New Roman" w:hint="default"/>
                <w:sz w:val="15"/>
                <w:szCs w:val="15"/>
              </w:rPr>
            </w:pPr>
            <w:r>
              <w:rPr>
                <w:rFonts w:ascii="Times New Roman"/>
                <w:spacing w:val="-1"/>
                <w:sz w:val="15"/>
              </w:rPr>
              <w:t>4,667,351</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442" w:right="0"/>
              <w:jc w:val="left"/>
              <w:rPr>
                <w:rFonts w:ascii="Times New Roman" w:hAnsi="Times New Roman" w:cs="Times New Roman" w:eastAsia="Times New Roman" w:hint="default"/>
                <w:sz w:val="15"/>
                <w:szCs w:val="15"/>
              </w:rPr>
            </w:pPr>
            <w:r>
              <w:rPr>
                <w:rFonts w:ascii="Times New Roman"/>
                <w:sz w:val="15"/>
              </w:rPr>
              <w:t>2.88</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04"/>
              <w:jc w:val="right"/>
              <w:rPr>
                <w:rFonts w:ascii="Times New Roman" w:hAnsi="Times New Roman" w:cs="Times New Roman" w:eastAsia="Times New Roman" w:hint="default"/>
                <w:sz w:val="15"/>
                <w:szCs w:val="15"/>
              </w:rPr>
            </w:pPr>
            <w:r>
              <w:rPr>
                <w:rFonts w:ascii="Times New Roman"/>
                <w:spacing w:val="-1"/>
                <w:sz w:val="15"/>
              </w:rPr>
              <w:t>4,667,351</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89"/>
              <w:jc w:val="right"/>
              <w:rPr>
                <w:rFonts w:ascii="Times New Roman" w:hAnsi="Times New Roman" w:cs="Times New Roman" w:eastAsia="Times New Roman" w:hint="default"/>
                <w:sz w:val="15"/>
                <w:szCs w:val="15"/>
              </w:rPr>
            </w:pPr>
            <w:r>
              <w:rPr>
                <w:rFonts w:ascii="Times New Roman"/>
                <w:spacing w:val="-1"/>
                <w:sz w:val="15"/>
              </w:rPr>
              <w:t>4,982,478</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443" w:right="0"/>
              <w:jc w:val="left"/>
              <w:rPr>
                <w:rFonts w:ascii="Times New Roman" w:hAnsi="Times New Roman" w:cs="Times New Roman" w:eastAsia="Times New Roman" w:hint="default"/>
                <w:sz w:val="15"/>
                <w:szCs w:val="15"/>
              </w:rPr>
            </w:pPr>
            <w:r>
              <w:rPr>
                <w:rFonts w:ascii="Times New Roman"/>
                <w:sz w:val="15"/>
              </w:rPr>
              <w:t>1.80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34"/>
              <w:jc w:val="right"/>
              <w:rPr>
                <w:rFonts w:ascii="Times New Roman" w:hAnsi="Times New Roman" w:cs="Times New Roman" w:eastAsia="Times New Roman" w:hint="default"/>
                <w:sz w:val="15"/>
                <w:szCs w:val="15"/>
              </w:rPr>
            </w:pPr>
            <w:r>
              <w:rPr>
                <w:rFonts w:ascii="Times New Roman"/>
                <w:spacing w:val="-1"/>
                <w:sz w:val="15"/>
              </w:rPr>
              <w:t>4,982,478</w:t>
            </w:r>
          </w:p>
        </w:tc>
      </w:tr>
      <w:tr>
        <w:trPr>
          <w:trHeight w:val="410" w:hRule="exact"/>
        </w:trPr>
        <w:tc>
          <w:tcPr>
            <w:tcW w:w="666" w:type="dxa"/>
            <w:tcBorders>
              <w:top w:val="nil" w:sz="6" w:space="0" w:color="auto"/>
              <w:left w:val="nil" w:sz="6" w:space="0" w:color="auto"/>
              <w:bottom w:val="nil" w:sz="6" w:space="0" w:color="auto"/>
              <w:right w:val="nil" w:sz="6" w:space="0" w:color="auto"/>
            </w:tcBorders>
          </w:tcPr>
          <w:p>
            <w:pPr/>
          </w:p>
        </w:tc>
        <w:tc>
          <w:tcPr>
            <w:tcW w:w="150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41" w:right="0"/>
              <w:jc w:val="left"/>
              <w:rPr>
                <w:rFonts w:ascii="宋体" w:hAnsi="宋体" w:cs="宋体" w:eastAsia="宋体" w:hint="default"/>
                <w:sz w:val="15"/>
                <w:szCs w:val="15"/>
              </w:rPr>
            </w:pPr>
            <w:r>
              <w:rPr>
                <w:rFonts w:ascii="宋体" w:hAnsi="宋体" w:cs="宋体" w:eastAsia="宋体" w:hint="default"/>
                <w:sz w:val="15"/>
                <w:szCs w:val="15"/>
              </w:rPr>
              <w:t>分期收款（</w:t>
            </w:r>
            <w:r>
              <w:rPr>
                <w:rFonts w:ascii="Times New Roman" w:hAnsi="Times New Roman" w:cs="Times New Roman" w:eastAsia="Times New Roman" w:hint="default"/>
                <w:sz w:val="15"/>
                <w:szCs w:val="15"/>
              </w:rPr>
              <w:t>2</w:t>
            </w:r>
            <w:r>
              <w:rPr>
                <w:rFonts w:ascii="宋体" w:hAnsi="宋体" w:cs="宋体" w:eastAsia="宋体" w:hint="default"/>
                <w:sz w:val="15"/>
                <w:szCs w:val="15"/>
              </w:rPr>
              <w:t>）</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89"/>
              <w:jc w:val="right"/>
              <w:rPr>
                <w:rFonts w:ascii="Times New Roman" w:hAnsi="Times New Roman" w:cs="Times New Roman" w:eastAsia="Times New Roman" w:hint="default"/>
                <w:sz w:val="15"/>
                <w:szCs w:val="15"/>
              </w:rPr>
            </w:pPr>
            <w:r>
              <w:rPr>
                <w:rFonts w:ascii="Times New Roman"/>
                <w:spacing w:val="-1"/>
                <w:sz w:val="15"/>
              </w:rPr>
              <w:t>78,443,934</w:t>
            </w:r>
          </w:p>
        </w:tc>
        <w:tc>
          <w:tcPr>
            <w:tcW w:w="1680" w:type="dxa"/>
            <w:tcBorders>
              <w:top w:val="nil" w:sz="6" w:space="0" w:color="auto"/>
              <w:left w:val="nil" w:sz="6" w:space="0" w:color="auto"/>
              <w:bottom w:val="nil" w:sz="6" w:space="0" w:color="auto"/>
              <w:right w:val="nil" w:sz="6" w:space="0" w:color="auto"/>
            </w:tcBorders>
          </w:tcPr>
          <w:p>
            <w:pPr>
              <w:pStyle w:val="TableParagraph"/>
              <w:tabs>
                <w:tab w:pos="603" w:val="left" w:leader="none"/>
              </w:tabs>
              <w:spacing w:line="240" w:lineRule="auto" w:before="119"/>
              <w:ind w:right="105"/>
              <w:jc w:val="right"/>
              <w:rPr>
                <w:rFonts w:ascii="Times New Roman" w:hAnsi="Times New Roman" w:cs="Times New Roman" w:eastAsia="Times New Roman" w:hint="default"/>
                <w:sz w:val="15"/>
                <w:szCs w:val="15"/>
              </w:rPr>
            </w:pPr>
            <w:r>
              <w:rPr>
                <w:rFonts w:ascii="Times New Roman"/>
                <w:spacing w:val="-1"/>
                <w:sz w:val="15"/>
              </w:rPr>
              <w:t>48.38</w:t>
              <w:tab/>
              <w:t>1,212,916</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5"/>
              <w:jc w:val="right"/>
              <w:rPr>
                <w:rFonts w:ascii="Times New Roman" w:hAnsi="Times New Roman" w:cs="Times New Roman" w:eastAsia="Times New Roman" w:hint="default"/>
                <w:sz w:val="15"/>
                <w:szCs w:val="15"/>
              </w:rPr>
            </w:pPr>
            <w:r>
              <w:rPr>
                <w:rFonts w:ascii="Times New Roman"/>
                <w:spacing w:val="-1"/>
                <w:sz w:val="15"/>
              </w:rPr>
              <w:t>77,231,018</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89"/>
              <w:jc w:val="right"/>
              <w:rPr>
                <w:rFonts w:ascii="Times New Roman" w:hAnsi="Times New Roman" w:cs="Times New Roman" w:eastAsia="Times New Roman" w:hint="default"/>
                <w:sz w:val="15"/>
                <w:szCs w:val="15"/>
              </w:rPr>
            </w:pPr>
            <w:r>
              <w:rPr>
                <w:rFonts w:ascii="Times New Roman"/>
                <w:spacing w:val="-1"/>
                <w:sz w:val="15"/>
              </w:rPr>
              <w:t>75,943,604</w:t>
            </w:r>
          </w:p>
        </w:tc>
        <w:tc>
          <w:tcPr>
            <w:tcW w:w="1741" w:type="dxa"/>
            <w:tcBorders>
              <w:top w:val="nil" w:sz="6" w:space="0" w:color="auto"/>
              <w:left w:val="nil" w:sz="6" w:space="0" w:color="auto"/>
              <w:bottom w:val="nil" w:sz="6" w:space="0" w:color="auto"/>
              <w:right w:val="nil" w:sz="6" w:space="0" w:color="auto"/>
            </w:tcBorders>
          </w:tcPr>
          <w:p>
            <w:pPr>
              <w:pStyle w:val="TableParagraph"/>
              <w:tabs>
                <w:tab w:pos="806" w:val="left" w:leader="none"/>
              </w:tabs>
              <w:spacing w:line="240" w:lineRule="auto" w:before="119"/>
              <w:ind w:right="75"/>
              <w:jc w:val="right"/>
              <w:rPr>
                <w:rFonts w:ascii="Times New Roman" w:hAnsi="Times New Roman" w:cs="Times New Roman" w:eastAsia="Times New Roman" w:hint="default"/>
                <w:sz w:val="15"/>
                <w:szCs w:val="15"/>
              </w:rPr>
            </w:pPr>
            <w:r>
              <w:rPr>
                <w:rFonts w:ascii="Times New Roman"/>
                <w:spacing w:val="-1"/>
                <w:sz w:val="15"/>
              </w:rPr>
              <w:t>27.58</w:t>
              <w:tab/>
              <w:t>262,492</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4"/>
              <w:jc w:val="right"/>
              <w:rPr>
                <w:rFonts w:ascii="Times New Roman" w:hAnsi="Times New Roman" w:cs="Times New Roman" w:eastAsia="Times New Roman" w:hint="default"/>
                <w:sz w:val="15"/>
                <w:szCs w:val="15"/>
              </w:rPr>
            </w:pPr>
            <w:r>
              <w:rPr>
                <w:rFonts w:ascii="Times New Roman"/>
                <w:spacing w:val="-1"/>
                <w:w w:val="95"/>
                <w:sz w:val="15"/>
              </w:rPr>
              <w:t>75,681,112</w:t>
            </w:r>
          </w:p>
        </w:tc>
      </w:tr>
      <w:tr>
        <w:trPr>
          <w:trHeight w:val="410" w:hRule="exact"/>
        </w:trPr>
        <w:tc>
          <w:tcPr>
            <w:tcW w:w="666" w:type="dxa"/>
            <w:tcBorders>
              <w:top w:val="nil" w:sz="6" w:space="0" w:color="auto"/>
              <w:left w:val="nil" w:sz="6" w:space="0" w:color="auto"/>
              <w:bottom w:val="nil" w:sz="6" w:space="0" w:color="auto"/>
              <w:right w:val="nil" w:sz="6" w:space="0" w:color="auto"/>
            </w:tcBorders>
          </w:tcPr>
          <w:p>
            <w:pPr/>
          </w:p>
        </w:tc>
        <w:tc>
          <w:tcPr>
            <w:tcW w:w="150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41" w:right="0"/>
              <w:jc w:val="left"/>
              <w:rPr>
                <w:rFonts w:ascii="宋体" w:hAnsi="宋体" w:cs="宋体" w:eastAsia="宋体" w:hint="default"/>
                <w:sz w:val="15"/>
                <w:szCs w:val="15"/>
              </w:rPr>
            </w:pPr>
            <w:r>
              <w:rPr>
                <w:rFonts w:ascii="宋体" w:hAnsi="宋体" w:cs="宋体" w:eastAsia="宋体" w:hint="default"/>
                <w:sz w:val="15"/>
                <w:szCs w:val="15"/>
              </w:rPr>
              <w:t>转让资产应收款（</w:t>
            </w:r>
            <w:r>
              <w:rPr>
                <w:rFonts w:ascii="Times New Roman" w:hAnsi="Times New Roman" w:cs="Times New Roman" w:eastAsia="Times New Roman" w:hint="default"/>
                <w:sz w:val="15"/>
                <w:szCs w:val="15"/>
              </w:rPr>
              <w:t>3</w:t>
            </w:r>
            <w:r>
              <w:rPr>
                <w:rFonts w:ascii="宋体" w:hAnsi="宋体" w:cs="宋体" w:eastAsia="宋体" w:hint="default"/>
                <w:sz w:val="15"/>
                <w:szCs w:val="15"/>
              </w:rPr>
              <w:t>）</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89"/>
              <w:jc w:val="right"/>
              <w:rPr>
                <w:rFonts w:ascii="Times New Roman" w:hAnsi="Times New Roman" w:cs="Times New Roman" w:eastAsia="Times New Roman" w:hint="default"/>
                <w:sz w:val="15"/>
                <w:szCs w:val="15"/>
              </w:rPr>
            </w:pPr>
            <w:r>
              <w:rPr>
                <w:rFonts w:ascii="Times New Roman"/>
                <w:spacing w:val="-1"/>
                <w:sz w:val="15"/>
              </w:rPr>
              <w:t>79,040,000</w:t>
            </w:r>
          </w:p>
        </w:tc>
        <w:tc>
          <w:tcPr>
            <w:tcW w:w="1680" w:type="dxa"/>
            <w:tcBorders>
              <w:top w:val="nil" w:sz="6" w:space="0" w:color="auto"/>
              <w:left w:val="nil" w:sz="6" w:space="0" w:color="auto"/>
              <w:bottom w:val="nil" w:sz="6" w:space="0" w:color="auto"/>
              <w:right w:val="nil" w:sz="6" w:space="0" w:color="auto"/>
            </w:tcBorders>
          </w:tcPr>
          <w:p>
            <w:pPr>
              <w:pStyle w:val="TableParagraph"/>
              <w:tabs>
                <w:tab w:pos="603" w:val="left" w:leader="none"/>
              </w:tabs>
              <w:spacing w:line="240" w:lineRule="auto" w:before="119"/>
              <w:ind w:right="105"/>
              <w:jc w:val="right"/>
              <w:rPr>
                <w:rFonts w:ascii="Times New Roman" w:hAnsi="Times New Roman" w:cs="Times New Roman" w:eastAsia="Times New Roman" w:hint="default"/>
                <w:sz w:val="15"/>
                <w:szCs w:val="15"/>
              </w:rPr>
            </w:pPr>
            <w:r>
              <w:rPr>
                <w:rFonts w:ascii="Times New Roman"/>
                <w:spacing w:val="-1"/>
                <w:sz w:val="15"/>
              </w:rPr>
              <w:t>48.74</w:t>
              <w:tab/>
              <w:t>6,600,000</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5"/>
              <w:jc w:val="right"/>
              <w:rPr>
                <w:rFonts w:ascii="Times New Roman" w:hAnsi="Times New Roman" w:cs="Times New Roman" w:eastAsia="Times New Roman" w:hint="default"/>
                <w:sz w:val="15"/>
                <w:szCs w:val="15"/>
              </w:rPr>
            </w:pPr>
            <w:r>
              <w:rPr>
                <w:rFonts w:ascii="Times New Roman"/>
                <w:spacing w:val="-1"/>
                <w:sz w:val="15"/>
              </w:rPr>
              <w:t>72,440,000</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89"/>
              <w:jc w:val="right"/>
              <w:rPr>
                <w:rFonts w:ascii="Times New Roman" w:hAnsi="Times New Roman" w:cs="Times New Roman" w:eastAsia="Times New Roman" w:hint="default"/>
                <w:sz w:val="15"/>
                <w:szCs w:val="15"/>
              </w:rPr>
            </w:pPr>
            <w:r>
              <w:rPr>
                <w:rFonts w:ascii="Times New Roman"/>
                <w:spacing w:val="-1"/>
                <w:sz w:val="15"/>
              </w:rPr>
              <w:t>194,477,460</w:t>
            </w:r>
          </w:p>
        </w:tc>
        <w:tc>
          <w:tcPr>
            <w:tcW w:w="1741" w:type="dxa"/>
            <w:tcBorders>
              <w:top w:val="nil" w:sz="6" w:space="0" w:color="auto"/>
              <w:left w:val="nil" w:sz="6" w:space="0" w:color="auto"/>
              <w:bottom w:val="nil" w:sz="6" w:space="0" w:color="auto"/>
              <w:right w:val="nil" w:sz="6" w:space="0" w:color="auto"/>
            </w:tcBorders>
          </w:tcPr>
          <w:p>
            <w:pPr>
              <w:pStyle w:val="TableParagraph"/>
              <w:tabs>
                <w:tab w:pos="619" w:val="left" w:leader="none"/>
              </w:tabs>
              <w:spacing w:line="240" w:lineRule="auto" w:before="119"/>
              <w:ind w:right="75"/>
              <w:jc w:val="right"/>
              <w:rPr>
                <w:rFonts w:ascii="Times New Roman" w:hAnsi="Times New Roman" w:cs="Times New Roman" w:eastAsia="Times New Roman" w:hint="default"/>
                <w:sz w:val="15"/>
                <w:szCs w:val="15"/>
              </w:rPr>
            </w:pPr>
            <w:r>
              <w:rPr>
                <w:rFonts w:ascii="Times New Roman"/>
                <w:spacing w:val="-1"/>
                <w:sz w:val="15"/>
              </w:rPr>
              <w:t>70.62</w:t>
              <w:tab/>
              <w:t>20,173,882</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4"/>
              <w:jc w:val="right"/>
              <w:rPr>
                <w:rFonts w:ascii="Times New Roman" w:hAnsi="Times New Roman" w:cs="Times New Roman" w:eastAsia="Times New Roman" w:hint="default"/>
                <w:sz w:val="15"/>
                <w:szCs w:val="15"/>
              </w:rPr>
            </w:pPr>
            <w:r>
              <w:rPr>
                <w:rFonts w:ascii="Times New Roman"/>
                <w:spacing w:val="-1"/>
                <w:sz w:val="15"/>
              </w:rPr>
              <w:t>174,303,578</w:t>
            </w:r>
          </w:p>
        </w:tc>
      </w:tr>
      <w:tr>
        <w:trPr>
          <w:trHeight w:val="307" w:hRule="exact"/>
        </w:trPr>
        <w:tc>
          <w:tcPr>
            <w:tcW w:w="666" w:type="dxa"/>
            <w:tcBorders>
              <w:top w:val="nil" w:sz="6" w:space="0" w:color="auto"/>
              <w:left w:val="nil" w:sz="6" w:space="0" w:color="auto"/>
              <w:bottom w:val="nil" w:sz="6" w:space="0" w:color="auto"/>
              <w:right w:val="nil" w:sz="6" w:space="0" w:color="auto"/>
            </w:tcBorders>
          </w:tcPr>
          <w:p>
            <w:pPr/>
          </w:p>
        </w:tc>
        <w:tc>
          <w:tcPr>
            <w:tcW w:w="1506" w:type="dxa"/>
            <w:tcBorders>
              <w:top w:val="nil" w:sz="6" w:space="0" w:color="auto"/>
              <w:left w:val="nil" w:sz="6" w:space="0" w:color="auto"/>
              <w:bottom w:val="single" w:sz="8" w:space="0" w:color="000000"/>
              <w:right w:val="nil" w:sz="6" w:space="0" w:color="auto"/>
            </w:tcBorders>
          </w:tcPr>
          <w:p>
            <w:pPr>
              <w:pStyle w:val="TableParagraph"/>
              <w:spacing w:line="240" w:lineRule="auto" w:before="75"/>
              <w:ind w:right="11"/>
              <w:jc w:val="center"/>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c>
        <w:tc>
          <w:tcPr>
            <w:tcW w:w="880" w:type="dxa"/>
            <w:tcBorders>
              <w:top w:val="nil" w:sz="6" w:space="0" w:color="auto"/>
              <w:left w:val="nil" w:sz="6" w:space="0" w:color="auto"/>
              <w:bottom w:val="single" w:sz="8" w:space="0" w:color="000000"/>
              <w:right w:val="nil" w:sz="6" w:space="0" w:color="auto"/>
            </w:tcBorders>
          </w:tcPr>
          <w:p>
            <w:pPr>
              <w:pStyle w:val="TableParagraph"/>
              <w:spacing w:line="240" w:lineRule="auto" w:before="118"/>
              <w:ind w:right="88"/>
              <w:jc w:val="right"/>
              <w:rPr>
                <w:rFonts w:ascii="Times New Roman" w:hAnsi="Times New Roman" w:cs="Times New Roman" w:eastAsia="Times New Roman" w:hint="default"/>
                <w:sz w:val="15"/>
                <w:szCs w:val="15"/>
              </w:rPr>
            </w:pPr>
            <w:r>
              <w:rPr>
                <w:rFonts w:ascii="Times New Roman"/>
                <w:spacing w:val="-1"/>
                <w:sz w:val="15"/>
              </w:rPr>
              <w:t>162,151,285</w:t>
            </w:r>
          </w:p>
        </w:tc>
        <w:tc>
          <w:tcPr>
            <w:tcW w:w="1680" w:type="dxa"/>
            <w:tcBorders>
              <w:top w:val="nil" w:sz="6" w:space="0" w:color="auto"/>
              <w:left w:val="nil" w:sz="6" w:space="0" w:color="auto"/>
              <w:bottom w:val="single" w:sz="8" w:space="0" w:color="000000"/>
              <w:right w:val="nil" w:sz="6" w:space="0" w:color="auto"/>
            </w:tcBorders>
          </w:tcPr>
          <w:p>
            <w:pPr>
              <w:pStyle w:val="TableParagraph"/>
              <w:tabs>
                <w:tab w:pos="679" w:val="left" w:leader="none"/>
              </w:tabs>
              <w:spacing w:line="240" w:lineRule="auto" w:before="118"/>
              <w:ind w:right="105"/>
              <w:jc w:val="right"/>
              <w:rPr>
                <w:rFonts w:ascii="Times New Roman" w:hAnsi="Times New Roman" w:cs="Times New Roman" w:eastAsia="Times New Roman" w:hint="default"/>
                <w:sz w:val="15"/>
                <w:szCs w:val="15"/>
              </w:rPr>
            </w:pPr>
            <w:r>
              <w:rPr>
                <w:rFonts w:ascii="Times New Roman"/>
                <w:spacing w:val="-1"/>
                <w:sz w:val="15"/>
              </w:rPr>
              <w:t>100.00</w:t>
              <w:tab/>
              <w:t>7,812,916</w:t>
            </w:r>
          </w:p>
        </w:tc>
        <w:tc>
          <w:tcPr>
            <w:tcW w:w="965" w:type="dxa"/>
            <w:tcBorders>
              <w:top w:val="nil" w:sz="6" w:space="0" w:color="auto"/>
              <w:left w:val="nil" w:sz="6" w:space="0" w:color="auto"/>
              <w:bottom w:val="single" w:sz="8" w:space="0" w:color="000000"/>
              <w:right w:val="nil" w:sz="6" w:space="0" w:color="auto"/>
            </w:tcBorders>
          </w:tcPr>
          <w:p>
            <w:pPr>
              <w:pStyle w:val="TableParagraph"/>
              <w:spacing w:line="240" w:lineRule="auto" w:before="118"/>
              <w:ind w:right="104"/>
              <w:jc w:val="right"/>
              <w:rPr>
                <w:rFonts w:ascii="Times New Roman" w:hAnsi="Times New Roman" w:cs="Times New Roman" w:eastAsia="Times New Roman" w:hint="default"/>
                <w:sz w:val="15"/>
                <w:szCs w:val="15"/>
              </w:rPr>
            </w:pPr>
            <w:r>
              <w:rPr>
                <w:rFonts w:ascii="Times New Roman"/>
                <w:spacing w:val="-1"/>
                <w:sz w:val="15"/>
              </w:rPr>
              <w:t>154,338,369</w:t>
            </w:r>
          </w:p>
        </w:tc>
        <w:tc>
          <w:tcPr>
            <w:tcW w:w="949" w:type="dxa"/>
            <w:tcBorders>
              <w:top w:val="nil" w:sz="6" w:space="0" w:color="auto"/>
              <w:left w:val="nil" w:sz="6" w:space="0" w:color="auto"/>
              <w:bottom w:val="single" w:sz="8" w:space="0" w:color="000000"/>
              <w:right w:val="nil" w:sz="6" w:space="0" w:color="auto"/>
            </w:tcBorders>
          </w:tcPr>
          <w:p>
            <w:pPr>
              <w:pStyle w:val="TableParagraph"/>
              <w:spacing w:line="240" w:lineRule="auto" w:before="118"/>
              <w:ind w:right="89"/>
              <w:jc w:val="right"/>
              <w:rPr>
                <w:rFonts w:ascii="Times New Roman" w:hAnsi="Times New Roman" w:cs="Times New Roman" w:eastAsia="Times New Roman" w:hint="default"/>
                <w:sz w:val="15"/>
                <w:szCs w:val="15"/>
              </w:rPr>
            </w:pPr>
            <w:r>
              <w:rPr>
                <w:rFonts w:ascii="Times New Roman"/>
                <w:spacing w:val="-1"/>
                <w:sz w:val="15"/>
              </w:rPr>
              <w:t>275,403,542</w:t>
            </w:r>
          </w:p>
        </w:tc>
        <w:tc>
          <w:tcPr>
            <w:tcW w:w="1741" w:type="dxa"/>
            <w:tcBorders>
              <w:top w:val="nil" w:sz="6" w:space="0" w:color="auto"/>
              <w:left w:val="nil" w:sz="6" w:space="0" w:color="auto"/>
              <w:bottom w:val="single" w:sz="8" w:space="0" w:color="000000"/>
              <w:right w:val="nil" w:sz="6" w:space="0" w:color="auto"/>
            </w:tcBorders>
          </w:tcPr>
          <w:p>
            <w:pPr>
              <w:pStyle w:val="TableParagraph"/>
              <w:tabs>
                <w:tab w:pos="694" w:val="left" w:leader="none"/>
              </w:tabs>
              <w:spacing w:line="240" w:lineRule="auto" w:before="118"/>
              <w:ind w:right="75"/>
              <w:jc w:val="right"/>
              <w:rPr>
                <w:rFonts w:ascii="Times New Roman" w:hAnsi="Times New Roman" w:cs="Times New Roman" w:eastAsia="Times New Roman" w:hint="default"/>
                <w:sz w:val="15"/>
                <w:szCs w:val="15"/>
              </w:rPr>
            </w:pPr>
            <w:r>
              <w:rPr>
                <w:rFonts w:ascii="Times New Roman"/>
                <w:spacing w:val="-1"/>
                <w:sz w:val="15"/>
              </w:rPr>
              <w:t>100.00</w:t>
              <w:tab/>
              <w:t>20,436,374</w:t>
            </w:r>
          </w:p>
        </w:tc>
        <w:tc>
          <w:tcPr>
            <w:tcW w:w="865" w:type="dxa"/>
            <w:tcBorders>
              <w:top w:val="nil" w:sz="6" w:space="0" w:color="auto"/>
              <w:left w:val="nil" w:sz="6" w:space="0" w:color="auto"/>
              <w:bottom w:val="single" w:sz="8" w:space="0" w:color="000000"/>
              <w:right w:val="nil" w:sz="6" w:space="0" w:color="auto"/>
            </w:tcBorders>
          </w:tcPr>
          <w:p>
            <w:pPr>
              <w:pStyle w:val="TableParagraph"/>
              <w:spacing w:line="240" w:lineRule="auto" w:before="118"/>
              <w:ind w:right="34"/>
              <w:jc w:val="right"/>
              <w:rPr>
                <w:rFonts w:ascii="Times New Roman" w:hAnsi="Times New Roman" w:cs="Times New Roman" w:eastAsia="Times New Roman" w:hint="default"/>
                <w:sz w:val="15"/>
                <w:szCs w:val="15"/>
              </w:rPr>
            </w:pPr>
            <w:r>
              <w:rPr>
                <w:rFonts w:ascii="Times New Roman"/>
                <w:spacing w:val="-1"/>
                <w:sz w:val="15"/>
              </w:rPr>
              <w:t>254,967,168</w:t>
            </w:r>
          </w:p>
        </w:tc>
      </w:tr>
    </w:tbl>
    <w:p>
      <w:pPr>
        <w:spacing w:line="338" w:lineRule="auto" w:before="83"/>
        <w:ind w:left="877" w:right="144" w:firstLine="0"/>
        <w:jc w:val="both"/>
        <w:rPr>
          <w:rFonts w:ascii="宋体" w:hAnsi="宋体" w:cs="宋体" w:eastAsia="宋体" w:hint="default"/>
          <w:sz w:val="21"/>
          <w:szCs w:val="21"/>
        </w:rPr>
      </w:pPr>
      <w:r>
        <w:rPr/>
        <w:pict>
          <v:shape style="position:absolute;margin-left:102.480003pt;margin-top:-124.046356pt;width:415.532946pt;height:118.5pt;mso-position-horizontal-relative:page;mso-position-vertical-relative:paragraph;z-index:-989104" type="#_x0000_t75" stroked="false">
            <v:imagedata r:id="rId68" o:title=""/>
          </v:shape>
        </w:pict>
      </w:r>
      <w:r>
        <w:rPr>
          <w:rFonts w:ascii="宋体" w:hAnsi="宋体" w:cs="宋体" w:eastAsia="宋体" w:hint="default"/>
          <w:sz w:val="21"/>
          <w:szCs w:val="21"/>
        </w:rPr>
        <w:t>注</w:t>
      </w:r>
      <w:r>
        <w:rPr>
          <w:rFonts w:ascii="宋体" w:hAnsi="宋体" w:cs="宋体" w:eastAsia="宋体" w:hint="default"/>
          <w:spacing w:val="-44"/>
          <w:sz w:val="21"/>
          <w:szCs w:val="21"/>
        </w:rPr>
        <w:t> </w:t>
      </w:r>
      <w:r>
        <w:rPr>
          <w:rFonts w:ascii="Times New Roman" w:hAnsi="Times New Roman" w:cs="Times New Roman" w:eastAsia="Times New Roman" w:hint="default"/>
          <w:spacing w:val="-3"/>
          <w:sz w:val="21"/>
          <w:szCs w:val="21"/>
        </w:rPr>
        <w:t>1</w:t>
      </w:r>
      <w:r>
        <w:rPr>
          <w:rFonts w:ascii="宋体" w:hAnsi="宋体" w:cs="宋体" w:eastAsia="宋体" w:hint="default"/>
          <w:spacing w:val="-3"/>
          <w:sz w:val="21"/>
          <w:szCs w:val="21"/>
        </w:rPr>
        <w:t>：房屋押金为本公司之子公司东软（日本）有限公司所支付的房租押金，该房租押金仅当</w:t>
      </w:r>
      <w:r>
        <w:rPr>
          <w:rFonts w:ascii="宋体" w:hAnsi="宋体" w:cs="宋体" w:eastAsia="宋体" w:hint="default"/>
          <w:sz w:val="21"/>
          <w:szCs w:val="21"/>
        </w:rPr>
        <w:t> 该公司解除房屋租约时方可收回，根据该公司的经营情况，该公司暂无解除房屋租约的明确</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预期；</w:t>
      </w:r>
    </w:p>
    <w:p>
      <w:pPr>
        <w:spacing w:line="240" w:lineRule="auto" w:before="0"/>
        <w:rPr>
          <w:rFonts w:ascii="宋体" w:hAnsi="宋体" w:cs="宋体" w:eastAsia="宋体" w:hint="default"/>
          <w:sz w:val="20"/>
          <w:szCs w:val="20"/>
        </w:rPr>
      </w:pPr>
    </w:p>
    <w:p>
      <w:pPr>
        <w:spacing w:line="328" w:lineRule="auto" w:before="177"/>
        <w:ind w:left="877" w:right="147" w:hanging="1"/>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41"/>
          <w:sz w:val="21"/>
          <w:szCs w:val="21"/>
        </w:rPr>
        <w:t> </w:t>
      </w: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：分期收款为本公司之子公司沈阳东软医疗系统有限公司执行企业会计准则，分期收款销</w:t>
      </w:r>
      <w:r>
        <w:rPr>
          <w:rFonts w:ascii="宋体" w:hAnsi="宋体" w:cs="宋体" w:eastAsia="宋体" w:hint="default"/>
          <w:sz w:val="21"/>
          <w:szCs w:val="21"/>
        </w:rPr>
        <w:t> 售产品产生的应收款项，并参照应收款项的账龄计提坏账准备；</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spacing w:before="0"/>
        <w:ind w:left="877" w:right="0" w:firstLine="0"/>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48"/>
          <w:sz w:val="21"/>
          <w:szCs w:val="21"/>
        </w:rPr>
        <w:t> </w:t>
      </w:r>
      <w:r>
        <w:rPr>
          <w:rFonts w:ascii="Times New Roman" w:hAnsi="Times New Roman" w:cs="Times New Roman" w:eastAsia="Times New Roman" w:hint="default"/>
          <w:spacing w:val="-5"/>
          <w:sz w:val="21"/>
          <w:szCs w:val="21"/>
        </w:rPr>
        <w:t>3</w:t>
      </w:r>
      <w:r>
        <w:rPr>
          <w:rFonts w:ascii="宋体" w:hAnsi="宋体" w:cs="宋体" w:eastAsia="宋体" w:hint="default"/>
          <w:spacing w:val="-5"/>
          <w:sz w:val="21"/>
          <w:szCs w:val="21"/>
        </w:rPr>
        <w:t>：转让资产应收款期末余额</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79,040,000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元，为本集团之子公司成都东软信息技术发展有限</w:t>
      </w:r>
    </w:p>
    <w:p>
      <w:pPr>
        <w:spacing w:before="109"/>
        <w:ind w:left="877" w:right="0" w:firstLine="0"/>
        <w:jc w:val="both"/>
        <w:rPr>
          <w:rFonts w:ascii="宋体" w:hAnsi="宋体" w:cs="宋体" w:eastAsia="宋体" w:hint="default"/>
          <w:sz w:val="21"/>
          <w:szCs w:val="21"/>
        </w:rPr>
      </w:pPr>
      <w:r>
        <w:rPr>
          <w:rFonts w:ascii="宋体" w:hAnsi="宋体" w:cs="宋体" w:eastAsia="宋体" w:hint="default"/>
          <w:sz w:val="21"/>
          <w:szCs w:val="21"/>
        </w:rPr>
        <w:t>公司（</w:t>
      </w:r>
      <w:r>
        <w:rPr>
          <w:rFonts w:ascii="Times New Roman" w:hAnsi="Times New Roman" w:cs="Times New Roman" w:eastAsia="Times New Roman" w:hint="default"/>
          <w:sz w:val="21"/>
          <w:szCs w:val="21"/>
        </w:rPr>
        <w:t>“</w:t>
      </w:r>
      <w:r>
        <w:rPr>
          <w:rFonts w:ascii="宋体" w:hAnsi="宋体" w:cs="宋体" w:eastAsia="宋体" w:hint="default"/>
          <w:sz w:val="21"/>
          <w:szCs w:val="21"/>
        </w:rPr>
        <w:t>成都东软发展</w:t>
      </w:r>
      <w:r>
        <w:rPr>
          <w:rFonts w:ascii="Times New Roman" w:hAnsi="Times New Roman" w:cs="Times New Roman" w:eastAsia="Times New Roman" w:hint="default"/>
          <w:sz w:val="21"/>
          <w:szCs w:val="21"/>
        </w:rPr>
        <w:t>”</w:t>
      </w:r>
      <w:r>
        <w:rPr>
          <w:rFonts w:ascii="宋体" w:hAnsi="宋体" w:cs="宋体" w:eastAsia="宋体" w:hint="default"/>
          <w:sz w:val="21"/>
          <w:szCs w:val="21"/>
        </w:rPr>
        <w:t>）于</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年向成都东软信息技术职业学院（</w:t>
      </w:r>
      <w:r>
        <w:rPr>
          <w:rFonts w:ascii="Times New Roman" w:hAnsi="Times New Roman" w:cs="Times New Roman" w:eastAsia="Times New Roman" w:hint="default"/>
          <w:sz w:val="21"/>
          <w:szCs w:val="21"/>
        </w:rPr>
        <w:t>“</w:t>
      </w:r>
      <w:r>
        <w:rPr>
          <w:rFonts w:ascii="宋体" w:hAnsi="宋体" w:cs="宋体" w:eastAsia="宋体" w:hint="default"/>
          <w:sz w:val="21"/>
          <w:szCs w:val="21"/>
        </w:rPr>
        <w:t>成都职业学院</w:t>
      </w:r>
      <w:r>
        <w:rPr>
          <w:rFonts w:ascii="Times New Roman" w:hAnsi="Times New Roman" w:cs="Times New Roman" w:eastAsia="Times New Roman" w:hint="default"/>
          <w:sz w:val="21"/>
          <w:szCs w:val="21"/>
        </w:rPr>
        <w:t>”</w:t>
      </w:r>
      <w:r>
        <w:rPr>
          <w:rFonts w:ascii="宋体" w:hAnsi="宋体" w:cs="宋体" w:eastAsia="宋体" w:hint="default"/>
          <w:sz w:val="21"/>
          <w:szCs w:val="21"/>
        </w:rPr>
        <w:t>）转让资</w:t>
      </w:r>
    </w:p>
    <w:p>
      <w:pPr>
        <w:spacing w:before="110"/>
        <w:ind w:left="877" w:right="0" w:firstLine="0"/>
        <w:jc w:val="both"/>
        <w:rPr>
          <w:rFonts w:ascii="宋体" w:hAnsi="宋体" w:cs="宋体" w:eastAsia="宋体" w:hint="default"/>
          <w:sz w:val="21"/>
          <w:szCs w:val="21"/>
        </w:rPr>
      </w:pPr>
      <w:r>
        <w:rPr>
          <w:rFonts w:ascii="宋体" w:hAnsi="宋体" w:cs="宋体" w:eastAsia="宋体" w:hint="default"/>
          <w:sz w:val="21"/>
          <w:szCs w:val="21"/>
        </w:rPr>
        <w:t>产采取分期收款方式，按照协议进度，本报告期内收回 </w:t>
      </w:r>
      <w:r>
        <w:rPr>
          <w:rFonts w:ascii="Times New Roman" w:hAnsi="Times New Roman" w:cs="Times New Roman" w:eastAsia="Times New Roman" w:hint="default"/>
          <w:sz w:val="21"/>
          <w:szCs w:val="21"/>
        </w:rPr>
        <w:t>75,090,000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元，本期末应收款余额为</w:t>
      </w:r>
    </w:p>
    <w:p>
      <w:pPr>
        <w:spacing w:line="331" w:lineRule="auto" w:before="109"/>
        <w:ind w:left="877" w:right="147"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79,040,000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元。同时由于成都职业学院于</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年度内遭受四川地震损失，使该部分应收款项 的偿付受到影响，</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年内成都东软发展根据其对可收回情况的估计计提了专项坏账准备金 </w:t>
      </w:r>
      <w:r>
        <w:rPr>
          <w:rFonts w:ascii="Times New Roman" w:hAnsi="Times New Roman" w:cs="Times New Roman" w:eastAsia="Times New Roman" w:hint="default"/>
          <w:sz w:val="21"/>
          <w:szCs w:val="21"/>
        </w:rPr>
        <w:t>20,000,000 </w:t>
      </w:r>
      <w:r>
        <w:rPr>
          <w:rFonts w:ascii="宋体" w:hAnsi="宋体" w:cs="宋体" w:eastAsia="宋体" w:hint="default"/>
          <w:spacing w:val="-4"/>
          <w:sz w:val="21"/>
          <w:szCs w:val="21"/>
        </w:rPr>
        <w:t>元，本报告期根据可收回情况的判断，转回坏账准备 </w:t>
      </w:r>
      <w:r>
        <w:rPr>
          <w:rFonts w:ascii="Times New Roman" w:hAnsi="Times New Roman" w:cs="Times New Roman" w:eastAsia="Times New Roman" w:hint="default"/>
          <w:sz w:val="21"/>
          <w:szCs w:val="21"/>
        </w:rPr>
        <w:t>13,400,000</w:t>
      </w:r>
      <w:r>
        <w:rPr>
          <w:rFonts w:ascii="Times New Roman" w:hAnsi="Times New Roman" w:cs="Times New Roman" w:eastAsia="Times New Roman" w:hint="default"/>
          <w:spacing w:val="-30"/>
          <w:sz w:val="21"/>
          <w:szCs w:val="21"/>
        </w:rPr>
        <w:t> </w:t>
      </w:r>
      <w:r>
        <w:rPr>
          <w:rFonts w:ascii="宋体" w:hAnsi="宋体" w:cs="宋体" w:eastAsia="宋体" w:hint="default"/>
          <w:spacing w:val="-5"/>
          <w:sz w:val="21"/>
          <w:szCs w:val="21"/>
        </w:rPr>
        <w:t>元，坏账准备余额</w:t>
      </w:r>
    </w:p>
    <w:p>
      <w:pPr>
        <w:spacing w:before="20"/>
        <w:ind w:left="877" w:right="0" w:firstLine="0"/>
        <w:jc w:val="both"/>
        <w:rPr>
          <w:rFonts w:ascii="宋体" w:hAnsi="宋体" w:cs="宋体" w:eastAsia="宋体" w:hint="default"/>
          <w:sz w:val="21"/>
          <w:szCs w:val="21"/>
        </w:rPr>
      </w:pPr>
      <w:r>
        <w:rPr>
          <w:rFonts w:ascii="宋体" w:hAnsi="宋体" w:cs="宋体" w:eastAsia="宋体" w:hint="default"/>
          <w:sz w:val="21"/>
          <w:szCs w:val="21"/>
        </w:rPr>
        <w:t>为</w:t>
      </w:r>
      <w:r>
        <w:rPr>
          <w:rFonts w:ascii="宋体" w:hAnsi="宋体" w:cs="宋体" w:eastAsia="宋体" w:hint="default"/>
          <w:spacing w:val="-82"/>
          <w:sz w:val="21"/>
          <w:szCs w:val="21"/>
        </w:rPr>
        <w:t> </w:t>
      </w:r>
      <w:r>
        <w:rPr>
          <w:rFonts w:ascii="Times New Roman" w:hAnsi="Times New Roman" w:cs="Times New Roman" w:eastAsia="Times New Roman" w:hint="default"/>
          <w:sz w:val="21"/>
          <w:szCs w:val="21"/>
        </w:rPr>
        <w:t>6,600,000</w:t>
      </w:r>
      <w:r>
        <w:rPr>
          <w:rFonts w:ascii="Times New Roman" w:hAnsi="Times New Roman" w:cs="Times New Roman" w:eastAsia="Times New Roman" w:hint="default"/>
          <w:spacing w:val="-30"/>
          <w:sz w:val="21"/>
          <w:szCs w:val="21"/>
        </w:rPr>
        <w:t> </w:t>
      </w:r>
      <w:r>
        <w:rPr>
          <w:rFonts w:ascii="宋体" w:hAnsi="宋体" w:cs="宋体" w:eastAsia="宋体" w:hint="default"/>
          <w:sz w:val="21"/>
          <w:szCs w:val="21"/>
        </w:rPr>
        <w:t>元。此外，转让资产应收款期初余额中，本集团之子公司佛山市南海东软信息技</w:t>
      </w:r>
    </w:p>
    <w:p>
      <w:pPr>
        <w:spacing w:before="109"/>
        <w:ind w:left="877" w:right="0" w:firstLine="0"/>
        <w:jc w:val="both"/>
        <w:rPr>
          <w:rFonts w:ascii="宋体" w:hAnsi="宋体" w:cs="宋体" w:eastAsia="宋体" w:hint="default"/>
          <w:sz w:val="21"/>
          <w:szCs w:val="21"/>
        </w:rPr>
      </w:pPr>
      <w:r>
        <w:rPr>
          <w:rFonts w:ascii="宋体" w:hAnsi="宋体" w:cs="宋体" w:eastAsia="宋体" w:hint="default"/>
          <w:sz w:val="21"/>
          <w:szCs w:val="21"/>
        </w:rPr>
        <w:t>术发展有限公司应收南海东软信息技术职业学院的</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笔资产转让款，分别为</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26,420,000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元和</w:t>
      </w:r>
    </w:p>
    <w:p>
      <w:pPr>
        <w:spacing w:before="110"/>
        <w:ind w:left="877"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13,927,460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元，亦于本报告期内全部收回。</w:t>
      </w:r>
    </w:p>
    <w:p>
      <w:pPr>
        <w:spacing w:after="0"/>
        <w:jc w:val="both"/>
        <w:rPr>
          <w:rFonts w:ascii="宋体" w:hAnsi="宋体" w:cs="宋体" w:eastAsia="宋体" w:hint="default"/>
          <w:sz w:val="21"/>
          <w:szCs w:val="21"/>
        </w:rPr>
        <w:sectPr>
          <w:pgSz w:w="11900" w:h="16840"/>
          <w:pgMar w:header="883" w:footer="1003" w:top="1540" w:bottom="1200" w:left="1280" w:right="1140"/>
        </w:sectPr>
      </w:pPr>
    </w:p>
    <w:p>
      <w:pPr>
        <w:spacing w:line="240" w:lineRule="auto" w:before="6"/>
        <w:rPr>
          <w:rFonts w:ascii="宋体" w:hAnsi="宋体" w:cs="宋体" w:eastAsia="宋体" w:hint="default"/>
          <w:sz w:val="19"/>
          <w:szCs w:val="19"/>
        </w:rPr>
      </w:pPr>
    </w:p>
    <w:p>
      <w:pPr>
        <w:spacing w:before="35"/>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18"/>
          <w:sz w:val="21"/>
          <w:szCs w:val="21"/>
        </w:rPr>
        <w:t> </w:t>
      </w:r>
      <w:r>
        <w:rPr>
          <w:rFonts w:ascii="宋体" w:hAnsi="宋体" w:cs="宋体" w:eastAsia="宋体" w:hint="default"/>
          <w:sz w:val="21"/>
          <w:szCs w:val="21"/>
        </w:rPr>
        <w:t>对合营企业投资和联营企业投资</w:t>
      </w:r>
    </w:p>
    <w:p>
      <w:pPr>
        <w:spacing w:line="240" w:lineRule="auto" w:before="3"/>
        <w:rPr>
          <w:rFonts w:ascii="宋体" w:hAnsi="宋体" w:cs="宋体" w:eastAsia="宋体" w:hint="default"/>
          <w:sz w:val="28"/>
          <w:szCs w:val="28"/>
        </w:rPr>
      </w:pPr>
    </w:p>
    <w:tbl>
      <w:tblPr>
        <w:tblW w:w="0" w:type="auto"/>
        <w:jc w:val="left"/>
        <w:tblInd w:w="822" w:type="dxa"/>
        <w:tblLayout w:type="fixed"/>
        <w:tblCellMar>
          <w:top w:w="0" w:type="dxa"/>
          <w:left w:w="0" w:type="dxa"/>
          <w:bottom w:w="0" w:type="dxa"/>
          <w:right w:w="0" w:type="dxa"/>
        </w:tblCellMar>
        <w:tblLook w:val="01E0"/>
      </w:tblPr>
      <w:tblGrid>
        <w:gridCol w:w="1821"/>
        <w:gridCol w:w="761"/>
        <w:gridCol w:w="598"/>
        <w:gridCol w:w="903"/>
        <w:gridCol w:w="2074"/>
        <w:gridCol w:w="989"/>
        <w:gridCol w:w="878"/>
        <w:gridCol w:w="1252"/>
        <w:gridCol w:w="975"/>
        <w:gridCol w:w="965"/>
        <w:gridCol w:w="846"/>
        <w:gridCol w:w="980"/>
        <w:gridCol w:w="796"/>
      </w:tblGrid>
      <w:tr>
        <w:trPr>
          <w:trHeight w:val="734" w:hRule="exact"/>
        </w:trPr>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left="414" w:right="0"/>
              <w:jc w:val="left"/>
              <w:rPr>
                <w:rFonts w:ascii="宋体" w:hAnsi="宋体" w:cs="宋体" w:eastAsia="宋体" w:hint="default"/>
                <w:sz w:val="13"/>
                <w:szCs w:val="13"/>
              </w:rPr>
            </w:pPr>
            <w:r>
              <w:rPr>
                <w:rFonts w:ascii="宋体" w:hAnsi="宋体" w:cs="宋体" w:eastAsia="宋体" w:hint="default"/>
                <w:sz w:val="13"/>
                <w:szCs w:val="13"/>
              </w:rPr>
              <w:t>被投资单位名称</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left="130" w:right="0"/>
              <w:jc w:val="left"/>
              <w:rPr>
                <w:rFonts w:ascii="宋体" w:hAnsi="宋体" w:cs="宋体" w:eastAsia="宋体" w:hint="default"/>
                <w:sz w:val="13"/>
                <w:szCs w:val="13"/>
              </w:rPr>
            </w:pPr>
            <w:r>
              <w:rPr>
                <w:rFonts w:ascii="宋体" w:hAnsi="宋体" w:cs="宋体" w:eastAsia="宋体" w:hint="default"/>
                <w:sz w:val="13"/>
                <w:szCs w:val="13"/>
              </w:rPr>
              <w:t>企业类型</w:t>
            </w:r>
          </w:p>
        </w:tc>
        <w:tc>
          <w:tcPr>
            <w:tcW w:w="5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left="16" w:right="0"/>
              <w:jc w:val="center"/>
              <w:rPr>
                <w:rFonts w:ascii="宋体" w:hAnsi="宋体" w:cs="宋体" w:eastAsia="宋体" w:hint="default"/>
                <w:sz w:val="13"/>
                <w:szCs w:val="13"/>
              </w:rPr>
            </w:pPr>
            <w:r>
              <w:rPr>
                <w:rFonts w:ascii="宋体" w:hAnsi="宋体" w:cs="宋体" w:eastAsia="宋体" w:hint="default"/>
                <w:sz w:val="13"/>
                <w:szCs w:val="13"/>
              </w:rPr>
              <w:t>注册地</w:t>
            </w:r>
          </w:p>
        </w:tc>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left="128" w:right="0"/>
              <w:jc w:val="left"/>
              <w:rPr>
                <w:rFonts w:ascii="宋体" w:hAnsi="宋体" w:cs="宋体" w:eastAsia="宋体" w:hint="default"/>
                <w:sz w:val="13"/>
                <w:szCs w:val="13"/>
              </w:rPr>
            </w:pPr>
            <w:r>
              <w:rPr>
                <w:rFonts w:ascii="宋体" w:hAnsi="宋体" w:cs="宋体" w:eastAsia="宋体" w:hint="default"/>
                <w:sz w:val="13"/>
                <w:szCs w:val="13"/>
              </w:rPr>
              <w:t>法定代表人</w:t>
            </w:r>
          </w:p>
        </w:tc>
        <w:tc>
          <w:tcPr>
            <w:tcW w:w="20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right="37"/>
              <w:jc w:val="center"/>
              <w:rPr>
                <w:rFonts w:ascii="宋体" w:hAnsi="宋体" w:cs="宋体" w:eastAsia="宋体" w:hint="default"/>
                <w:sz w:val="13"/>
                <w:szCs w:val="13"/>
              </w:rPr>
            </w:pPr>
            <w:r>
              <w:rPr>
                <w:rFonts w:ascii="宋体" w:hAnsi="宋体" w:cs="宋体" w:eastAsia="宋体" w:hint="default"/>
                <w:sz w:val="13"/>
                <w:szCs w:val="13"/>
              </w:rPr>
              <w:t>业务性质</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left="205" w:right="0"/>
              <w:jc w:val="left"/>
              <w:rPr>
                <w:rFonts w:ascii="宋体" w:hAnsi="宋体" w:cs="宋体" w:eastAsia="宋体" w:hint="default"/>
                <w:sz w:val="13"/>
                <w:szCs w:val="13"/>
              </w:rPr>
            </w:pPr>
            <w:r>
              <w:rPr>
                <w:rFonts w:ascii="宋体" w:hAnsi="宋体" w:cs="宋体" w:eastAsia="宋体" w:hint="default"/>
                <w:sz w:val="13"/>
                <w:szCs w:val="13"/>
              </w:rPr>
              <w:t>注册资本</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09" w:right="0" w:hanging="99"/>
              <w:jc w:val="left"/>
              <w:rPr>
                <w:rFonts w:ascii="宋体" w:hAnsi="宋体" w:cs="宋体" w:eastAsia="宋体" w:hint="default"/>
                <w:sz w:val="13"/>
                <w:szCs w:val="13"/>
              </w:rPr>
            </w:pPr>
            <w:r>
              <w:rPr>
                <w:rFonts w:ascii="宋体" w:hAnsi="宋体" w:cs="宋体" w:eastAsia="宋体" w:hint="default"/>
                <w:sz w:val="13"/>
                <w:szCs w:val="13"/>
              </w:rPr>
              <w:t>本企业持股</w:t>
            </w: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09" w:right="0"/>
              <w:jc w:val="left"/>
              <w:rPr>
                <w:rFonts w:ascii="Times New Roman" w:hAnsi="Times New Roman" w:cs="Times New Roman" w:eastAsia="Times New Roman" w:hint="default"/>
                <w:sz w:val="13"/>
                <w:szCs w:val="13"/>
              </w:rPr>
            </w:pPr>
            <w:r>
              <w:rPr>
                <w:rFonts w:ascii="宋体" w:hAnsi="宋体" w:cs="宋体" w:eastAsia="宋体" w:hint="default"/>
                <w:sz w:val="13"/>
                <w:szCs w:val="13"/>
              </w:rPr>
              <w:t>比例</w:t>
            </w:r>
            <w:r>
              <w:rPr>
                <w:rFonts w:ascii="Times New Roman" w:hAnsi="Times New Roman" w:cs="Times New Roman" w:eastAsia="Times New Roman" w:hint="default"/>
                <w:sz w:val="13"/>
                <w:szCs w:val="13"/>
              </w:rPr>
              <w:t>(%)</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42" w:right="0" w:hanging="34"/>
              <w:jc w:val="left"/>
              <w:rPr>
                <w:rFonts w:ascii="宋体" w:hAnsi="宋体" w:cs="宋体" w:eastAsia="宋体" w:hint="default"/>
                <w:sz w:val="13"/>
                <w:szCs w:val="13"/>
              </w:rPr>
            </w:pPr>
            <w:r>
              <w:rPr>
                <w:rFonts w:ascii="宋体" w:hAnsi="宋体" w:cs="宋体" w:eastAsia="宋体" w:hint="default"/>
                <w:sz w:val="13"/>
                <w:szCs w:val="13"/>
              </w:rPr>
              <w:t>本企业在被投资单</w:t>
            </w: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42" w:right="0"/>
              <w:jc w:val="left"/>
              <w:rPr>
                <w:rFonts w:ascii="Times New Roman" w:hAnsi="Times New Roman" w:cs="Times New Roman" w:eastAsia="Times New Roman" w:hint="default"/>
                <w:sz w:val="13"/>
                <w:szCs w:val="13"/>
              </w:rPr>
            </w:pPr>
            <w:r>
              <w:rPr>
                <w:rFonts w:ascii="宋体" w:hAnsi="宋体" w:cs="宋体" w:eastAsia="宋体" w:hint="default"/>
                <w:sz w:val="13"/>
                <w:szCs w:val="13"/>
              </w:rPr>
              <w:t>位表决权比例</w:t>
            </w:r>
            <w:r>
              <w:rPr>
                <w:rFonts w:ascii="Times New Roman" w:hAnsi="Times New Roman" w:cs="Times New Roman" w:eastAsia="Times New Roman" w:hint="default"/>
                <w:sz w:val="13"/>
                <w:szCs w:val="13"/>
              </w:rPr>
              <w:t>(%)</w:t>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right="92"/>
              <w:jc w:val="right"/>
              <w:rPr>
                <w:rFonts w:ascii="宋体" w:hAnsi="宋体" w:cs="宋体" w:eastAsia="宋体" w:hint="default"/>
                <w:sz w:val="13"/>
                <w:szCs w:val="13"/>
              </w:rPr>
            </w:pPr>
            <w:r>
              <w:rPr>
                <w:rFonts w:ascii="宋体" w:hAnsi="宋体" w:cs="宋体" w:eastAsia="宋体" w:hint="default"/>
                <w:w w:val="95"/>
                <w:sz w:val="13"/>
                <w:szCs w:val="13"/>
              </w:rPr>
              <w:t>期末资产总额</w:t>
            </w:r>
            <w:r>
              <w:rPr>
                <w:rFonts w:ascii="宋体" w:hAnsi="宋体" w:cs="宋体" w:eastAsia="宋体" w:hint="default"/>
                <w:sz w:val="13"/>
                <w:szCs w:val="13"/>
              </w:rPr>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right="89"/>
              <w:jc w:val="right"/>
              <w:rPr>
                <w:rFonts w:ascii="宋体" w:hAnsi="宋体" w:cs="宋体" w:eastAsia="宋体" w:hint="default"/>
                <w:sz w:val="13"/>
                <w:szCs w:val="13"/>
              </w:rPr>
            </w:pPr>
            <w:r>
              <w:rPr>
                <w:rFonts w:ascii="宋体" w:hAnsi="宋体" w:cs="宋体" w:eastAsia="宋体" w:hint="default"/>
                <w:w w:val="95"/>
                <w:sz w:val="13"/>
                <w:szCs w:val="13"/>
              </w:rPr>
              <w:t>期末负债总额</w:t>
            </w:r>
            <w:r>
              <w:rPr>
                <w:rFonts w:ascii="宋体" w:hAnsi="宋体" w:cs="宋体" w:eastAsia="宋体" w:hint="default"/>
                <w:sz w:val="13"/>
                <w:szCs w:val="13"/>
              </w:rPr>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 w:right="0"/>
              <w:jc w:val="center"/>
              <w:rPr>
                <w:rFonts w:ascii="宋体" w:hAnsi="宋体" w:cs="宋体" w:eastAsia="宋体" w:hint="default"/>
                <w:sz w:val="13"/>
                <w:szCs w:val="13"/>
              </w:rPr>
            </w:pPr>
            <w:r>
              <w:rPr>
                <w:rFonts w:ascii="宋体" w:hAnsi="宋体" w:cs="宋体" w:eastAsia="宋体" w:hint="default"/>
                <w:sz w:val="13"/>
                <w:szCs w:val="13"/>
              </w:rPr>
              <w:t>期末净资产</w:t>
            </w: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3"/>
                <w:szCs w:val="13"/>
              </w:rPr>
            </w:pPr>
            <w:r>
              <w:rPr>
                <w:rFonts w:ascii="宋体" w:hAnsi="宋体" w:cs="宋体" w:eastAsia="宋体" w:hint="default"/>
                <w:sz w:val="13"/>
                <w:szCs w:val="13"/>
              </w:rPr>
              <w:t>总额</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6"/>
              <w:jc w:val="center"/>
              <w:rPr>
                <w:rFonts w:ascii="宋体" w:hAnsi="宋体" w:cs="宋体" w:eastAsia="宋体" w:hint="default"/>
                <w:sz w:val="13"/>
                <w:szCs w:val="13"/>
              </w:rPr>
            </w:pPr>
            <w:r>
              <w:rPr>
                <w:rFonts w:ascii="宋体" w:hAnsi="宋体" w:cs="宋体" w:eastAsia="宋体" w:hint="default"/>
                <w:sz w:val="13"/>
                <w:szCs w:val="13"/>
              </w:rPr>
              <w:t>本期营业收入</w:t>
            </w: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3"/>
                <w:szCs w:val="13"/>
              </w:rPr>
            </w:pPr>
            <w:r>
              <w:rPr>
                <w:rFonts w:ascii="宋体" w:hAnsi="宋体" w:cs="宋体" w:eastAsia="宋体" w:hint="default"/>
                <w:sz w:val="13"/>
                <w:szCs w:val="13"/>
              </w:rPr>
              <w:t>总额</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right="40"/>
              <w:jc w:val="right"/>
              <w:rPr>
                <w:rFonts w:ascii="宋体" w:hAnsi="宋体" w:cs="宋体" w:eastAsia="宋体" w:hint="default"/>
                <w:sz w:val="13"/>
                <w:szCs w:val="13"/>
              </w:rPr>
            </w:pPr>
            <w:r>
              <w:rPr>
                <w:rFonts w:ascii="宋体" w:hAnsi="宋体" w:cs="宋体" w:eastAsia="宋体" w:hint="default"/>
                <w:w w:val="95"/>
                <w:sz w:val="13"/>
                <w:szCs w:val="13"/>
              </w:rPr>
              <w:t>本期净利润</w:t>
            </w:r>
            <w:r>
              <w:rPr>
                <w:rFonts w:ascii="宋体" w:hAnsi="宋体" w:cs="宋体" w:eastAsia="宋体" w:hint="default"/>
                <w:sz w:val="13"/>
                <w:szCs w:val="13"/>
              </w:rPr>
            </w:r>
          </w:p>
        </w:tc>
      </w:tr>
      <w:tr>
        <w:trPr>
          <w:trHeight w:val="380" w:hRule="exact"/>
        </w:trPr>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46" w:right="0"/>
              <w:jc w:val="left"/>
              <w:rPr>
                <w:rFonts w:ascii="宋体" w:hAnsi="宋体" w:cs="宋体" w:eastAsia="宋体" w:hint="default"/>
                <w:sz w:val="13"/>
                <w:szCs w:val="13"/>
              </w:rPr>
            </w:pPr>
            <w:r>
              <w:rPr>
                <w:rFonts w:ascii="宋体" w:hAnsi="宋体" w:cs="宋体" w:eastAsia="宋体" w:hint="default"/>
                <w:sz w:val="13"/>
                <w:szCs w:val="13"/>
              </w:rPr>
              <w:t>联营企业</w:t>
            </w:r>
          </w:p>
        </w:tc>
        <w:tc>
          <w:tcPr>
            <w:tcW w:w="761" w:type="dxa"/>
            <w:tcBorders>
              <w:top w:val="nil" w:sz="6" w:space="0" w:color="auto"/>
              <w:left w:val="nil" w:sz="6" w:space="0" w:color="auto"/>
              <w:bottom w:val="nil" w:sz="6" w:space="0" w:color="auto"/>
              <w:right w:val="nil" w:sz="6" w:space="0" w:color="auto"/>
            </w:tcBorders>
          </w:tcPr>
          <w:p>
            <w:pPr/>
          </w:p>
        </w:tc>
        <w:tc>
          <w:tcPr>
            <w:tcW w:w="598" w:type="dxa"/>
            <w:tcBorders>
              <w:top w:val="nil" w:sz="6" w:space="0" w:color="auto"/>
              <w:left w:val="nil" w:sz="6" w:space="0" w:color="auto"/>
              <w:bottom w:val="nil" w:sz="6" w:space="0" w:color="auto"/>
              <w:right w:val="nil" w:sz="6" w:space="0" w:color="auto"/>
            </w:tcBorders>
          </w:tcPr>
          <w:p>
            <w:pPr/>
          </w:p>
        </w:tc>
        <w:tc>
          <w:tcPr>
            <w:tcW w:w="903" w:type="dxa"/>
            <w:tcBorders>
              <w:top w:val="nil" w:sz="6" w:space="0" w:color="auto"/>
              <w:left w:val="nil" w:sz="6" w:space="0" w:color="auto"/>
              <w:bottom w:val="nil" w:sz="6" w:space="0" w:color="auto"/>
              <w:right w:val="nil" w:sz="6" w:space="0" w:color="auto"/>
            </w:tcBorders>
          </w:tcPr>
          <w:p>
            <w:pPr/>
          </w:p>
        </w:tc>
        <w:tc>
          <w:tcPr>
            <w:tcW w:w="2074" w:type="dxa"/>
            <w:tcBorders>
              <w:top w:val="nil" w:sz="6" w:space="0" w:color="auto"/>
              <w:left w:val="nil" w:sz="6" w:space="0" w:color="auto"/>
              <w:bottom w:val="nil" w:sz="6" w:space="0" w:color="auto"/>
              <w:right w:val="nil" w:sz="6" w:space="0" w:color="auto"/>
            </w:tcBorders>
          </w:tcPr>
          <w:p>
            <w:pPr/>
          </w:p>
        </w:tc>
        <w:tc>
          <w:tcPr>
            <w:tcW w:w="989"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1252" w:type="dxa"/>
            <w:tcBorders>
              <w:top w:val="nil" w:sz="6" w:space="0" w:color="auto"/>
              <w:left w:val="nil" w:sz="6" w:space="0" w:color="auto"/>
              <w:bottom w:val="nil" w:sz="6" w:space="0" w:color="auto"/>
              <w:right w:val="nil" w:sz="6" w:space="0" w:color="auto"/>
            </w:tcBorders>
          </w:tcPr>
          <w:p>
            <w:pPr/>
          </w:p>
        </w:tc>
        <w:tc>
          <w:tcPr>
            <w:tcW w:w="975" w:type="dxa"/>
            <w:tcBorders>
              <w:top w:val="nil" w:sz="6" w:space="0" w:color="auto"/>
              <w:left w:val="nil" w:sz="6" w:space="0" w:color="auto"/>
              <w:bottom w:val="nil" w:sz="6" w:space="0" w:color="auto"/>
              <w:right w:val="nil" w:sz="6" w:space="0" w:color="auto"/>
            </w:tcBorders>
          </w:tcPr>
          <w:p>
            <w:pPr/>
          </w:p>
        </w:tc>
        <w:tc>
          <w:tcPr>
            <w:tcW w:w="96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980"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r>
      <w:tr>
        <w:trPr>
          <w:trHeight w:val="286" w:hRule="exact"/>
        </w:trPr>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87"/>
              <w:ind w:left="35" w:right="0"/>
              <w:jc w:val="left"/>
              <w:rPr>
                <w:rFonts w:ascii="宋体" w:hAnsi="宋体" w:cs="宋体" w:eastAsia="宋体" w:hint="default"/>
                <w:sz w:val="13"/>
                <w:szCs w:val="13"/>
              </w:rPr>
            </w:pPr>
            <w:r>
              <w:rPr>
                <w:rFonts w:ascii="宋体" w:hAnsi="宋体" w:cs="宋体" w:eastAsia="宋体" w:hint="default"/>
                <w:sz w:val="13"/>
                <w:szCs w:val="13"/>
              </w:rPr>
              <w:t>北京东大阿尔派中电科电力</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87"/>
              <w:ind w:left="97"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598" w:type="dxa"/>
            <w:tcBorders>
              <w:top w:val="nil" w:sz="6" w:space="0" w:color="auto"/>
              <w:left w:val="nil" w:sz="6" w:space="0" w:color="auto"/>
              <w:bottom w:val="nil" w:sz="6" w:space="0" w:color="auto"/>
              <w:right w:val="nil" w:sz="6" w:space="0" w:color="auto"/>
            </w:tcBorders>
          </w:tcPr>
          <w:p>
            <w:pPr/>
          </w:p>
        </w:tc>
        <w:tc>
          <w:tcPr>
            <w:tcW w:w="903" w:type="dxa"/>
            <w:tcBorders>
              <w:top w:val="nil" w:sz="6" w:space="0" w:color="auto"/>
              <w:left w:val="nil" w:sz="6" w:space="0" w:color="auto"/>
              <w:bottom w:val="nil" w:sz="6" w:space="0" w:color="auto"/>
              <w:right w:val="nil" w:sz="6" w:space="0" w:color="auto"/>
            </w:tcBorders>
          </w:tcPr>
          <w:p>
            <w:pPr/>
          </w:p>
        </w:tc>
        <w:tc>
          <w:tcPr>
            <w:tcW w:w="2074"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24" w:right="0"/>
              <w:jc w:val="left"/>
              <w:rPr>
                <w:rFonts w:ascii="宋体" w:hAnsi="宋体" w:cs="宋体" w:eastAsia="宋体" w:hint="default"/>
                <w:sz w:val="13"/>
                <w:szCs w:val="13"/>
              </w:rPr>
            </w:pPr>
            <w:r>
              <w:rPr>
                <w:rFonts w:ascii="宋体" w:hAnsi="宋体" w:cs="宋体" w:eastAsia="宋体" w:hint="default"/>
                <w:spacing w:val="-3"/>
                <w:sz w:val="13"/>
                <w:szCs w:val="13"/>
              </w:rPr>
              <w:t>电力系统机械电力设备、计算机</w:t>
            </w:r>
          </w:p>
        </w:tc>
        <w:tc>
          <w:tcPr>
            <w:tcW w:w="989"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1252" w:type="dxa"/>
            <w:tcBorders>
              <w:top w:val="nil" w:sz="6" w:space="0" w:color="auto"/>
              <w:left w:val="nil" w:sz="6" w:space="0" w:color="auto"/>
              <w:bottom w:val="nil" w:sz="6" w:space="0" w:color="auto"/>
              <w:right w:val="nil" w:sz="6" w:space="0" w:color="auto"/>
            </w:tcBorders>
          </w:tcPr>
          <w:p>
            <w:pPr/>
          </w:p>
        </w:tc>
        <w:tc>
          <w:tcPr>
            <w:tcW w:w="975" w:type="dxa"/>
            <w:tcBorders>
              <w:top w:val="nil" w:sz="6" w:space="0" w:color="auto"/>
              <w:left w:val="nil" w:sz="6" w:space="0" w:color="auto"/>
              <w:bottom w:val="nil" w:sz="6" w:space="0" w:color="auto"/>
              <w:right w:val="nil" w:sz="6" w:space="0" w:color="auto"/>
            </w:tcBorders>
          </w:tcPr>
          <w:p>
            <w:pPr/>
          </w:p>
        </w:tc>
        <w:tc>
          <w:tcPr>
            <w:tcW w:w="96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980"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r>
      <w:tr>
        <w:trPr>
          <w:trHeight w:val="476" w:hRule="exact"/>
        </w:trPr>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35" w:right="0"/>
              <w:jc w:val="left"/>
              <w:rPr>
                <w:rFonts w:ascii="宋体" w:hAnsi="宋体" w:cs="宋体" w:eastAsia="宋体" w:hint="default"/>
                <w:sz w:val="13"/>
                <w:szCs w:val="13"/>
              </w:rPr>
            </w:pPr>
            <w:r>
              <w:rPr>
                <w:rFonts w:ascii="宋体" w:hAnsi="宋体" w:cs="宋体" w:eastAsia="宋体" w:hint="default"/>
                <w:sz w:val="13"/>
                <w:szCs w:val="13"/>
              </w:rPr>
              <w:t>系统技术有限责任公司</w:t>
            </w:r>
            <w:r>
              <w:rPr>
                <w:rFonts w:ascii="宋体" w:hAnsi="宋体" w:cs="宋体" w:eastAsia="宋体" w:hint="default"/>
                <w:spacing w:val="-3"/>
                <w:sz w:val="13"/>
                <w:szCs w:val="13"/>
              </w:rPr>
              <w:t> </w:t>
            </w:r>
            <w:r>
              <w:rPr>
                <w:rFonts w:ascii="宋体" w:hAnsi="宋体" w:cs="宋体" w:eastAsia="宋体" w:hint="default"/>
                <w:sz w:val="13"/>
                <w:szCs w:val="13"/>
              </w:rPr>
              <w:t>（</w:t>
            </w:r>
            <w:r>
              <w:rPr>
                <w:rFonts w:ascii="Times New Roman" w:hAnsi="Times New Roman" w:cs="Times New Roman" w:eastAsia="Times New Roman" w:hint="default"/>
                <w:sz w:val="13"/>
                <w:szCs w:val="13"/>
              </w:rPr>
              <w:t>1</w:t>
            </w:r>
            <w:r>
              <w:rPr>
                <w:rFonts w:ascii="宋体" w:hAnsi="宋体" w:cs="宋体" w:eastAsia="宋体" w:hint="default"/>
                <w:sz w:val="13"/>
                <w:szCs w:val="13"/>
              </w:rPr>
              <w:t>）</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97"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598" w:type="dxa"/>
            <w:tcBorders>
              <w:top w:val="nil" w:sz="6" w:space="0" w:color="auto"/>
              <w:left w:val="nil" w:sz="6" w:space="0" w:color="auto"/>
              <w:bottom w:val="nil" w:sz="6" w:space="0" w:color="auto"/>
              <w:right w:val="nil" w:sz="6" w:space="0" w:color="auto"/>
            </w:tcBorders>
          </w:tcPr>
          <w:p>
            <w:pPr>
              <w:pStyle w:val="TableParagraph"/>
              <w:spacing w:line="158" w:lineRule="exact"/>
              <w:ind w:right="65"/>
              <w:jc w:val="center"/>
              <w:rPr>
                <w:rFonts w:ascii="宋体" w:hAnsi="宋体" w:cs="宋体" w:eastAsia="宋体" w:hint="default"/>
                <w:sz w:val="13"/>
                <w:szCs w:val="13"/>
              </w:rPr>
            </w:pPr>
            <w:r>
              <w:rPr>
                <w:rFonts w:ascii="宋体" w:hAnsi="宋体" w:cs="宋体" w:eastAsia="宋体" w:hint="default"/>
                <w:sz w:val="13"/>
                <w:szCs w:val="13"/>
              </w:rPr>
              <w:t>北京</w:t>
            </w:r>
          </w:p>
        </w:tc>
        <w:tc>
          <w:tcPr>
            <w:tcW w:w="903" w:type="dxa"/>
            <w:tcBorders>
              <w:top w:val="nil" w:sz="6" w:space="0" w:color="auto"/>
              <w:left w:val="nil" w:sz="6" w:space="0" w:color="auto"/>
              <w:bottom w:val="nil" w:sz="6" w:space="0" w:color="auto"/>
              <w:right w:val="nil" w:sz="6" w:space="0" w:color="auto"/>
            </w:tcBorders>
          </w:tcPr>
          <w:p>
            <w:pPr>
              <w:pStyle w:val="TableParagraph"/>
              <w:spacing w:line="158" w:lineRule="exact"/>
              <w:ind w:left="96" w:right="0"/>
              <w:jc w:val="left"/>
              <w:rPr>
                <w:rFonts w:ascii="宋体" w:hAnsi="宋体" w:cs="宋体" w:eastAsia="宋体" w:hint="default"/>
                <w:sz w:val="13"/>
                <w:szCs w:val="13"/>
              </w:rPr>
            </w:pPr>
            <w:r>
              <w:rPr>
                <w:rFonts w:ascii="宋体" w:hAnsi="宋体" w:cs="宋体" w:eastAsia="宋体" w:hint="default"/>
                <w:sz w:val="13"/>
                <w:szCs w:val="13"/>
              </w:rPr>
              <w:t>何万龄</w:t>
            </w:r>
          </w:p>
        </w:tc>
        <w:tc>
          <w:tcPr>
            <w:tcW w:w="207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3"/>
                <w:szCs w:val="13"/>
              </w:rPr>
            </w:pPr>
            <w:r>
              <w:rPr>
                <w:rFonts w:ascii="宋体" w:hAnsi="宋体" w:cs="宋体" w:eastAsia="宋体" w:hint="default"/>
                <w:sz w:val="13"/>
                <w:szCs w:val="13"/>
              </w:rPr>
              <w:t>及自动化软件等</w:t>
            </w:r>
          </w:p>
        </w:tc>
        <w:tc>
          <w:tcPr>
            <w:tcW w:w="989" w:type="dxa"/>
            <w:tcBorders>
              <w:top w:val="nil" w:sz="6" w:space="0" w:color="auto"/>
              <w:left w:val="nil" w:sz="6" w:space="0" w:color="auto"/>
              <w:bottom w:val="nil" w:sz="6" w:space="0" w:color="auto"/>
              <w:right w:val="nil" w:sz="6" w:space="0" w:color="auto"/>
            </w:tcBorders>
          </w:tcPr>
          <w:p>
            <w:pPr>
              <w:pStyle w:val="TableParagraph"/>
              <w:spacing w:line="168" w:lineRule="exact"/>
              <w:ind w:right="109"/>
              <w:jc w:val="right"/>
              <w:rPr>
                <w:rFonts w:ascii="宋体" w:hAnsi="宋体" w:cs="宋体" w:eastAsia="宋体" w:hint="default"/>
                <w:sz w:val="13"/>
                <w:szCs w:val="13"/>
              </w:rPr>
            </w:pPr>
            <w:r>
              <w:rPr>
                <w:rFonts w:ascii="Times New Roman" w:hAnsi="Times New Roman" w:cs="Times New Roman" w:eastAsia="Times New Roman" w:hint="default"/>
                <w:sz w:val="13"/>
                <w:szCs w:val="13"/>
              </w:rPr>
              <w:t>110</w:t>
            </w:r>
            <w:r>
              <w:rPr>
                <w:rFonts w:ascii="Times New Roman" w:hAnsi="Times New Roman" w:cs="Times New Roman" w:eastAsia="Times New Roman" w:hint="default"/>
                <w:spacing w:val="-8"/>
                <w:sz w:val="13"/>
                <w:szCs w:val="13"/>
              </w:rPr>
              <w:t> </w:t>
            </w:r>
            <w:r>
              <w:rPr>
                <w:rFonts w:ascii="宋体" w:hAnsi="宋体" w:cs="宋体" w:eastAsia="宋体" w:hint="default"/>
                <w:sz w:val="13"/>
                <w:szCs w:val="13"/>
              </w:rPr>
              <w:t>万元</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Times New Roman" w:hAnsi="Times New Roman" w:cs="Times New Roman" w:eastAsia="Times New Roman" w:hint="default"/>
                <w:sz w:val="13"/>
                <w:szCs w:val="13"/>
              </w:rPr>
            </w:pPr>
            <w:r>
              <w:rPr>
                <w:rFonts w:ascii="Times New Roman"/>
                <w:w w:val="95"/>
                <w:sz w:val="13"/>
              </w:rPr>
              <w:t>40.00</w:t>
            </w:r>
            <w:r>
              <w:rPr>
                <w:rFonts w:ascii="Times New Roman"/>
                <w:sz w:val="13"/>
              </w:rPr>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99"/>
              <w:jc w:val="right"/>
              <w:rPr>
                <w:rFonts w:ascii="Times New Roman" w:hAnsi="Times New Roman" w:cs="Times New Roman" w:eastAsia="Times New Roman" w:hint="default"/>
                <w:sz w:val="13"/>
                <w:szCs w:val="13"/>
              </w:rPr>
            </w:pPr>
            <w:r>
              <w:rPr>
                <w:rFonts w:ascii="Times New Roman"/>
                <w:w w:val="95"/>
                <w:sz w:val="13"/>
              </w:rPr>
              <w:t>40.00</w:t>
            </w:r>
            <w:r>
              <w:rPr>
                <w:rFonts w:ascii="Times New Roman"/>
                <w:sz w:val="13"/>
              </w:rPr>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Times New Roman" w:hAnsi="Times New Roman" w:cs="Times New Roman" w:eastAsia="Times New Roman" w:hint="default"/>
                <w:sz w:val="13"/>
                <w:szCs w:val="13"/>
              </w:rPr>
            </w:pPr>
            <w:r>
              <w:rPr>
                <w:rFonts w:ascii="Times New Roman"/>
                <w:w w:val="95"/>
                <w:sz w:val="13"/>
              </w:rPr>
              <w:t>2,384,284</w:t>
            </w:r>
            <w:r>
              <w:rPr>
                <w:rFonts w:ascii="Times New Roman"/>
                <w:sz w:val="13"/>
              </w:rPr>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3"/>
              <w:jc w:val="right"/>
              <w:rPr>
                <w:rFonts w:ascii="Times New Roman" w:hAnsi="Times New Roman" w:cs="Times New Roman" w:eastAsia="Times New Roman" w:hint="default"/>
                <w:sz w:val="13"/>
                <w:szCs w:val="13"/>
              </w:rPr>
            </w:pPr>
            <w:r>
              <w:rPr>
                <w:rFonts w:ascii="Times New Roman"/>
                <w:w w:val="95"/>
                <w:sz w:val="13"/>
              </w:rPr>
              <w:t>1,664,186</w:t>
            </w:r>
            <w:r>
              <w:rPr>
                <w:rFonts w:ascii="Times New Roman"/>
                <w:sz w:val="13"/>
              </w:rPr>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4"/>
              <w:jc w:val="right"/>
              <w:rPr>
                <w:rFonts w:ascii="Times New Roman" w:hAnsi="Times New Roman" w:cs="Times New Roman" w:eastAsia="Times New Roman" w:hint="default"/>
                <w:sz w:val="13"/>
                <w:szCs w:val="13"/>
              </w:rPr>
            </w:pPr>
            <w:r>
              <w:rPr>
                <w:rFonts w:ascii="Times New Roman"/>
                <w:w w:val="95"/>
                <w:sz w:val="13"/>
              </w:rPr>
              <w:t>720,098</w:t>
            </w:r>
            <w:r>
              <w:rPr>
                <w:rFonts w:ascii="Times New Roman"/>
                <w:sz w:val="13"/>
              </w:rPr>
            </w:r>
          </w:p>
        </w:tc>
        <w:tc>
          <w:tcPr>
            <w:tcW w:w="980"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r>
      <w:tr>
        <w:trPr>
          <w:trHeight w:val="473" w:hRule="exact"/>
        </w:trPr>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诺基亚西门子东软通信技术</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97"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5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65"/>
              <w:jc w:val="center"/>
              <w:rPr>
                <w:rFonts w:ascii="宋体" w:hAnsi="宋体" w:cs="宋体" w:eastAsia="宋体" w:hint="default"/>
                <w:sz w:val="13"/>
                <w:szCs w:val="13"/>
              </w:rPr>
            </w:pPr>
            <w:r>
              <w:rPr>
                <w:rFonts w:ascii="宋体" w:hAnsi="宋体" w:cs="宋体" w:eastAsia="宋体" w:hint="default"/>
                <w:sz w:val="13"/>
                <w:szCs w:val="13"/>
              </w:rPr>
              <w:t>大连</w:t>
            </w:r>
          </w:p>
        </w:tc>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left="96" w:right="0"/>
              <w:jc w:val="left"/>
              <w:rPr>
                <w:rFonts w:ascii="Times New Roman" w:hAnsi="Times New Roman" w:cs="Times New Roman" w:eastAsia="Times New Roman" w:hint="default"/>
                <w:sz w:val="13"/>
                <w:szCs w:val="13"/>
              </w:rPr>
            </w:pPr>
            <w:r>
              <w:rPr>
                <w:rFonts w:ascii="Times New Roman"/>
                <w:sz w:val="13"/>
              </w:rPr>
              <w:t>Steven</w:t>
            </w:r>
            <w:r>
              <w:rPr>
                <w:rFonts w:ascii="Times New Roman"/>
                <w:spacing w:val="-6"/>
                <w:sz w:val="13"/>
              </w:rPr>
              <w:t> </w:t>
            </w:r>
            <w:r>
              <w:rPr>
                <w:rFonts w:ascii="Times New Roman"/>
                <w:sz w:val="13"/>
              </w:rPr>
              <w:t>Shaw</w:t>
            </w:r>
          </w:p>
        </w:tc>
        <w:tc>
          <w:tcPr>
            <w:tcW w:w="20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left="124" w:right="0"/>
              <w:jc w:val="left"/>
              <w:rPr>
                <w:rFonts w:ascii="宋体" w:hAnsi="宋体" w:cs="宋体" w:eastAsia="宋体" w:hint="default"/>
                <w:sz w:val="13"/>
                <w:szCs w:val="13"/>
              </w:rPr>
            </w:pPr>
            <w:r>
              <w:rPr>
                <w:rFonts w:ascii="宋体" w:hAnsi="宋体" w:cs="宋体" w:eastAsia="宋体" w:hint="default"/>
                <w:sz w:val="13"/>
                <w:szCs w:val="13"/>
              </w:rPr>
              <w:t>无线应用产品及解决方案</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9"/>
              <w:jc w:val="right"/>
              <w:rPr>
                <w:rFonts w:ascii="宋体" w:hAnsi="宋体" w:cs="宋体" w:eastAsia="宋体" w:hint="default"/>
                <w:sz w:val="13"/>
                <w:szCs w:val="13"/>
              </w:rPr>
            </w:pPr>
            <w:r>
              <w:rPr>
                <w:rFonts w:ascii="Times New Roman" w:hAnsi="Times New Roman" w:cs="Times New Roman" w:eastAsia="Times New Roman" w:hint="default"/>
                <w:sz w:val="13"/>
                <w:szCs w:val="13"/>
              </w:rPr>
              <w:t>700</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万美元</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5"/>
                <w:sz w:val="13"/>
              </w:rPr>
              <w:t>46.00</w:t>
            </w:r>
            <w:r>
              <w:rPr>
                <w:rFonts w:ascii="Times New Roman"/>
                <w:sz w:val="13"/>
              </w:rPr>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99"/>
              <w:jc w:val="right"/>
              <w:rPr>
                <w:rFonts w:ascii="Times New Roman" w:hAnsi="Times New Roman" w:cs="Times New Roman" w:eastAsia="Times New Roman" w:hint="default"/>
                <w:sz w:val="13"/>
                <w:szCs w:val="13"/>
              </w:rPr>
            </w:pPr>
            <w:r>
              <w:rPr>
                <w:rFonts w:ascii="Times New Roman"/>
                <w:w w:val="95"/>
                <w:sz w:val="13"/>
              </w:rPr>
              <w:t>46.00</w:t>
            </w:r>
            <w:r>
              <w:rPr>
                <w:rFonts w:ascii="Times New Roman"/>
                <w:sz w:val="13"/>
              </w:rPr>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3"/>
                <w:szCs w:val="13"/>
              </w:rPr>
            </w:pPr>
            <w:r>
              <w:rPr>
                <w:rFonts w:ascii="Times New Roman"/>
                <w:w w:val="95"/>
                <w:sz w:val="13"/>
              </w:rPr>
              <w:t>417,555,828</w:t>
            </w:r>
            <w:r>
              <w:rPr>
                <w:rFonts w:ascii="Times New Roman"/>
                <w:sz w:val="13"/>
              </w:rPr>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4"/>
              <w:jc w:val="right"/>
              <w:rPr>
                <w:rFonts w:ascii="Times New Roman" w:hAnsi="Times New Roman" w:cs="Times New Roman" w:eastAsia="Times New Roman" w:hint="default"/>
                <w:sz w:val="13"/>
                <w:szCs w:val="13"/>
              </w:rPr>
            </w:pPr>
            <w:r>
              <w:rPr>
                <w:rFonts w:ascii="Times New Roman"/>
                <w:w w:val="95"/>
                <w:sz w:val="13"/>
              </w:rPr>
              <w:t>339,894,394</w:t>
            </w:r>
            <w:r>
              <w:rPr>
                <w:rFonts w:ascii="Times New Roman"/>
                <w:sz w:val="13"/>
              </w:rPr>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02"/>
              <w:jc w:val="right"/>
              <w:rPr>
                <w:rFonts w:ascii="Times New Roman" w:hAnsi="Times New Roman" w:cs="Times New Roman" w:eastAsia="Times New Roman" w:hint="default"/>
                <w:sz w:val="13"/>
                <w:szCs w:val="13"/>
              </w:rPr>
            </w:pPr>
            <w:r>
              <w:rPr>
                <w:rFonts w:ascii="Times New Roman"/>
                <w:w w:val="95"/>
                <w:sz w:val="13"/>
              </w:rPr>
              <w:t>77,661,434</w:t>
            </w:r>
            <w:r>
              <w:rPr>
                <w:rFonts w:ascii="Times New Roman"/>
                <w:sz w:val="13"/>
              </w:rPr>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114"/>
              <w:jc w:val="right"/>
              <w:rPr>
                <w:rFonts w:ascii="Times New Roman" w:hAnsi="Times New Roman" w:cs="Times New Roman" w:eastAsia="Times New Roman" w:hint="default"/>
                <w:sz w:val="13"/>
                <w:szCs w:val="13"/>
              </w:rPr>
            </w:pPr>
            <w:r>
              <w:rPr>
                <w:rFonts w:ascii="Times New Roman"/>
                <w:w w:val="95"/>
                <w:sz w:val="13"/>
              </w:rPr>
              <w:t>354,009,389</w:t>
            </w:r>
            <w:r>
              <w:rPr>
                <w:rFonts w:ascii="Times New Roman"/>
                <w:sz w:val="13"/>
              </w:rPr>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-1,175,598</w:t>
            </w:r>
            <w:r>
              <w:rPr>
                <w:rFonts w:ascii="Times New Roman"/>
                <w:sz w:val="13"/>
              </w:rPr>
            </w:r>
          </w:p>
        </w:tc>
      </w:tr>
      <w:tr>
        <w:trPr>
          <w:trHeight w:val="286" w:hRule="exact"/>
        </w:trPr>
        <w:tc>
          <w:tcPr>
            <w:tcW w:w="1821" w:type="dxa"/>
            <w:tcBorders>
              <w:top w:val="nil" w:sz="6" w:space="0" w:color="auto"/>
              <w:left w:val="nil" w:sz="6" w:space="0" w:color="auto"/>
              <w:bottom w:val="nil" w:sz="6" w:space="0" w:color="auto"/>
              <w:right w:val="nil" w:sz="6" w:space="0" w:color="auto"/>
            </w:tcBorders>
          </w:tcPr>
          <w:p>
            <w:pPr>
              <w:pStyle w:val="TableParagraph"/>
              <w:spacing w:line="155" w:lineRule="exact"/>
              <w:ind w:left="35" w:right="0"/>
              <w:jc w:val="left"/>
              <w:rPr>
                <w:rFonts w:ascii="宋体" w:hAnsi="宋体" w:cs="宋体" w:eastAsia="宋体" w:hint="default"/>
                <w:sz w:val="13"/>
                <w:szCs w:val="13"/>
              </w:rPr>
            </w:pPr>
            <w:r>
              <w:rPr>
                <w:rFonts w:ascii="宋体" w:hAnsi="宋体" w:cs="宋体" w:eastAsia="宋体" w:hint="default"/>
                <w:sz w:val="13"/>
                <w:szCs w:val="13"/>
              </w:rPr>
              <w:t>有限公司</w:t>
            </w:r>
          </w:p>
        </w:tc>
        <w:tc>
          <w:tcPr>
            <w:tcW w:w="761" w:type="dxa"/>
            <w:tcBorders>
              <w:top w:val="nil" w:sz="6" w:space="0" w:color="auto"/>
              <w:left w:val="nil" w:sz="6" w:space="0" w:color="auto"/>
              <w:bottom w:val="nil" w:sz="6" w:space="0" w:color="auto"/>
              <w:right w:val="nil" w:sz="6" w:space="0" w:color="auto"/>
            </w:tcBorders>
          </w:tcPr>
          <w:p>
            <w:pPr>
              <w:pStyle w:val="TableParagraph"/>
              <w:spacing w:line="155" w:lineRule="exact"/>
              <w:ind w:left="97"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598" w:type="dxa"/>
            <w:tcBorders>
              <w:top w:val="nil" w:sz="6" w:space="0" w:color="auto"/>
              <w:left w:val="nil" w:sz="6" w:space="0" w:color="auto"/>
              <w:bottom w:val="nil" w:sz="6" w:space="0" w:color="auto"/>
              <w:right w:val="nil" w:sz="6" w:space="0" w:color="auto"/>
            </w:tcBorders>
          </w:tcPr>
          <w:p>
            <w:pPr/>
          </w:p>
        </w:tc>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6" w:right="0"/>
              <w:jc w:val="left"/>
              <w:rPr>
                <w:rFonts w:ascii="Times New Roman" w:hAnsi="Times New Roman" w:cs="Times New Roman" w:eastAsia="Times New Roman" w:hint="default"/>
                <w:sz w:val="13"/>
                <w:szCs w:val="13"/>
              </w:rPr>
            </w:pPr>
            <w:r>
              <w:rPr>
                <w:rFonts w:ascii="Times New Roman"/>
                <w:sz w:val="13"/>
              </w:rPr>
              <w:t>Kuang-Hwa</w:t>
            </w:r>
          </w:p>
        </w:tc>
        <w:tc>
          <w:tcPr>
            <w:tcW w:w="2074" w:type="dxa"/>
            <w:tcBorders>
              <w:top w:val="nil" w:sz="6" w:space="0" w:color="auto"/>
              <w:left w:val="nil" w:sz="6" w:space="0" w:color="auto"/>
              <w:bottom w:val="nil" w:sz="6" w:space="0" w:color="auto"/>
              <w:right w:val="nil" w:sz="6" w:space="0" w:color="auto"/>
            </w:tcBorders>
          </w:tcPr>
          <w:p>
            <w:pPr/>
          </w:p>
        </w:tc>
        <w:tc>
          <w:tcPr>
            <w:tcW w:w="989"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1252" w:type="dxa"/>
            <w:tcBorders>
              <w:top w:val="nil" w:sz="6" w:space="0" w:color="auto"/>
              <w:left w:val="nil" w:sz="6" w:space="0" w:color="auto"/>
              <w:bottom w:val="nil" w:sz="6" w:space="0" w:color="auto"/>
              <w:right w:val="nil" w:sz="6" w:space="0" w:color="auto"/>
            </w:tcBorders>
          </w:tcPr>
          <w:p>
            <w:pPr/>
          </w:p>
        </w:tc>
        <w:tc>
          <w:tcPr>
            <w:tcW w:w="975" w:type="dxa"/>
            <w:tcBorders>
              <w:top w:val="nil" w:sz="6" w:space="0" w:color="auto"/>
              <w:left w:val="nil" w:sz="6" w:space="0" w:color="auto"/>
              <w:bottom w:val="nil" w:sz="6" w:space="0" w:color="auto"/>
              <w:right w:val="nil" w:sz="6" w:space="0" w:color="auto"/>
            </w:tcBorders>
          </w:tcPr>
          <w:p>
            <w:pPr/>
          </w:p>
        </w:tc>
        <w:tc>
          <w:tcPr>
            <w:tcW w:w="96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980"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r>
      <w:tr>
        <w:trPr>
          <w:trHeight w:val="282" w:hRule="exact"/>
        </w:trPr>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北京利博赛社保信息技术有</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97"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598" w:type="dxa"/>
            <w:tcBorders>
              <w:top w:val="nil" w:sz="6" w:space="0" w:color="auto"/>
              <w:left w:val="nil" w:sz="6" w:space="0" w:color="auto"/>
              <w:bottom w:val="nil" w:sz="6" w:space="0" w:color="auto"/>
              <w:right w:val="nil" w:sz="6" w:space="0" w:color="auto"/>
            </w:tcBorders>
          </w:tcPr>
          <w:p>
            <w:pPr/>
          </w:p>
        </w:tc>
        <w:tc>
          <w:tcPr>
            <w:tcW w:w="903" w:type="dxa"/>
            <w:tcBorders>
              <w:top w:val="nil" w:sz="6" w:space="0" w:color="auto"/>
              <w:left w:val="nil" w:sz="6" w:space="0" w:color="auto"/>
              <w:bottom w:val="nil" w:sz="6" w:space="0" w:color="auto"/>
              <w:right w:val="nil" w:sz="6" w:space="0" w:color="auto"/>
            </w:tcBorders>
          </w:tcPr>
          <w:p>
            <w:pPr/>
          </w:p>
        </w:tc>
        <w:tc>
          <w:tcPr>
            <w:tcW w:w="2074" w:type="dxa"/>
            <w:tcBorders>
              <w:top w:val="nil" w:sz="6" w:space="0" w:color="auto"/>
              <w:left w:val="nil" w:sz="6" w:space="0" w:color="auto"/>
              <w:bottom w:val="nil" w:sz="6" w:space="0" w:color="auto"/>
              <w:right w:val="nil" w:sz="6" w:space="0" w:color="auto"/>
            </w:tcBorders>
          </w:tcPr>
          <w:p>
            <w:pPr/>
          </w:p>
        </w:tc>
        <w:tc>
          <w:tcPr>
            <w:tcW w:w="989"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1252" w:type="dxa"/>
            <w:tcBorders>
              <w:top w:val="nil" w:sz="6" w:space="0" w:color="auto"/>
              <w:left w:val="nil" w:sz="6" w:space="0" w:color="auto"/>
              <w:bottom w:val="nil" w:sz="6" w:space="0" w:color="auto"/>
              <w:right w:val="nil" w:sz="6" w:space="0" w:color="auto"/>
            </w:tcBorders>
          </w:tcPr>
          <w:p>
            <w:pPr/>
          </w:p>
        </w:tc>
        <w:tc>
          <w:tcPr>
            <w:tcW w:w="975" w:type="dxa"/>
            <w:tcBorders>
              <w:top w:val="nil" w:sz="6" w:space="0" w:color="auto"/>
              <w:left w:val="nil" w:sz="6" w:space="0" w:color="auto"/>
              <w:bottom w:val="nil" w:sz="6" w:space="0" w:color="auto"/>
              <w:right w:val="nil" w:sz="6" w:space="0" w:color="auto"/>
            </w:tcBorders>
          </w:tcPr>
          <w:p>
            <w:pPr/>
          </w:p>
        </w:tc>
        <w:tc>
          <w:tcPr>
            <w:tcW w:w="96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980"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r>
      <w:tr>
        <w:trPr>
          <w:trHeight w:val="473" w:hRule="exact"/>
        </w:trPr>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35" w:right="0"/>
              <w:jc w:val="left"/>
              <w:rPr>
                <w:rFonts w:ascii="宋体" w:hAnsi="宋体" w:cs="宋体" w:eastAsia="宋体" w:hint="default"/>
                <w:sz w:val="13"/>
                <w:szCs w:val="13"/>
              </w:rPr>
            </w:pPr>
            <w:r>
              <w:rPr>
                <w:rFonts w:ascii="宋体" w:hAnsi="宋体" w:cs="宋体" w:eastAsia="宋体" w:hint="default"/>
                <w:sz w:val="13"/>
                <w:szCs w:val="13"/>
              </w:rPr>
              <w:t>限公司</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97"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598" w:type="dxa"/>
            <w:tcBorders>
              <w:top w:val="nil" w:sz="6" w:space="0" w:color="auto"/>
              <w:left w:val="nil" w:sz="6" w:space="0" w:color="auto"/>
              <w:bottom w:val="nil" w:sz="6" w:space="0" w:color="auto"/>
              <w:right w:val="nil" w:sz="6" w:space="0" w:color="auto"/>
            </w:tcBorders>
          </w:tcPr>
          <w:p>
            <w:pPr>
              <w:pStyle w:val="TableParagraph"/>
              <w:spacing w:line="158" w:lineRule="exact"/>
              <w:ind w:right="65"/>
              <w:jc w:val="center"/>
              <w:rPr>
                <w:rFonts w:ascii="宋体" w:hAnsi="宋体" w:cs="宋体" w:eastAsia="宋体" w:hint="default"/>
                <w:sz w:val="13"/>
                <w:szCs w:val="13"/>
              </w:rPr>
            </w:pPr>
            <w:r>
              <w:rPr>
                <w:rFonts w:ascii="宋体" w:hAnsi="宋体" w:cs="宋体" w:eastAsia="宋体" w:hint="default"/>
                <w:sz w:val="13"/>
                <w:szCs w:val="13"/>
              </w:rPr>
              <w:t>北京</w:t>
            </w:r>
          </w:p>
        </w:tc>
        <w:tc>
          <w:tcPr>
            <w:tcW w:w="903" w:type="dxa"/>
            <w:tcBorders>
              <w:top w:val="nil" w:sz="6" w:space="0" w:color="auto"/>
              <w:left w:val="nil" w:sz="6" w:space="0" w:color="auto"/>
              <w:bottom w:val="nil" w:sz="6" w:space="0" w:color="auto"/>
              <w:right w:val="nil" w:sz="6" w:space="0" w:color="auto"/>
            </w:tcBorders>
          </w:tcPr>
          <w:p>
            <w:pPr>
              <w:pStyle w:val="TableParagraph"/>
              <w:spacing w:line="158" w:lineRule="exact"/>
              <w:ind w:left="96" w:right="0"/>
              <w:jc w:val="left"/>
              <w:rPr>
                <w:rFonts w:ascii="宋体" w:hAnsi="宋体" w:cs="宋体" w:eastAsia="宋体" w:hint="default"/>
                <w:sz w:val="13"/>
                <w:szCs w:val="13"/>
              </w:rPr>
            </w:pPr>
            <w:r>
              <w:rPr>
                <w:rFonts w:ascii="宋体" w:hAnsi="宋体" w:cs="宋体" w:eastAsia="宋体" w:hint="default"/>
                <w:sz w:val="13"/>
                <w:szCs w:val="13"/>
              </w:rPr>
              <w:t>胡伟伟</w:t>
            </w:r>
          </w:p>
        </w:tc>
        <w:tc>
          <w:tcPr>
            <w:tcW w:w="2074" w:type="dxa"/>
            <w:tcBorders>
              <w:top w:val="nil" w:sz="6" w:space="0" w:color="auto"/>
              <w:left w:val="nil" w:sz="6" w:space="0" w:color="auto"/>
              <w:bottom w:val="nil" w:sz="6" w:space="0" w:color="auto"/>
              <w:right w:val="nil" w:sz="6" w:space="0" w:color="auto"/>
            </w:tcBorders>
          </w:tcPr>
          <w:p>
            <w:pPr>
              <w:pStyle w:val="TableParagraph"/>
              <w:spacing w:line="158" w:lineRule="exact"/>
              <w:ind w:left="124" w:right="0"/>
              <w:jc w:val="left"/>
              <w:rPr>
                <w:rFonts w:ascii="宋体" w:hAnsi="宋体" w:cs="宋体" w:eastAsia="宋体" w:hint="default"/>
                <w:sz w:val="13"/>
                <w:szCs w:val="13"/>
              </w:rPr>
            </w:pPr>
            <w:r>
              <w:rPr>
                <w:rFonts w:ascii="宋体" w:hAnsi="宋体" w:cs="宋体" w:eastAsia="宋体" w:hint="default"/>
                <w:sz w:val="13"/>
                <w:szCs w:val="13"/>
              </w:rPr>
              <w:t>软件开发咨询服务及产品销售</w:t>
            </w:r>
          </w:p>
        </w:tc>
        <w:tc>
          <w:tcPr>
            <w:tcW w:w="989" w:type="dxa"/>
            <w:tcBorders>
              <w:top w:val="nil" w:sz="6" w:space="0" w:color="auto"/>
              <w:left w:val="nil" w:sz="6" w:space="0" w:color="auto"/>
              <w:bottom w:val="nil" w:sz="6" w:space="0" w:color="auto"/>
              <w:right w:val="nil" w:sz="6" w:space="0" w:color="auto"/>
            </w:tcBorders>
          </w:tcPr>
          <w:p>
            <w:pPr>
              <w:pStyle w:val="TableParagraph"/>
              <w:spacing w:line="168" w:lineRule="exact"/>
              <w:ind w:right="109"/>
              <w:jc w:val="right"/>
              <w:rPr>
                <w:rFonts w:ascii="宋体" w:hAnsi="宋体" w:cs="宋体" w:eastAsia="宋体" w:hint="default"/>
                <w:sz w:val="13"/>
                <w:szCs w:val="13"/>
              </w:rPr>
            </w:pPr>
            <w:r>
              <w:rPr>
                <w:rFonts w:ascii="Times New Roman" w:hAnsi="Times New Roman" w:cs="Times New Roman" w:eastAsia="Times New Roman" w:hint="default"/>
                <w:sz w:val="13"/>
                <w:szCs w:val="13"/>
              </w:rPr>
              <w:t>1,500</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万元</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Times New Roman" w:hAnsi="Times New Roman" w:cs="Times New Roman" w:eastAsia="Times New Roman" w:hint="default"/>
                <w:sz w:val="13"/>
                <w:szCs w:val="13"/>
              </w:rPr>
            </w:pPr>
            <w:r>
              <w:rPr>
                <w:rFonts w:ascii="Times New Roman"/>
                <w:w w:val="95"/>
                <w:sz w:val="13"/>
              </w:rPr>
              <w:t>33.33</w:t>
            </w:r>
            <w:r>
              <w:rPr>
                <w:rFonts w:ascii="Times New Roman"/>
                <w:sz w:val="13"/>
              </w:rPr>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99"/>
              <w:jc w:val="right"/>
              <w:rPr>
                <w:rFonts w:ascii="Times New Roman" w:hAnsi="Times New Roman" w:cs="Times New Roman" w:eastAsia="Times New Roman" w:hint="default"/>
                <w:sz w:val="13"/>
                <w:szCs w:val="13"/>
              </w:rPr>
            </w:pPr>
            <w:r>
              <w:rPr>
                <w:rFonts w:ascii="Times New Roman"/>
                <w:w w:val="95"/>
                <w:sz w:val="13"/>
              </w:rPr>
              <w:t>33.33</w:t>
            </w:r>
            <w:r>
              <w:rPr>
                <w:rFonts w:ascii="Times New Roman"/>
                <w:sz w:val="13"/>
              </w:rPr>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Times New Roman" w:hAnsi="Times New Roman" w:cs="Times New Roman" w:eastAsia="Times New Roman" w:hint="default"/>
                <w:sz w:val="13"/>
                <w:szCs w:val="13"/>
              </w:rPr>
            </w:pPr>
            <w:r>
              <w:rPr>
                <w:rFonts w:ascii="Times New Roman"/>
                <w:w w:val="95"/>
                <w:sz w:val="13"/>
              </w:rPr>
              <w:t>27,354,907</w:t>
            </w:r>
            <w:r>
              <w:rPr>
                <w:rFonts w:ascii="Times New Roman"/>
                <w:sz w:val="13"/>
              </w:rPr>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3"/>
              <w:jc w:val="right"/>
              <w:rPr>
                <w:rFonts w:ascii="Times New Roman" w:hAnsi="Times New Roman" w:cs="Times New Roman" w:eastAsia="Times New Roman" w:hint="default"/>
                <w:sz w:val="13"/>
                <w:szCs w:val="13"/>
              </w:rPr>
            </w:pPr>
            <w:r>
              <w:rPr>
                <w:rFonts w:ascii="Times New Roman"/>
                <w:spacing w:val="-1"/>
                <w:sz w:val="13"/>
              </w:rPr>
              <w:t>5,265,112</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4"/>
              <w:jc w:val="right"/>
              <w:rPr>
                <w:rFonts w:ascii="Times New Roman" w:hAnsi="Times New Roman" w:cs="Times New Roman" w:eastAsia="Times New Roman" w:hint="default"/>
                <w:sz w:val="13"/>
                <w:szCs w:val="13"/>
              </w:rPr>
            </w:pPr>
            <w:r>
              <w:rPr>
                <w:rFonts w:ascii="Times New Roman"/>
                <w:w w:val="95"/>
                <w:sz w:val="13"/>
              </w:rPr>
              <w:t>22,089,795</w:t>
            </w:r>
            <w:r>
              <w:rPr>
                <w:rFonts w:ascii="Times New Roman"/>
                <w:sz w:val="13"/>
              </w:rPr>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6"/>
              <w:jc w:val="right"/>
              <w:rPr>
                <w:rFonts w:ascii="Times New Roman" w:hAnsi="Times New Roman" w:cs="Times New Roman" w:eastAsia="Times New Roman" w:hint="default"/>
                <w:sz w:val="13"/>
                <w:szCs w:val="13"/>
              </w:rPr>
            </w:pPr>
            <w:r>
              <w:rPr>
                <w:rFonts w:ascii="Times New Roman"/>
                <w:w w:val="95"/>
                <w:sz w:val="13"/>
              </w:rPr>
              <w:t>13,589,702</w:t>
            </w:r>
            <w:r>
              <w:rPr>
                <w:rFonts w:ascii="Times New Roman"/>
                <w:sz w:val="13"/>
              </w:rPr>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3"/>
              <w:jc w:val="right"/>
              <w:rPr>
                <w:rFonts w:ascii="Times New Roman" w:hAnsi="Times New Roman" w:cs="Times New Roman" w:eastAsia="Times New Roman" w:hint="default"/>
                <w:sz w:val="13"/>
                <w:szCs w:val="13"/>
              </w:rPr>
            </w:pPr>
            <w:r>
              <w:rPr>
                <w:rFonts w:ascii="Times New Roman"/>
                <w:w w:val="95"/>
                <w:sz w:val="13"/>
              </w:rPr>
              <w:t>319,427</w:t>
            </w:r>
            <w:r>
              <w:rPr>
                <w:rFonts w:ascii="Times New Roman"/>
                <w:sz w:val="13"/>
              </w:rPr>
            </w:r>
          </w:p>
        </w:tc>
      </w:tr>
      <w:tr>
        <w:trPr>
          <w:trHeight w:val="286" w:hRule="exact"/>
        </w:trPr>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87"/>
              <w:ind w:left="35" w:right="0"/>
              <w:jc w:val="left"/>
              <w:rPr>
                <w:rFonts w:ascii="宋体" w:hAnsi="宋体" w:cs="宋体" w:eastAsia="宋体" w:hint="default"/>
                <w:sz w:val="13"/>
                <w:szCs w:val="13"/>
              </w:rPr>
            </w:pPr>
            <w:r>
              <w:rPr>
                <w:rFonts w:ascii="宋体" w:hAnsi="宋体" w:cs="宋体" w:eastAsia="宋体" w:hint="default"/>
                <w:sz w:val="13"/>
                <w:szCs w:val="13"/>
              </w:rPr>
              <w:t>东软飞利浦医疗设备系统有</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87"/>
              <w:ind w:left="97"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598" w:type="dxa"/>
            <w:tcBorders>
              <w:top w:val="nil" w:sz="6" w:space="0" w:color="auto"/>
              <w:left w:val="nil" w:sz="6" w:space="0" w:color="auto"/>
              <w:bottom w:val="nil" w:sz="6" w:space="0" w:color="auto"/>
              <w:right w:val="nil" w:sz="6" w:space="0" w:color="auto"/>
            </w:tcBorders>
          </w:tcPr>
          <w:p>
            <w:pPr/>
          </w:p>
        </w:tc>
        <w:tc>
          <w:tcPr>
            <w:tcW w:w="903" w:type="dxa"/>
            <w:tcBorders>
              <w:top w:val="nil" w:sz="6" w:space="0" w:color="auto"/>
              <w:left w:val="nil" w:sz="6" w:space="0" w:color="auto"/>
              <w:bottom w:val="nil" w:sz="6" w:space="0" w:color="auto"/>
              <w:right w:val="nil" w:sz="6" w:space="0" w:color="auto"/>
            </w:tcBorders>
          </w:tcPr>
          <w:p>
            <w:pPr/>
          </w:p>
        </w:tc>
        <w:tc>
          <w:tcPr>
            <w:tcW w:w="2074" w:type="dxa"/>
            <w:tcBorders>
              <w:top w:val="nil" w:sz="6" w:space="0" w:color="auto"/>
              <w:left w:val="nil" w:sz="6" w:space="0" w:color="auto"/>
              <w:bottom w:val="nil" w:sz="6" w:space="0" w:color="auto"/>
              <w:right w:val="nil" w:sz="6" w:space="0" w:color="auto"/>
            </w:tcBorders>
          </w:tcPr>
          <w:p>
            <w:pPr/>
          </w:p>
        </w:tc>
        <w:tc>
          <w:tcPr>
            <w:tcW w:w="989"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1252" w:type="dxa"/>
            <w:tcBorders>
              <w:top w:val="nil" w:sz="6" w:space="0" w:color="auto"/>
              <w:left w:val="nil" w:sz="6" w:space="0" w:color="auto"/>
              <w:bottom w:val="nil" w:sz="6" w:space="0" w:color="auto"/>
              <w:right w:val="nil" w:sz="6" w:space="0" w:color="auto"/>
            </w:tcBorders>
          </w:tcPr>
          <w:p>
            <w:pPr/>
          </w:p>
        </w:tc>
        <w:tc>
          <w:tcPr>
            <w:tcW w:w="975" w:type="dxa"/>
            <w:tcBorders>
              <w:top w:val="nil" w:sz="6" w:space="0" w:color="auto"/>
              <w:left w:val="nil" w:sz="6" w:space="0" w:color="auto"/>
              <w:bottom w:val="nil" w:sz="6" w:space="0" w:color="auto"/>
              <w:right w:val="nil" w:sz="6" w:space="0" w:color="auto"/>
            </w:tcBorders>
          </w:tcPr>
          <w:p>
            <w:pPr/>
          </w:p>
        </w:tc>
        <w:tc>
          <w:tcPr>
            <w:tcW w:w="96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980"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r>
      <w:tr>
        <w:trPr>
          <w:trHeight w:val="473" w:hRule="exact"/>
        </w:trPr>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35" w:right="0"/>
              <w:jc w:val="left"/>
              <w:rPr>
                <w:rFonts w:ascii="宋体" w:hAnsi="宋体" w:cs="宋体" w:eastAsia="宋体" w:hint="default"/>
                <w:sz w:val="13"/>
                <w:szCs w:val="13"/>
              </w:rPr>
            </w:pPr>
            <w:r>
              <w:rPr>
                <w:rFonts w:ascii="宋体" w:hAnsi="宋体" w:cs="宋体" w:eastAsia="宋体" w:hint="default"/>
                <w:sz w:val="13"/>
                <w:szCs w:val="13"/>
              </w:rPr>
              <w:t>限责任公司</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97"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598" w:type="dxa"/>
            <w:tcBorders>
              <w:top w:val="nil" w:sz="6" w:space="0" w:color="auto"/>
              <w:left w:val="nil" w:sz="6" w:space="0" w:color="auto"/>
              <w:bottom w:val="nil" w:sz="6" w:space="0" w:color="auto"/>
              <w:right w:val="nil" w:sz="6" w:space="0" w:color="auto"/>
            </w:tcBorders>
          </w:tcPr>
          <w:p>
            <w:pPr>
              <w:pStyle w:val="TableParagraph"/>
              <w:spacing w:line="158" w:lineRule="exact"/>
              <w:ind w:right="65"/>
              <w:jc w:val="center"/>
              <w:rPr>
                <w:rFonts w:ascii="宋体" w:hAnsi="宋体" w:cs="宋体" w:eastAsia="宋体" w:hint="default"/>
                <w:sz w:val="13"/>
                <w:szCs w:val="13"/>
              </w:rPr>
            </w:pPr>
            <w:r>
              <w:rPr>
                <w:rFonts w:ascii="宋体" w:hAnsi="宋体" w:cs="宋体" w:eastAsia="宋体" w:hint="default"/>
                <w:sz w:val="13"/>
                <w:szCs w:val="13"/>
              </w:rPr>
              <w:t>沈阳</w:t>
            </w:r>
          </w:p>
        </w:tc>
        <w:tc>
          <w:tcPr>
            <w:tcW w:w="903" w:type="dxa"/>
            <w:tcBorders>
              <w:top w:val="nil" w:sz="6" w:space="0" w:color="auto"/>
              <w:left w:val="nil" w:sz="6" w:space="0" w:color="auto"/>
              <w:bottom w:val="nil" w:sz="6" w:space="0" w:color="auto"/>
              <w:right w:val="nil" w:sz="6" w:space="0" w:color="auto"/>
            </w:tcBorders>
          </w:tcPr>
          <w:p>
            <w:pPr>
              <w:pStyle w:val="TableParagraph"/>
              <w:spacing w:line="158" w:lineRule="exact"/>
              <w:ind w:left="96" w:right="0"/>
              <w:jc w:val="left"/>
              <w:rPr>
                <w:rFonts w:ascii="宋体" w:hAnsi="宋体" w:cs="宋体" w:eastAsia="宋体" w:hint="default"/>
                <w:sz w:val="13"/>
                <w:szCs w:val="13"/>
              </w:rPr>
            </w:pPr>
            <w:r>
              <w:rPr>
                <w:rFonts w:ascii="宋体" w:hAnsi="宋体" w:cs="宋体" w:eastAsia="宋体" w:hint="default"/>
                <w:sz w:val="13"/>
                <w:szCs w:val="13"/>
              </w:rPr>
              <w:t>刘积仁</w:t>
            </w:r>
          </w:p>
        </w:tc>
        <w:tc>
          <w:tcPr>
            <w:tcW w:w="2074" w:type="dxa"/>
            <w:tcBorders>
              <w:top w:val="nil" w:sz="6" w:space="0" w:color="auto"/>
              <w:left w:val="nil" w:sz="6" w:space="0" w:color="auto"/>
              <w:bottom w:val="nil" w:sz="6" w:space="0" w:color="auto"/>
              <w:right w:val="nil" w:sz="6" w:space="0" w:color="auto"/>
            </w:tcBorders>
          </w:tcPr>
          <w:p>
            <w:pPr>
              <w:pStyle w:val="TableParagraph"/>
              <w:spacing w:line="168" w:lineRule="exact"/>
              <w:ind w:left="124" w:right="0"/>
              <w:jc w:val="left"/>
              <w:rPr>
                <w:rFonts w:ascii="宋体" w:hAnsi="宋体" w:cs="宋体" w:eastAsia="宋体" w:hint="default"/>
                <w:sz w:val="13"/>
                <w:szCs w:val="13"/>
              </w:rPr>
            </w:pPr>
            <w:r>
              <w:rPr>
                <w:rFonts w:ascii="宋体" w:hAnsi="宋体" w:cs="宋体" w:eastAsia="宋体" w:hint="default"/>
                <w:sz w:val="13"/>
                <w:szCs w:val="13"/>
              </w:rPr>
              <w:t>研发、生产销售</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CT</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机等</w:t>
            </w:r>
          </w:p>
        </w:tc>
        <w:tc>
          <w:tcPr>
            <w:tcW w:w="989" w:type="dxa"/>
            <w:tcBorders>
              <w:top w:val="nil" w:sz="6" w:space="0" w:color="auto"/>
              <w:left w:val="nil" w:sz="6" w:space="0" w:color="auto"/>
              <w:bottom w:val="nil" w:sz="6" w:space="0" w:color="auto"/>
              <w:right w:val="nil" w:sz="6" w:space="0" w:color="auto"/>
            </w:tcBorders>
          </w:tcPr>
          <w:p>
            <w:pPr>
              <w:pStyle w:val="TableParagraph"/>
              <w:spacing w:line="168" w:lineRule="exact"/>
              <w:ind w:left="163"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2,960</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万美元</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Times New Roman" w:hAnsi="Times New Roman" w:cs="Times New Roman" w:eastAsia="Times New Roman" w:hint="default"/>
                <w:sz w:val="13"/>
                <w:szCs w:val="13"/>
              </w:rPr>
            </w:pPr>
            <w:r>
              <w:rPr>
                <w:rFonts w:ascii="Times New Roman"/>
                <w:w w:val="95"/>
                <w:sz w:val="13"/>
              </w:rPr>
              <w:t>49.00</w:t>
            </w:r>
            <w:r>
              <w:rPr>
                <w:rFonts w:ascii="Times New Roman"/>
                <w:sz w:val="13"/>
              </w:rPr>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99"/>
              <w:jc w:val="right"/>
              <w:rPr>
                <w:rFonts w:ascii="Times New Roman" w:hAnsi="Times New Roman" w:cs="Times New Roman" w:eastAsia="Times New Roman" w:hint="default"/>
                <w:sz w:val="13"/>
                <w:szCs w:val="13"/>
              </w:rPr>
            </w:pPr>
            <w:r>
              <w:rPr>
                <w:rFonts w:ascii="Times New Roman"/>
                <w:w w:val="95"/>
                <w:sz w:val="13"/>
              </w:rPr>
              <w:t>49.00</w:t>
            </w:r>
            <w:r>
              <w:rPr>
                <w:rFonts w:ascii="Times New Roman"/>
                <w:sz w:val="13"/>
              </w:rPr>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5"/>
              <w:jc w:val="right"/>
              <w:rPr>
                <w:rFonts w:ascii="Times New Roman" w:hAnsi="Times New Roman" w:cs="Times New Roman" w:eastAsia="Times New Roman" w:hint="default"/>
                <w:sz w:val="13"/>
                <w:szCs w:val="13"/>
              </w:rPr>
            </w:pPr>
            <w:r>
              <w:rPr>
                <w:rFonts w:ascii="Times New Roman"/>
                <w:spacing w:val="-1"/>
                <w:sz w:val="13"/>
              </w:rPr>
              <w:t>505,117,695</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4"/>
              <w:jc w:val="right"/>
              <w:rPr>
                <w:rFonts w:ascii="Times New Roman" w:hAnsi="Times New Roman" w:cs="Times New Roman" w:eastAsia="Times New Roman" w:hint="default"/>
                <w:sz w:val="13"/>
                <w:szCs w:val="13"/>
              </w:rPr>
            </w:pPr>
            <w:r>
              <w:rPr>
                <w:rFonts w:ascii="Times New Roman"/>
                <w:w w:val="95"/>
                <w:sz w:val="13"/>
              </w:rPr>
              <w:t>169,960,314</w:t>
            </w:r>
            <w:r>
              <w:rPr>
                <w:rFonts w:ascii="Times New Roman"/>
                <w:sz w:val="13"/>
              </w:rPr>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2"/>
              <w:jc w:val="right"/>
              <w:rPr>
                <w:rFonts w:ascii="Times New Roman" w:hAnsi="Times New Roman" w:cs="Times New Roman" w:eastAsia="Times New Roman" w:hint="default"/>
                <w:sz w:val="13"/>
                <w:szCs w:val="13"/>
              </w:rPr>
            </w:pPr>
            <w:r>
              <w:rPr>
                <w:rFonts w:ascii="Times New Roman"/>
                <w:w w:val="95"/>
                <w:sz w:val="13"/>
              </w:rPr>
              <w:t>335,157,381</w:t>
            </w:r>
            <w:r>
              <w:rPr>
                <w:rFonts w:ascii="Times New Roman"/>
                <w:sz w:val="13"/>
              </w:rPr>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4"/>
              <w:jc w:val="right"/>
              <w:rPr>
                <w:rFonts w:ascii="Times New Roman" w:hAnsi="Times New Roman" w:cs="Times New Roman" w:eastAsia="Times New Roman" w:hint="default"/>
                <w:sz w:val="13"/>
                <w:szCs w:val="13"/>
              </w:rPr>
            </w:pPr>
            <w:r>
              <w:rPr>
                <w:rFonts w:ascii="Times New Roman"/>
                <w:w w:val="95"/>
                <w:sz w:val="13"/>
              </w:rPr>
              <w:t>889,875,853</w:t>
            </w:r>
            <w:r>
              <w:rPr>
                <w:rFonts w:ascii="Times New Roman"/>
                <w:sz w:val="13"/>
              </w:rPr>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3"/>
              <w:jc w:val="right"/>
              <w:rPr>
                <w:rFonts w:ascii="Times New Roman" w:hAnsi="Times New Roman" w:cs="Times New Roman" w:eastAsia="Times New Roman" w:hint="default"/>
                <w:sz w:val="13"/>
                <w:szCs w:val="13"/>
              </w:rPr>
            </w:pPr>
            <w:r>
              <w:rPr>
                <w:rFonts w:ascii="Times New Roman"/>
                <w:w w:val="95"/>
                <w:sz w:val="13"/>
              </w:rPr>
              <w:t>76,442,422</w:t>
            </w:r>
            <w:r>
              <w:rPr>
                <w:rFonts w:ascii="Times New Roman"/>
                <w:sz w:val="13"/>
              </w:rPr>
            </w:r>
          </w:p>
        </w:tc>
      </w:tr>
      <w:tr>
        <w:trPr>
          <w:trHeight w:val="286" w:hRule="exact"/>
        </w:trPr>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13"/>
                <w:szCs w:val="13"/>
              </w:rPr>
            </w:pPr>
            <w:r>
              <w:rPr>
                <w:rFonts w:ascii="宋体" w:hAnsi="宋体" w:cs="宋体" w:eastAsia="宋体" w:hint="default"/>
                <w:sz w:val="13"/>
                <w:szCs w:val="13"/>
              </w:rPr>
              <w:t>辽宁盛京熙康健康管理有限</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86"/>
              <w:ind w:left="97" w:right="0"/>
              <w:jc w:val="left"/>
              <w:rPr>
                <w:rFonts w:ascii="宋体" w:hAnsi="宋体" w:cs="宋体" w:eastAsia="宋体" w:hint="default"/>
                <w:sz w:val="13"/>
                <w:szCs w:val="13"/>
              </w:rPr>
            </w:pPr>
            <w:r>
              <w:rPr>
                <w:rFonts w:ascii="宋体" w:hAnsi="宋体" w:cs="宋体" w:eastAsia="宋体" w:hint="default"/>
                <w:sz w:val="13"/>
                <w:szCs w:val="13"/>
              </w:rPr>
              <w:t>有限责任</w:t>
            </w:r>
          </w:p>
        </w:tc>
        <w:tc>
          <w:tcPr>
            <w:tcW w:w="598" w:type="dxa"/>
            <w:tcBorders>
              <w:top w:val="nil" w:sz="6" w:space="0" w:color="auto"/>
              <w:left w:val="nil" w:sz="6" w:space="0" w:color="auto"/>
              <w:bottom w:val="nil" w:sz="6" w:space="0" w:color="auto"/>
              <w:right w:val="nil" w:sz="6" w:space="0" w:color="auto"/>
            </w:tcBorders>
          </w:tcPr>
          <w:p>
            <w:pPr/>
          </w:p>
        </w:tc>
        <w:tc>
          <w:tcPr>
            <w:tcW w:w="903" w:type="dxa"/>
            <w:tcBorders>
              <w:top w:val="nil" w:sz="6" w:space="0" w:color="auto"/>
              <w:left w:val="nil" w:sz="6" w:space="0" w:color="auto"/>
              <w:bottom w:val="nil" w:sz="6" w:space="0" w:color="auto"/>
              <w:right w:val="nil" w:sz="6" w:space="0" w:color="auto"/>
            </w:tcBorders>
          </w:tcPr>
          <w:p>
            <w:pPr/>
          </w:p>
        </w:tc>
        <w:tc>
          <w:tcPr>
            <w:tcW w:w="2074" w:type="dxa"/>
            <w:tcBorders>
              <w:top w:val="nil" w:sz="6" w:space="0" w:color="auto"/>
              <w:left w:val="nil" w:sz="6" w:space="0" w:color="auto"/>
              <w:bottom w:val="nil" w:sz="6" w:space="0" w:color="auto"/>
              <w:right w:val="nil" w:sz="6" w:space="0" w:color="auto"/>
            </w:tcBorders>
          </w:tcPr>
          <w:p>
            <w:pPr/>
          </w:p>
        </w:tc>
        <w:tc>
          <w:tcPr>
            <w:tcW w:w="989"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1252" w:type="dxa"/>
            <w:tcBorders>
              <w:top w:val="nil" w:sz="6" w:space="0" w:color="auto"/>
              <w:left w:val="nil" w:sz="6" w:space="0" w:color="auto"/>
              <w:bottom w:val="nil" w:sz="6" w:space="0" w:color="auto"/>
              <w:right w:val="nil" w:sz="6" w:space="0" w:color="auto"/>
            </w:tcBorders>
          </w:tcPr>
          <w:p>
            <w:pPr/>
          </w:p>
        </w:tc>
        <w:tc>
          <w:tcPr>
            <w:tcW w:w="975" w:type="dxa"/>
            <w:tcBorders>
              <w:top w:val="nil" w:sz="6" w:space="0" w:color="auto"/>
              <w:left w:val="nil" w:sz="6" w:space="0" w:color="auto"/>
              <w:bottom w:val="nil" w:sz="6" w:space="0" w:color="auto"/>
              <w:right w:val="nil" w:sz="6" w:space="0" w:color="auto"/>
            </w:tcBorders>
          </w:tcPr>
          <w:p>
            <w:pPr/>
          </w:p>
        </w:tc>
        <w:tc>
          <w:tcPr>
            <w:tcW w:w="96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980"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r>
      <w:tr>
        <w:trPr>
          <w:trHeight w:val="446" w:hRule="exact"/>
        </w:trPr>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35"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97" w:right="0"/>
              <w:jc w:val="left"/>
              <w:rPr>
                <w:rFonts w:ascii="宋体" w:hAnsi="宋体" w:cs="宋体" w:eastAsia="宋体" w:hint="default"/>
                <w:sz w:val="13"/>
                <w:szCs w:val="13"/>
              </w:rPr>
            </w:pPr>
            <w:r>
              <w:rPr>
                <w:rFonts w:ascii="宋体" w:hAnsi="宋体" w:cs="宋体" w:eastAsia="宋体" w:hint="default"/>
                <w:sz w:val="13"/>
                <w:szCs w:val="13"/>
              </w:rPr>
              <w:t>公司</w:t>
            </w:r>
          </w:p>
        </w:tc>
        <w:tc>
          <w:tcPr>
            <w:tcW w:w="598" w:type="dxa"/>
            <w:tcBorders>
              <w:top w:val="nil" w:sz="6" w:space="0" w:color="auto"/>
              <w:left w:val="nil" w:sz="6" w:space="0" w:color="auto"/>
              <w:bottom w:val="nil" w:sz="6" w:space="0" w:color="auto"/>
              <w:right w:val="nil" w:sz="6" w:space="0" w:color="auto"/>
            </w:tcBorders>
          </w:tcPr>
          <w:p>
            <w:pPr>
              <w:pStyle w:val="TableParagraph"/>
              <w:spacing w:line="158" w:lineRule="exact"/>
              <w:ind w:right="65"/>
              <w:jc w:val="center"/>
              <w:rPr>
                <w:rFonts w:ascii="宋体" w:hAnsi="宋体" w:cs="宋体" w:eastAsia="宋体" w:hint="default"/>
                <w:sz w:val="13"/>
                <w:szCs w:val="13"/>
              </w:rPr>
            </w:pPr>
            <w:r>
              <w:rPr>
                <w:rFonts w:ascii="宋体" w:hAnsi="宋体" w:cs="宋体" w:eastAsia="宋体" w:hint="default"/>
                <w:sz w:val="13"/>
                <w:szCs w:val="13"/>
              </w:rPr>
              <w:t>沈阳</w:t>
            </w:r>
          </w:p>
        </w:tc>
        <w:tc>
          <w:tcPr>
            <w:tcW w:w="903" w:type="dxa"/>
            <w:tcBorders>
              <w:top w:val="nil" w:sz="6" w:space="0" w:color="auto"/>
              <w:left w:val="nil" w:sz="6" w:space="0" w:color="auto"/>
              <w:bottom w:val="nil" w:sz="6" w:space="0" w:color="auto"/>
              <w:right w:val="nil" w:sz="6" w:space="0" w:color="auto"/>
            </w:tcBorders>
          </w:tcPr>
          <w:p>
            <w:pPr>
              <w:pStyle w:val="TableParagraph"/>
              <w:spacing w:line="158" w:lineRule="exact"/>
              <w:ind w:left="96" w:right="0"/>
              <w:jc w:val="left"/>
              <w:rPr>
                <w:rFonts w:ascii="宋体" w:hAnsi="宋体" w:cs="宋体" w:eastAsia="宋体" w:hint="default"/>
                <w:sz w:val="13"/>
                <w:szCs w:val="13"/>
              </w:rPr>
            </w:pPr>
            <w:r>
              <w:rPr>
                <w:rFonts w:ascii="宋体" w:hAnsi="宋体" w:cs="宋体" w:eastAsia="宋体" w:hint="default"/>
                <w:sz w:val="13"/>
                <w:szCs w:val="13"/>
              </w:rPr>
              <w:t>佡剑非</w:t>
            </w:r>
          </w:p>
        </w:tc>
        <w:tc>
          <w:tcPr>
            <w:tcW w:w="2074" w:type="dxa"/>
            <w:tcBorders>
              <w:top w:val="nil" w:sz="6" w:space="0" w:color="auto"/>
              <w:left w:val="nil" w:sz="6" w:space="0" w:color="auto"/>
              <w:bottom w:val="nil" w:sz="6" w:space="0" w:color="auto"/>
              <w:right w:val="nil" w:sz="6" w:space="0" w:color="auto"/>
            </w:tcBorders>
          </w:tcPr>
          <w:p>
            <w:pPr>
              <w:pStyle w:val="TableParagraph"/>
              <w:spacing w:line="168" w:lineRule="exact"/>
              <w:ind w:left="124"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IT</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技术健康管理服务平台</w:t>
            </w:r>
          </w:p>
        </w:tc>
        <w:tc>
          <w:tcPr>
            <w:tcW w:w="989" w:type="dxa"/>
            <w:tcBorders>
              <w:top w:val="nil" w:sz="6" w:space="0" w:color="auto"/>
              <w:left w:val="nil" w:sz="6" w:space="0" w:color="auto"/>
              <w:bottom w:val="nil" w:sz="6" w:space="0" w:color="auto"/>
              <w:right w:val="nil" w:sz="6" w:space="0" w:color="auto"/>
            </w:tcBorders>
          </w:tcPr>
          <w:p>
            <w:pPr>
              <w:pStyle w:val="TableParagraph"/>
              <w:spacing w:line="168" w:lineRule="exact"/>
              <w:ind w:right="109"/>
              <w:jc w:val="right"/>
              <w:rPr>
                <w:rFonts w:ascii="宋体" w:hAnsi="宋体" w:cs="宋体" w:eastAsia="宋体" w:hint="default"/>
                <w:sz w:val="13"/>
                <w:szCs w:val="13"/>
              </w:rPr>
            </w:pPr>
            <w:r>
              <w:rPr>
                <w:rFonts w:ascii="Times New Roman" w:hAnsi="Times New Roman" w:cs="Times New Roman" w:eastAsia="Times New Roman" w:hint="default"/>
                <w:sz w:val="13"/>
                <w:szCs w:val="13"/>
              </w:rPr>
              <w:t>100</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万元</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Times New Roman" w:hAnsi="Times New Roman" w:cs="Times New Roman" w:eastAsia="Times New Roman" w:hint="default"/>
                <w:sz w:val="13"/>
                <w:szCs w:val="13"/>
              </w:rPr>
            </w:pPr>
            <w:r>
              <w:rPr>
                <w:rFonts w:ascii="Times New Roman"/>
                <w:w w:val="95"/>
                <w:sz w:val="13"/>
              </w:rPr>
              <w:t>49.00</w:t>
            </w:r>
            <w:r>
              <w:rPr>
                <w:rFonts w:ascii="Times New Roman"/>
                <w:sz w:val="13"/>
              </w:rPr>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99"/>
              <w:jc w:val="right"/>
              <w:rPr>
                <w:rFonts w:ascii="Times New Roman" w:hAnsi="Times New Roman" w:cs="Times New Roman" w:eastAsia="Times New Roman" w:hint="default"/>
                <w:sz w:val="13"/>
                <w:szCs w:val="13"/>
              </w:rPr>
            </w:pPr>
            <w:r>
              <w:rPr>
                <w:rFonts w:ascii="Times New Roman"/>
                <w:w w:val="95"/>
                <w:sz w:val="13"/>
              </w:rPr>
              <w:t>49.00</w:t>
            </w:r>
            <w:r>
              <w:rPr>
                <w:rFonts w:ascii="Times New Roman"/>
                <w:sz w:val="13"/>
              </w:rPr>
            </w:r>
          </w:p>
        </w:tc>
        <w:tc>
          <w:tcPr>
            <w:tcW w:w="97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Times New Roman" w:hAnsi="Times New Roman" w:cs="Times New Roman" w:eastAsia="Times New Roman" w:hint="default"/>
                <w:sz w:val="13"/>
                <w:szCs w:val="13"/>
              </w:rPr>
            </w:pPr>
            <w:r>
              <w:rPr>
                <w:rFonts w:ascii="Times New Roman"/>
                <w:w w:val="95"/>
                <w:sz w:val="13"/>
              </w:rPr>
              <w:t>1,002,583</w:t>
            </w:r>
            <w:r>
              <w:rPr>
                <w:rFonts w:ascii="Times New Roman"/>
                <w:sz w:val="13"/>
              </w:rPr>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3"/>
              <w:jc w:val="right"/>
              <w:rPr>
                <w:rFonts w:ascii="Times New Roman" w:hAnsi="Times New Roman" w:cs="Times New Roman" w:eastAsia="Times New Roman" w:hint="default"/>
                <w:sz w:val="13"/>
                <w:szCs w:val="13"/>
              </w:rPr>
            </w:pPr>
            <w:r>
              <w:rPr>
                <w:rFonts w:ascii="Times New Roman"/>
                <w:w w:val="95"/>
                <w:sz w:val="13"/>
              </w:rPr>
              <w:t>746,418</w:t>
            </w:r>
            <w:r>
              <w:rPr>
                <w:rFonts w:ascii="Times New Roman"/>
                <w:sz w:val="13"/>
              </w:rPr>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4"/>
              <w:jc w:val="right"/>
              <w:rPr>
                <w:rFonts w:ascii="Times New Roman" w:hAnsi="Times New Roman" w:cs="Times New Roman" w:eastAsia="Times New Roman" w:hint="default"/>
                <w:sz w:val="13"/>
                <w:szCs w:val="13"/>
              </w:rPr>
            </w:pPr>
            <w:r>
              <w:rPr>
                <w:rFonts w:ascii="Times New Roman"/>
                <w:w w:val="95"/>
                <w:sz w:val="13"/>
              </w:rPr>
              <w:t>256,165</w:t>
            </w:r>
            <w:r>
              <w:rPr>
                <w:rFonts w:ascii="Times New Roman"/>
                <w:sz w:val="13"/>
              </w:rPr>
            </w:r>
          </w:p>
        </w:tc>
        <w:tc>
          <w:tcPr>
            <w:tcW w:w="980"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3"/>
              <w:jc w:val="right"/>
              <w:rPr>
                <w:rFonts w:ascii="Times New Roman" w:hAnsi="Times New Roman" w:cs="Times New Roman" w:eastAsia="Times New Roman" w:hint="default"/>
                <w:sz w:val="13"/>
                <w:szCs w:val="13"/>
              </w:rPr>
            </w:pPr>
            <w:r>
              <w:rPr>
                <w:rFonts w:ascii="Times New Roman"/>
                <w:w w:val="95"/>
                <w:sz w:val="13"/>
              </w:rPr>
              <w:t>-743,838</w:t>
            </w:r>
            <w:r>
              <w:rPr>
                <w:rFonts w:ascii="Times New Roman"/>
                <w:sz w:val="13"/>
              </w:rPr>
            </w:r>
          </w:p>
        </w:tc>
      </w:tr>
    </w:tbl>
    <w:p>
      <w:pPr>
        <w:spacing w:line="240" w:lineRule="auto" w:before="10"/>
        <w:rPr>
          <w:rFonts w:ascii="宋体" w:hAnsi="宋体" w:cs="宋体" w:eastAsia="宋体" w:hint="default"/>
          <w:sz w:val="7"/>
          <w:szCs w:val="7"/>
        </w:rPr>
      </w:pPr>
    </w:p>
    <w:p>
      <w:pPr>
        <w:spacing w:before="35"/>
        <w:ind w:left="857" w:right="0" w:firstLine="0"/>
        <w:jc w:val="left"/>
        <w:rPr>
          <w:rFonts w:ascii="宋体" w:hAnsi="宋体" w:cs="宋体" w:eastAsia="宋体" w:hint="default"/>
          <w:sz w:val="21"/>
          <w:szCs w:val="21"/>
        </w:rPr>
      </w:pPr>
      <w:r>
        <w:rPr/>
        <w:pict>
          <v:group style="position:absolute;margin-left:101.270988pt;margin-top:-251.246323pt;width:701pt;height:248.35pt;mso-position-horizontal-relative:page;mso-position-vertical-relative:paragraph;z-index:-989080" coordorigin="2025,-5025" coordsize="14020,4967">
            <v:group style="position:absolute;left:2049;top:-5015;width:1880;height:2" coordorigin="2049,-5015" coordsize="1880,2">
              <v:shape style="position:absolute;left:2049;top:-5015;width:1880;height:2" coordorigin="2049,-5015" coordsize="1880,0" path="m2049,-5015l3929,-5015e" filled="false" stroked="true" strokeweight=".95999pt" strokecolor="#000000">
                <v:path arrowok="t"/>
              </v:shape>
            </v:group>
            <v:group style="position:absolute;left:3929;top:-5015;width:800;height:2" coordorigin="3929,-5015" coordsize="800,2">
              <v:shape style="position:absolute;left:3929;top:-5015;width:800;height:2" coordorigin="3929,-5015" coordsize="800,0" path="m3929,-5015l4728,-5015e" filled="false" stroked="true" strokeweight=".95999pt" strokecolor="#000000">
                <v:path arrowok="t"/>
              </v:shape>
            </v:group>
            <v:group style="position:absolute;left:4728;top:-5015;width:560;height:2" coordorigin="4728,-5015" coordsize="560,2">
              <v:shape style="position:absolute;left:4728;top:-5015;width:560;height:2" coordorigin="4728,-5015" coordsize="560,0" path="m4728,-5015l5287,-5015e" filled="false" stroked="true" strokeweight=".95999pt" strokecolor="#000000">
                <v:path arrowok="t"/>
              </v:shape>
            </v:group>
            <v:group style="position:absolute;left:5287;top:-5015;width:932;height:2" coordorigin="5287,-5015" coordsize="932,2">
              <v:shape style="position:absolute;left:5287;top:-5015;width:932;height:2" coordorigin="5287,-5015" coordsize="932,0" path="m5287,-5015l6218,-5015e" filled="false" stroked="true" strokeweight=".95999pt" strokecolor="#000000">
                <v:path arrowok="t"/>
              </v:shape>
            </v:group>
            <v:group style="position:absolute;left:6218;top:-5015;width:2003;height:2" coordorigin="6218,-5015" coordsize="2003,2">
              <v:shape style="position:absolute;left:6218;top:-5015;width:2003;height:2" coordorigin="6218,-5015" coordsize="2003,0" path="m6218,-5015l8221,-5015e" filled="false" stroked="true" strokeweight=".95999pt" strokecolor="#000000">
                <v:path arrowok="t"/>
              </v:shape>
            </v:group>
            <v:group style="position:absolute;left:8221;top:-5015;width:1041;height:2" coordorigin="8221,-5015" coordsize="1041,2">
              <v:shape style="position:absolute;left:8221;top:-5015;width:1041;height:2" coordorigin="8221,-5015" coordsize="1041,0" path="m8221,-5015l9261,-5015e" filled="false" stroked="true" strokeweight=".95999pt" strokecolor="#000000">
                <v:path arrowok="t"/>
              </v:shape>
            </v:group>
            <v:group style="position:absolute;left:9261;top:-5015;width:881;height:2" coordorigin="9261,-5015" coordsize="881,2">
              <v:shape style="position:absolute;left:9261;top:-5015;width:881;height:2" coordorigin="9261,-5015" coordsize="881,0" path="m9261,-5015l10142,-5015e" filled="false" stroked="true" strokeweight=".95999pt" strokecolor="#000000">
                <v:path arrowok="t"/>
              </v:shape>
            </v:group>
            <v:group style="position:absolute;left:10142;top:-5015;width:1259;height:2" coordorigin="10142,-5015" coordsize="1259,2">
              <v:shape style="position:absolute;left:10142;top:-5015;width:1259;height:2" coordorigin="10142,-5015" coordsize="1259,0" path="m10142,-5015l11401,-5015e" filled="false" stroked="true" strokeweight=".95999pt" strokecolor="#000000">
                <v:path arrowok="t"/>
              </v:shape>
            </v:group>
            <v:group style="position:absolute;left:11401;top:-5015;width:969;height:2" coordorigin="11401,-5015" coordsize="969,2">
              <v:shape style="position:absolute;left:11401;top:-5015;width:969;height:2" coordorigin="11401,-5015" coordsize="969,0" path="m11401,-5015l12369,-5015e" filled="false" stroked="true" strokeweight=".95999pt" strokecolor="#000000">
                <v:path arrowok="t"/>
              </v:shape>
            </v:group>
            <v:group style="position:absolute;left:12369;top:-5015;width:968;height:2" coordorigin="12369,-5015" coordsize="968,2">
              <v:shape style="position:absolute;left:12369;top:-5015;width:968;height:2" coordorigin="12369,-5015" coordsize="968,0" path="m12369,-5015l13337,-5015e" filled="false" stroked="true" strokeweight=".95999pt" strokecolor="#000000">
                <v:path arrowok="t"/>
              </v:shape>
            </v:group>
            <v:group style="position:absolute;left:13337;top:-5015;width:848;height:2" coordorigin="13337,-5015" coordsize="848,2">
              <v:shape style="position:absolute;left:13337;top:-5015;width:848;height:2" coordorigin="13337,-5015" coordsize="848,0" path="m13337,-5015l14184,-5015e" filled="false" stroked="true" strokeweight=".95999pt" strokecolor="#000000">
                <v:path arrowok="t"/>
              </v:shape>
            </v:group>
            <v:group style="position:absolute;left:14184;top:-5015;width:969;height:2" coordorigin="14184,-5015" coordsize="969,2">
              <v:shape style="position:absolute;left:14184;top:-5015;width:969;height:2" coordorigin="14184,-5015" coordsize="969,0" path="m14184,-5015l15152,-5015e" filled="false" stroked="true" strokeweight=".95999pt" strokecolor="#000000">
                <v:path arrowok="t"/>
              </v:shape>
            </v:group>
            <v:group style="position:absolute;left:15152;top:-5015;width:876;height:2" coordorigin="15152,-5015" coordsize="876,2">
              <v:shape style="position:absolute;left:15152;top:-5015;width:876;height:2" coordorigin="15152,-5015" coordsize="876,0" path="m15152,-5015l16028,-5015e" filled="false" stroked="true" strokeweight=".95999pt" strokecolor="#000000">
                <v:path arrowok="t"/>
              </v:shape>
            </v:group>
            <v:group style="position:absolute;left:2035;top:-68;width:1894;height:2" coordorigin="2035,-68" coordsize="1894,2">
              <v:shape style="position:absolute;left:2035;top:-68;width:1894;height:2" coordorigin="2035,-68" coordsize="1894,0" path="m2035,-68l3929,-68e" filled="false" stroked="true" strokeweight=".96002pt" strokecolor="#000000">
                <v:path arrowok="t"/>
              </v:shape>
            </v:group>
            <v:group style="position:absolute;left:3929;top:-68;width:800;height:2" coordorigin="3929,-68" coordsize="800,2">
              <v:shape style="position:absolute;left:3929;top:-68;width:800;height:2" coordorigin="3929,-68" coordsize="800,0" path="m3929,-68l4728,-68e" filled="false" stroked="true" strokeweight=".96002pt" strokecolor="#000000">
                <v:path arrowok="t"/>
              </v:shape>
            </v:group>
            <v:group style="position:absolute;left:4728;top:-68;width:560;height:2" coordorigin="4728,-68" coordsize="560,2">
              <v:shape style="position:absolute;left:4728;top:-68;width:560;height:2" coordorigin="4728,-68" coordsize="560,0" path="m4728,-68l5287,-68e" filled="false" stroked="true" strokeweight=".96002pt" strokecolor="#000000">
                <v:path arrowok="t"/>
              </v:shape>
            </v:group>
            <v:group style="position:absolute;left:5287;top:-68;width:932;height:2" coordorigin="5287,-68" coordsize="932,2">
              <v:shape style="position:absolute;left:5287;top:-68;width:932;height:2" coordorigin="5287,-68" coordsize="932,0" path="m5287,-68l6218,-68e" filled="false" stroked="true" strokeweight=".96002pt" strokecolor="#000000">
                <v:path arrowok="t"/>
              </v:shape>
            </v:group>
            <v:group style="position:absolute;left:6218;top:-68;width:2003;height:2" coordorigin="6218,-68" coordsize="2003,2">
              <v:shape style="position:absolute;left:6218;top:-68;width:2003;height:2" coordorigin="6218,-68" coordsize="2003,0" path="m6218,-68l8221,-68e" filled="false" stroked="true" strokeweight=".96002pt" strokecolor="#000000">
                <v:path arrowok="t"/>
              </v:shape>
            </v:group>
            <v:group style="position:absolute;left:8221;top:-68;width:1041;height:2" coordorigin="8221,-68" coordsize="1041,2">
              <v:shape style="position:absolute;left:8221;top:-68;width:1041;height:2" coordorigin="8221,-68" coordsize="1041,0" path="m8221,-68l9261,-68e" filled="false" stroked="true" strokeweight=".96002pt" strokecolor="#000000">
                <v:path arrowok="t"/>
              </v:shape>
            </v:group>
            <v:group style="position:absolute;left:9261;top:-68;width:881;height:2" coordorigin="9261,-68" coordsize="881,2">
              <v:shape style="position:absolute;left:9261;top:-68;width:881;height:2" coordorigin="9261,-68" coordsize="881,0" path="m9261,-68l10142,-68e" filled="false" stroked="true" strokeweight=".96002pt" strokecolor="#000000">
                <v:path arrowok="t"/>
              </v:shape>
            </v:group>
            <v:group style="position:absolute;left:10142;top:-68;width:1259;height:2" coordorigin="10142,-68" coordsize="1259,2">
              <v:shape style="position:absolute;left:10142;top:-68;width:1259;height:2" coordorigin="10142,-68" coordsize="1259,0" path="m10142,-68l11401,-68e" filled="false" stroked="true" strokeweight=".96002pt" strokecolor="#000000">
                <v:path arrowok="t"/>
              </v:shape>
            </v:group>
            <v:group style="position:absolute;left:11401;top:-68;width:969;height:2" coordorigin="11401,-68" coordsize="969,2">
              <v:shape style="position:absolute;left:11401;top:-68;width:969;height:2" coordorigin="11401,-68" coordsize="969,0" path="m11401,-68l12369,-68e" filled="false" stroked="true" strokeweight=".96002pt" strokecolor="#000000">
                <v:path arrowok="t"/>
              </v:shape>
            </v:group>
            <v:group style="position:absolute;left:12369;top:-68;width:968;height:2" coordorigin="12369,-68" coordsize="968,2">
              <v:shape style="position:absolute;left:12369;top:-68;width:968;height:2" coordorigin="12369,-68" coordsize="968,0" path="m12369,-68l13337,-68e" filled="false" stroked="true" strokeweight=".96002pt" strokecolor="#000000">
                <v:path arrowok="t"/>
              </v:shape>
            </v:group>
            <v:group style="position:absolute;left:13337;top:-68;width:848;height:2" coordorigin="13337,-68" coordsize="848,2">
              <v:shape style="position:absolute;left:13337;top:-68;width:848;height:2" coordorigin="13337,-68" coordsize="848,0" path="m13337,-68l14184,-68e" filled="false" stroked="true" strokeweight=".96002pt" strokecolor="#000000">
                <v:path arrowok="t"/>
              </v:shape>
            </v:group>
            <v:group style="position:absolute;left:14184;top:-68;width:969;height:2" coordorigin="14184,-68" coordsize="969,2">
              <v:shape style="position:absolute;left:14184;top:-68;width:969;height:2" coordorigin="14184,-68" coordsize="969,0" path="m14184,-68l15152,-68e" filled="false" stroked="true" strokeweight=".96002pt" strokecolor="#000000">
                <v:path arrowok="t"/>
              </v:shape>
              <v:shape style="position:absolute;left:2049;top:-5006;width:13991;height:4928" type="#_x0000_t75" stroked="false">
                <v:imagedata r:id="rId71" o:title=""/>
              </v:shape>
            </v:group>
            <v:group style="position:absolute;left:15152;top:-68;width:884;height:2" coordorigin="15152,-68" coordsize="884,2">
              <v:shape style="position:absolute;left:15152;top:-68;width:884;height:2" coordorigin="15152,-68" coordsize="884,0" path="m15152,-68l16035,-68e" filled="false" stroked="true" strokeweight=".96002pt" strokecolor="#000000">
                <v:path arrowok="t"/>
              </v:shape>
            </v:group>
            <w10:wrap type="none"/>
          </v:group>
        </w:pict>
      </w:r>
      <w:r>
        <w:rPr>
          <w:rFonts w:ascii="宋体" w:hAnsi="宋体" w:cs="宋体" w:eastAsia="宋体" w:hint="default"/>
          <w:sz w:val="21"/>
          <w:szCs w:val="21"/>
        </w:rPr>
        <w:t>注：</w:t>
      </w:r>
      <w:r>
        <w:rPr>
          <w:rFonts w:ascii="Times New Roman" w:hAnsi="Times New Roman" w:cs="Times New Roman" w:eastAsia="Times New Roman" w:hint="default"/>
          <w:sz w:val="21"/>
          <w:szCs w:val="21"/>
        </w:rPr>
        <w:t>1</w:t>
      </w:r>
      <w:r>
        <w:rPr>
          <w:rFonts w:ascii="宋体" w:hAnsi="宋体" w:cs="宋体" w:eastAsia="宋体" w:hint="default"/>
          <w:sz w:val="21"/>
          <w:szCs w:val="21"/>
        </w:rPr>
        <w:t>、由</w:t>
      </w:r>
      <w:r>
        <w:rPr>
          <w:rFonts w:ascii="宋体" w:hAnsi="宋体" w:cs="宋体" w:eastAsia="宋体" w:hint="default"/>
          <w:spacing w:val="-2"/>
          <w:sz w:val="21"/>
          <w:szCs w:val="21"/>
        </w:rPr>
        <w:t>于</w:t>
      </w:r>
      <w:r>
        <w:rPr>
          <w:rFonts w:ascii="宋体" w:hAnsi="宋体" w:cs="宋体" w:eastAsia="宋体" w:hint="default"/>
          <w:sz w:val="21"/>
          <w:szCs w:val="21"/>
        </w:rPr>
        <w:t>北京东大阿尔派中电科电力系统技术有限责任公司已经停业，本报告期内全额计提减值准备</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88</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3</w:t>
      </w:r>
      <w:r>
        <w:rPr>
          <w:rFonts w:ascii="Times New Roman" w:hAnsi="Times New Roman" w:cs="Times New Roman" w:eastAsia="Times New Roman" w:hint="default"/>
          <w:sz w:val="21"/>
          <w:szCs w:val="21"/>
        </w:rPr>
        <w:t>9 </w:t>
      </w:r>
      <w:r>
        <w:rPr>
          <w:rFonts w:ascii="宋体" w:hAnsi="宋体" w:cs="宋体" w:eastAsia="宋体" w:hint="default"/>
          <w:sz w:val="21"/>
          <w:szCs w:val="21"/>
        </w:rPr>
        <w:t>元</w:t>
      </w:r>
      <w:r>
        <w:rPr>
          <w:rFonts w:ascii="宋体" w:hAnsi="宋体" w:cs="宋体" w:eastAsia="宋体" w:hint="default"/>
          <w:spacing w:val="-2"/>
          <w:sz w:val="21"/>
          <w:szCs w:val="21"/>
        </w:rPr>
        <w:t>，</w:t>
      </w:r>
      <w:r>
        <w:rPr>
          <w:rFonts w:ascii="宋体" w:hAnsi="宋体" w:cs="宋体" w:eastAsia="宋体" w:hint="default"/>
          <w:sz w:val="21"/>
          <w:szCs w:val="21"/>
        </w:rPr>
        <w:t>参见本附注五（十二</w:t>
      </w:r>
      <w:r>
        <w:rPr>
          <w:rFonts w:ascii="宋体" w:hAnsi="宋体" w:cs="宋体" w:eastAsia="宋体" w:hint="default"/>
          <w:spacing w:val="-105"/>
          <w:sz w:val="21"/>
          <w:szCs w:val="21"/>
        </w:rPr>
        <w:t>）</w:t>
      </w:r>
      <w:r>
        <w:rPr>
          <w:rFonts w:ascii="宋体" w:hAnsi="宋体" w:cs="宋体" w:eastAsia="宋体" w:hint="default"/>
          <w:sz w:val="21"/>
          <w:szCs w:val="21"/>
        </w:rPr>
        <w:t>。</w:t>
      </w:r>
    </w:p>
    <w:p>
      <w:pPr>
        <w:spacing w:after="0"/>
        <w:jc w:val="left"/>
        <w:rPr>
          <w:rFonts w:ascii="宋体" w:hAnsi="宋体" w:cs="宋体" w:eastAsia="宋体" w:hint="default"/>
          <w:sz w:val="21"/>
          <w:szCs w:val="21"/>
        </w:rPr>
        <w:sectPr>
          <w:headerReference w:type="default" r:id="rId69"/>
          <w:footerReference w:type="default" r:id="rId70"/>
          <w:pgSz w:w="16840" w:h="11900" w:orient="landscape"/>
          <w:pgMar w:header="883" w:footer="995" w:top="1600" w:bottom="1180" w:left="1300" w:right="680"/>
          <w:pgNumType w:start="36"/>
        </w:sectPr>
      </w:pPr>
    </w:p>
    <w:p>
      <w:pPr>
        <w:spacing w:line="240" w:lineRule="auto" w:before="2"/>
        <w:rPr>
          <w:rFonts w:ascii="Times New Roman" w:hAnsi="Times New Roman" w:cs="Times New Roman" w:eastAsia="Times New Roman" w:hint="default"/>
          <w:sz w:val="22"/>
          <w:szCs w:val="22"/>
        </w:rPr>
      </w:pPr>
      <w:r>
        <w:rPr/>
        <w:pict>
          <v:group style="position:absolute;margin-left:101.270988pt;margin-top:150.839996pt;width:701.4pt;height:362.7pt;mso-position-horizontal-relative:page;mso-position-vertical-relative:page;z-index:-989056" coordorigin="2025,3017" coordsize="14028,7254">
            <v:group style="position:absolute;left:2035;top:10261;width:2801;height:2" coordorigin="2035,10261" coordsize="2801,2">
              <v:shape style="position:absolute;left:2035;top:10261;width:2801;height:2" coordorigin="2035,10261" coordsize="2801,0" path="m2035,10261l4836,10261e" filled="false" stroked="true" strokeweight=".96002pt" strokecolor="#000000">
                <v:path arrowok="t"/>
              </v:shape>
            </v:group>
            <v:group style="position:absolute;left:4836;top:10261;width:935;height:2" coordorigin="4836,10261" coordsize="935,2">
              <v:shape style="position:absolute;left:4836;top:10261;width:935;height:2" coordorigin="4836,10261" coordsize="935,0" path="m4836,10261l5771,10261e" filled="false" stroked="true" strokeweight=".96002pt" strokecolor="#000000">
                <v:path arrowok="t"/>
              </v:shape>
            </v:group>
            <v:group style="position:absolute;left:5771;top:10261;width:1122;height:2" coordorigin="5771,10261" coordsize="1122,2">
              <v:shape style="position:absolute;left:5771;top:10261;width:1122;height:2" coordorigin="5771,10261" coordsize="1122,0" path="m5771,10261l6893,10261e" filled="false" stroked="true" strokeweight=".96002pt" strokecolor="#000000">
                <v:path arrowok="t"/>
              </v:shape>
            </v:group>
            <v:group style="position:absolute;left:6893;top:10261;width:954;height:2" coordorigin="6893,10261" coordsize="954,2">
              <v:shape style="position:absolute;left:6893;top:10261;width:954;height:2" coordorigin="6893,10261" coordsize="954,0" path="m6893,10261l7847,10261e" filled="false" stroked="true" strokeweight=".96002pt" strokecolor="#000000">
                <v:path arrowok="t"/>
              </v:shape>
            </v:group>
            <v:group style="position:absolute;left:7847;top:10261;width:880;height:2" coordorigin="7847,10261" coordsize="880,2">
              <v:shape style="position:absolute;left:7847;top:10261;width:880;height:2" coordorigin="7847,10261" coordsize="880,0" path="m7847,10261l8726,10261e" filled="false" stroked="true" strokeweight=".96002pt" strokecolor="#000000">
                <v:path arrowok="t"/>
              </v:shape>
            </v:group>
            <v:group style="position:absolute;left:8726;top:10261;width:1097;height:2" coordorigin="8726,10261" coordsize="1097,2">
              <v:shape style="position:absolute;left:8726;top:10261;width:1097;height:2" coordorigin="8726,10261" coordsize="1097,0" path="m8726,10261l9823,10261e" filled="false" stroked="true" strokeweight=".96002pt" strokecolor="#000000">
                <v:path arrowok="t"/>
              </v:shape>
            </v:group>
            <v:group style="position:absolute;left:9823;top:10261;width:1042;height:2" coordorigin="9823,10261" coordsize="1042,2">
              <v:shape style="position:absolute;left:9823;top:10261;width:1042;height:2" coordorigin="9823,10261" coordsize="1042,0" path="m9823,10261l10865,10261e" filled="false" stroked="true" strokeweight=".96002pt" strokecolor="#000000">
                <v:path arrowok="t"/>
              </v:shape>
            </v:group>
            <v:group style="position:absolute;left:10865;top:10261;width:1074;height:2" coordorigin="10865,10261" coordsize="1074,2">
              <v:shape style="position:absolute;left:10865;top:10261;width:1074;height:2" coordorigin="10865,10261" coordsize="1074,0" path="m10865,10261l11939,10261e" filled="false" stroked="true" strokeweight=".96002pt" strokecolor="#000000">
                <v:path arrowok="t"/>
              </v:shape>
            </v:group>
            <v:group style="position:absolute;left:11939;top:10261;width:1193;height:2" coordorigin="11939,10261" coordsize="1193,2">
              <v:shape style="position:absolute;left:11939;top:10261;width:1193;height:2" coordorigin="11939,10261" coordsize="1193,0" path="m11939,10261l13131,10261e" filled="false" stroked="true" strokeweight=".96002pt" strokecolor="#000000">
                <v:path arrowok="t"/>
              </v:shape>
            </v:group>
            <v:group style="position:absolute;left:13131;top:10261;width:960;height:2" coordorigin="13131,10261" coordsize="960,2">
              <v:shape style="position:absolute;left:13131;top:10261;width:960;height:2" coordorigin="13131,10261" coordsize="960,0" path="m13131,10261l14091,10261e" filled="false" stroked="true" strokeweight=".96002pt" strokecolor="#000000">
                <v:path arrowok="t"/>
              </v:shape>
            </v:group>
            <v:group style="position:absolute;left:14091;top:10261;width:851;height:2" coordorigin="14091,10261" coordsize="851,2">
              <v:shape style="position:absolute;left:14091;top:10261;width:851;height:2" coordorigin="14091,10261" coordsize="851,0" path="m14091,10261l14942,10261e" filled="false" stroked="true" strokeweight=".96002pt" strokecolor="#000000">
                <v:path arrowok="t"/>
              </v:shape>
              <v:shape style="position:absolute;left:2049;top:3017;width:13992;height:7235" type="#_x0000_t75" stroked="false">
                <v:imagedata r:id="rId72" o:title=""/>
              </v:shape>
            </v:group>
            <v:group style="position:absolute;left:14942;top:10261;width:1102;height:2" coordorigin="14942,10261" coordsize="1102,2">
              <v:shape style="position:absolute;left:14942;top:10261;width:1102;height:2" coordorigin="14942,10261" coordsize="1102,0" path="m14942,10261l16044,10261e" filled="false" stroked="true" strokeweight=".96002pt" strokecolor="#000000">
                <v:path arrowok="t"/>
              </v:shape>
            </v:group>
            <w10:wrap type="none"/>
          </v:group>
        </w:pict>
      </w:r>
    </w:p>
    <w:tbl>
      <w:tblPr>
        <w:tblW w:w="0" w:type="auto"/>
        <w:jc w:val="left"/>
        <w:tblInd w:w="110" w:type="dxa"/>
        <w:tblLayout w:type="fixed"/>
        <w:tblCellMar>
          <w:top w:w="0" w:type="dxa"/>
          <w:left w:w="0" w:type="dxa"/>
          <w:bottom w:w="0" w:type="dxa"/>
          <w:right w:w="0" w:type="dxa"/>
        </w:tblCellMar>
        <w:tblLook w:val="01E0"/>
      </w:tblPr>
      <w:tblGrid>
        <w:gridCol w:w="659"/>
        <w:gridCol w:w="2876"/>
        <w:gridCol w:w="881"/>
        <w:gridCol w:w="1135"/>
        <w:gridCol w:w="929"/>
        <w:gridCol w:w="950"/>
        <w:gridCol w:w="986"/>
        <w:gridCol w:w="1070"/>
        <w:gridCol w:w="1063"/>
        <w:gridCol w:w="1268"/>
        <w:gridCol w:w="884"/>
        <w:gridCol w:w="883"/>
        <w:gridCol w:w="1061"/>
      </w:tblGrid>
      <w:tr>
        <w:trPr>
          <w:trHeight w:val="1152"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2876" w:type="dxa"/>
            <w:tcBorders>
              <w:top w:val="nil" w:sz="6" w:space="0" w:color="auto"/>
              <w:left w:val="nil" w:sz="6" w:space="0" w:color="auto"/>
              <w:bottom w:val="single" w:sz="8" w:space="0" w:color="000000"/>
              <w:right w:val="nil" w:sz="6" w:space="0" w:color="auto"/>
            </w:tcBorders>
          </w:tcPr>
          <w:p>
            <w:pPr>
              <w:pStyle w:val="TableParagraph"/>
              <w:spacing w:line="240" w:lineRule="auto" w:before="35"/>
              <w:ind w:left="104" w:right="0"/>
              <w:jc w:val="left"/>
              <w:rPr>
                <w:rFonts w:ascii="宋体" w:hAnsi="宋体" w:cs="宋体" w:eastAsia="宋体" w:hint="default"/>
                <w:sz w:val="21"/>
                <w:szCs w:val="21"/>
              </w:rPr>
            </w:pPr>
            <w:r>
              <w:rPr>
                <w:rFonts w:ascii="宋体" w:hAnsi="宋体" w:cs="宋体" w:eastAsia="宋体" w:hint="default"/>
                <w:sz w:val="21"/>
                <w:szCs w:val="21"/>
              </w:rPr>
              <w:t>长期股权投资</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5"/>
                <w:szCs w:val="25"/>
              </w:rPr>
            </w:pPr>
          </w:p>
          <w:p>
            <w:pPr>
              <w:pStyle w:val="TableParagraph"/>
              <w:tabs>
                <w:tab w:pos="646" w:val="left" w:leader="none"/>
              </w:tabs>
              <w:spacing w:line="240" w:lineRule="auto"/>
              <w:ind w:left="107"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长期股权投资明细情况</w:t>
            </w:r>
          </w:p>
        </w:tc>
        <w:tc>
          <w:tcPr>
            <w:tcW w:w="11111" w:type="dxa"/>
            <w:gridSpan w:val="11"/>
            <w:tcBorders>
              <w:top w:val="nil" w:sz="6" w:space="0" w:color="auto"/>
              <w:left w:val="nil" w:sz="6" w:space="0" w:color="auto"/>
              <w:bottom w:val="single" w:sz="8" w:space="0" w:color="000000"/>
              <w:right w:val="nil" w:sz="6" w:space="0" w:color="auto"/>
            </w:tcBorders>
          </w:tcPr>
          <w:p>
            <w:pPr/>
          </w:p>
        </w:tc>
      </w:tr>
      <w:tr>
        <w:trPr>
          <w:trHeight w:val="290"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single" w:sz="8" w:space="0" w:color="000000"/>
              <w:left w:val="nil" w:sz="6" w:space="0" w:color="auto"/>
              <w:bottom w:val="nil" w:sz="6" w:space="0" w:color="auto"/>
              <w:right w:val="nil" w:sz="6" w:space="0" w:color="auto"/>
            </w:tcBorders>
          </w:tcPr>
          <w:p>
            <w:pPr/>
          </w:p>
        </w:tc>
        <w:tc>
          <w:tcPr>
            <w:tcW w:w="881" w:type="dxa"/>
            <w:tcBorders>
              <w:top w:val="single" w:sz="8" w:space="0" w:color="000000"/>
              <w:left w:val="nil" w:sz="6" w:space="0" w:color="auto"/>
              <w:bottom w:val="nil" w:sz="6" w:space="0" w:color="auto"/>
              <w:right w:val="nil" w:sz="6" w:space="0" w:color="auto"/>
            </w:tcBorders>
          </w:tcPr>
          <w:p>
            <w:pPr/>
          </w:p>
        </w:tc>
        <w:tc>
          <w:tcPr>
            <w:tcW w:w="1135" w:type="dxa"/>
            <w:tcBorders>
              <w:top w:val="single" w:sz="8" w:space="0" w:color="000000"/>
              <w:left w:val="nil" w:sz="6" w:space="0" w:color="auto"/>
              <w:bottom w:val="nil" w:sz="6" w:space="0" w:color="auto"/>
              <w:right w:val="nil" w:sz="6" w:space="0" w:color="auto"/>
            </w:tcBorders>
          </w:tcPr>
          <w:p>
            <w:pPr/>
          </w:p>
        </w:tc>
        <w:tc>
          <w:tcPr>
            <w:tcW w:w="929" w:type="dxa"/>
            <w:tcBorders>
              <w:top w:val="single" w:sz="8" w:space="0" w:color="000000"/>
              <w:left w:val="nil" w:sz="6" w:space="0" w:color="auto"/>
              <w:bottom w:val="nil" w:sz="6" w:space="0" w:color="auto"/>
              <w:right w:val="nil" w:sz="6" w:space="0" w:color="auto"/>
            </w:tcBorders>
          </w:tcPr>
          <w:p>
            <w:pPr/>
          </w:p>
        </w:tc>
        <w:tc>
          <w:tcPr>
            <w:tcW w:w="950" w:type="dxa"/>
            <w:tcBorders>
              <w:top w:val="single" w:sz="8" w:space="0" w:color="000000"/>
              <w:left w:val="nil" w:sz="6" w:space="0" w:color="auto"/>
              <w:bottom w:val="nil" w:sz="6" w:space="0" w:color="auto"/>
              <w:right w:val="nil" w:sz="6" w:space="0" w:color="auto"/>
            </w:tcBorders>
          </w:tcPr>
          <w:p>
            <w:pPr/>
          </w:p>
        </w:tc>
        <w:tc>
          <w:tcPr>
            <w:tcW w:w="986" w:type="dxa"/>
            <w:tcBorders>
              <w:top w:val="single" w:sz="8" w:space="0" w:color="000000"/>
              <w:left w:val="nil" w:sz="6" w:space="0" w:color="auto"/>
              <w:bottom w:val="nil" w:sz="6" w:space="0" w:color="auto"/>
              <w:right w:val="nil" w:sz="6" w:space="0" w:color="auto"/>
            </w:tcBorders>
          </w:tcPr>
          <w:p>
            <w:pPr/>
          </w:p>
        </w:tc>
        <w:tc>
          <w:tcPr>
            <w:tcW w:w="1070" w:type="dxa"/>
            <w:tcBorders>
              <w:top w:val="single" w:sz="8" w:space="0" w:color="000000"/>
              <w:left w:val="nil" w:sz="6" w:space="0" w:color="auto"/>
              <w:bottom w:val="nil" w:sz="6" w:space="0" w:color="auto"/>
              <w:right w:val="nil" w:sz="6" w:space="0" w:color="auto"/>
            </w:tcBorders>
          </w:tcPr>
          <w:p>
            <w:pPr/>
          </w:p>
        </w:tc>
        <w:tc>
          <w:tcPr>
            <w:tcW w:w="1063" w:type="dxa"/>
            <w:tcBorders>
              <w:top w:val="single" w:sz="8" w:space="0" w:color="000000"/>
              <w:left w:val="nil" w:sz="6" w:space="0" w:color="auto"/>
              <w:bottom w:val="nil" w:sz="6" w:space="0" w:color="auto"/>
              <w:right w:val="nil" w:sz="6" w:space="0" w:color="auto"/>
            </w:tcBorders>
          </w:tcPr>
          <w:p>
            <w:pPr/>
          </w:p>
        </w:tc>
        <w:tc>
          <w:tcPr>
            <w:tcW w:w="1268" w:type="dxa"/>
            <w:tcBorders>
              <w:top w:val="single" w:sz="8" w:space="0" w:color="000000"/>
              <w:left w:val="nil" w:sz="6" w:space="0" w:color="auto"/>
              <w:bottom w:val="nil" w:sz="6" w:space="0" w:color="auto"/>
              <w:right w:val="nil" w:sz="6" w:space="0" w:color="auto"/>
            </w:tcBorders>
          </w:tcPr>
          <w:p>
            <w:pPr>
              <w:pStyle w:val="TableParagraph"/>
              <w:spacing w:line="240" w:lineRule="auto" w:before="82"/>
              <w:ind w:right="68"/>
              <w:jc w:val="center"/>
              <w:rPr>
                <w:rFonts w:ascii="宋体" w:hAnsi="宋体" w:cs="宋体" w:eastAsia="宋体" w:hint="default"/>
                <w:sz w:val="13"/>
                <w:szCs w:val="13"/>
              </w:rPr>
            </w:pPr>
            <w:r>
              <w:rPr>
                <w:rFonts w:ascii="宋体" w:hAnsi="宋体" w:cs="宋体" w:eastAsia="宋体" w:hint="default"/>
                <w:sz w:val="13"/>
                <w:szCs w:val="13"/>
              </w:rPr>
              <w:t>在被投资单位持股</w:t>
            </w:r>
          </w:p>
        </w:tc>
        <w:tc>
          <w:tcPr>
            <w:tcW w:w="884" w:type="dxa"/>
            <w:tcBorders>
              <w:top w:val="single" w:sz="8" w:space="0" w:color="000000"/>
              <w:left w:val="nil" w:sz="6" w:space="0" w:color="auto"/>
              <w:bottom w:val="nil" w:sz="6" w:space="0" w:color="auto"/>
              <w:right w:val="nil" w:sz="6" w:space="0" w:color="auto"/>
            </w:tcBorders>
          </w:tcPr>
          <w:p>
            <w:pPr/>
          </w:p>
        </w:tc>
        <w:tc>
          <w:tcPr>
            <w:tcW w:w="883" w:type="dxa"/>
            <w:tcBorders>
              <w:top w:val="single" w:sz="8" w:space="0" w:color="000000"/>
              <w:left w:val="nil" w:sz="6" w:space="0" w:color="auto"/>
              <w:bottom w:val="nil" w:sz="6" w:space="0" w:color="auto"/>
              <w:right w:val="nil" w:sz="6" w:space="0" w:color="auto"/>
            </w:tcBorders>
          </w:tcPr>
          <w:p>
            <w:pPr/>
          </w:p>
        </w:tc>
        <w:tc>
          <w:tcPr>
            <w:tcW w:w="1061" w:type="dxa"/>
            <w:tcBorders>
              <w:top w:val="single" w:sz="8" w:space="0" w:color="000000"/>
              <w:left w:val="nil" w:sz="6" w:space="0" w:color="auto"/>
              <w:bottom w:val="nil" w:sz="6" w:space="0" w:color="auto"/>
              <w:right w:val="nil" w:sz="6" w:space="0" w:color="auto"/>
            </w:tcBorders>
          </w:tcPr>
          <w:p>
            <w:pPr/>
          </w:p>
        </w:tc>
      </w:tr>
      <w:tr>
        <w:trPr>
          <w:trHeight w:val="187"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929"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Style w:val="TableParagraph"/>
              <w:spacing w:line="158" w:lineRule="exact"/>
              <w:ind w:right="74"/>
              <w:jc w:val="right"/>
              <w:rPr>
                <w:rFonts w:ascii="宋体" w:hAnsi="宋体" w:cs="宋体" w:eastAsia="宋体" w:hint="default"/>
                <w:sz w:val="13"/>
                <w:szCs w:val="13"/>
              </w:rPr>
            </w:pPr>
            <w:r>
              <w:rPr>
                <w:rFonts w:ascii="宋体" w:hAnsi="宋体" w:cs="宋体" w:eastAsia="宋体" w:hint="default"/>
                <w:w w:val="95"/>
                <w:sz w:val="13"/>
                <w:szCs w:val="13"/>
              </w:rPr>
              <w:t>在被投资单位持</w:t>
            </w:r>
            <w:r>
              <w:rPr>
                <w:rFonts w:ascii="宋体" w:hAnsi="宋体" w:cs="宋体" w:eastAsia="宋体" w:hint="default"/>
                <w:sz w:val="13"/>
                <w:szCs w:val="13"/>
              </w:rPr>
            </w:r>
          </w:p>
        </w:tc>
        <w:tc>
          <w:tcPr>
            <w:tcW w:w="1063" w:type="dxa"/>
            <w:tcBorders>
              <w:top w:val="nil" w:sz="6" w:space="0" w:color="auto"/>
              <w:left w:val="nil" w:sz="6" w:space="0" w:color="auto"/>
              <w:bottom w:val="nil" w:sz="6" w:space="0" w:color="auto"/>
              <w:right w:val="nil" w:sz="6" w:space="0" w:color="auto"/>
            </w:tcBorders>
          </w:tcPr>
          <w:p>
            <w:pPr>
              <w:pStyle w:val="TableParagraph"/>
              <w:spacing w:line="158" w:lineRule="exact"/>
              <w:ind w:right="77"/>
              <w:jc w:val="right"/>
              <w:rPr>
                <w:rFonts w:ascii="宋体" w:hAnsi="宋体" w:cs="宋体" w:eastAsia="宋体" w:hint="default"/>
                <w:sz w:val="13"/>
                <w:szCs w:val="13"/>
              </w:rPr>
            </w:pPr>
            <w:r>
              <w:rPr>
                <w:rFonts w:ascii="宋体" w:hAnsi="宋体" w:cs="宋体" w:eastAsia="宋体" w:hint="default"/>
                <w:w w:val="95"/>
                <w:sz w:val="13"/>
                <w:szCs w:val="13"/>
              </w:rPr>
              <w:t>在被投资单位表</w:t>
            </w:r>
            <w:r>
              <w:rPr>
                <w:rFonts w:ascii="宋体" w:hAnsi="宋体" w:cs="宋体" w:eastAsia="宋体" w:hint="default"/>
                <w:sz w:val="13"/>
                <w:szCs w:val="13"/>
              </w:rPr>
            </w: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Style w:val="TableParagraph"/>
              <w:spacing w:line="158" w:lineRule="exact"/>
              <w:ind w:right="128"/>
              <w:jc w:val="right"/>
              <w:rPr>
                <w:rFonts w:ascii="宋体" w:hAnsi="宋体" w:cs="宋体" w:eastAsia="宋体" w:hint="default"/>
                <w:sz w:val="13"/>
                <w:szCs w:val="13"/>
              </w:rPr>
            </w:pPr>
            <w:r>
              <w:rPr>
                <w:rFonts w:ascii="宋体" w:hAnsi="宋体" w:cs="宋体" w:eastAsia="宋体" w:hint="default"/>
                <w:w w:val="95"/>
                <w:sz w:val="13"/>
                <w:szCs w:val="13"/>
              </w:rPr>
              <w:t>本期计提减</w:t>
            </w:r>
            <w:r>
              <w:rPr>
                <w:rFonts w:ascii="宋体" w:hAnsi="宋体" w:cs="宋体" w:eastAsia="宋体" w:hint="default"/>
                <w:sz w:val="13"/>
                <w:szCs w:val="13"/>
              </w:rPr>
            </w:r>
          </w:p>
        </w:tc>
        <w:tc>
          <w:tcPr>
            <w:tcW w:w="1061" w:type="dxa"/>
            <w:tcBorders>
              <w:top w:val="nil" w:sz="6" w:space="0" w:color="auto"/>
              <w:left w:val="nil" w:sz="6" w:space="0" w:color="auto"/>
              <w:bottom w:val="nil" w:sz="6" w:space="0" w:color="auto"/>
              <w:right w:val="nil" w:sz="6" w:space="0" w:color="auto"/>
            </w:tcBorders>
          </w:tcPr>
          <w:p>
            <w:pPr/>
          </w:p>
        </w:tc>
      </w:tr>
      <w:tr>
        <w:trPr>
          <w:trHeight w:val="188"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Style w:val="TableParagraph"/>
              <w:spacing w:line="160" w:lineRule="exact"/>
              <w:ind w:right="84"/>
              <w:jc w:val="center"/>
              <w:rPr>
                <w:rFonts w:ascii="宋体" w:hAnsi="宋体" w:cs="宋体" w:eastAsia="宋体" w:hint="default"/>
                <w:sz w:val="13"/>
                <w:szCs w:val="13"/>
              </w:rPr>
            </w:pPr>
            <w:r>
              <w:rPr>
                <w:rFonts w:ascii="宋体" w:hAnsi="宋体" w:cs="宋体" w:eastAsia="宋体" w:hint="default"/>
                <w:sz w:val="13"/>
                <w:szCs w:val="13"/>
              </w:rPr>
              <w:t>被投资单位</w:t>
            </w:r>
          </w:p>
        </w:tc>
        <w:tc>
          <w:tcPr>
            <w:tcW w:w="881" w:type="dxa"/>
            <w:tcBorders>
              <w:top w:val="nil" w:sz="6" w:space="0" w:color="auto"/>
              <w:left w:val="nil" w:sz="6" w:space="0" w:color="auto"/>
              <w:bottom w:val="nil" w:sz="6" w:space="0" w:color="auto"/>
              <w:right w:val="nil" w:sz="6" w:space="0" w:color="auto"/>
            </w:tcBorders>
          </w:tcPr>
          <w:p>
            <w:pPr>
              <w:pStyle w:val="TableParagraph"/>
              <w:spacing w:line="160" w:lineRule="exact"/>
              <w:ind w:left="122" w:right="0"/>
              <w:jc w:val="left"/>
              <w:rPr>
                <w:rFonts w:ascii="宋体" w:hAnsi="宋体" w:cs="宋体" w:eastAsia="宋体" w:hint="default"/>
                <w:sz w:val="13"/>
                <w:szCs w:val="13"/>
              </w:rPr>
            </w:pPr>
            <w:r>
              <w:rPr>
                <w:rFonts w:ascii="宋体" w:hAnsi="宋体" w:cs="宋体" w:eastAsia="宋体" w:hint="default"/>
                <w:sz w:val="13"/>
                <w:szCs w:val="13"/>
              </w:rPr>
              <w:t>核算方法</w:t>
            </w:r>
          </w:p>
        </w:tc>
        <w:tc>
          <w:tcPr>
            <w:tcW w:w="1135" w:type="dxa"/>
            <w:tcBorders>
              <w:top w:val="nil" w:sz="6" w:space="0" w:color="auto"/>
              <w:left w:val="nil" w:sz="6" w:space="0" w:color="auto"/>
              <w:bottom w:val="nil" w:sz="6" w:space="0" w:color="auto"/>
              <w:right w:val="nil" w:sz="6" w:space="0" w:color="auto"/>
            </w:tcBorders>
          </w:tcPr>
          <w:p>
            <w:pPr>
              <w:pStyle w:val="TableParagraph"/>
              <w:spacing w:line="160" w:lineRule="exact"/>
              <w:ind w:right="215"/>
              <w:jc w:val="right"/>
              <w:rPr>
                <w:rFonts w:ascii="宋体" w:hAnsi="宋体" w:cs="宋体" w:eastAsia="宋体" w:hint="default"/>
                <w:sz w:val="13"/>
                <w:szCs w:val="13"/>
              </w:rPr>
            </w:pPr>
            <w:r>
              <w:rPr>
                <w:rFonts w:ascii="宋体" w:hAnsi="宋体" w:cs="宋体" w:eastAsia="宋体" w:hint="default"/>
                <w:w w:val="95"/>
                <w:sz w:val="13"/>
                <w:szCs w:val="13"/>
              </w:rPr>
              <w:t>初始投资成本</w:t>
            </w:r>
            <w:r>
              <w:rPr>
                <w:rFonts w:ascii="宋体" w:hAnsi="宋体" w:cs="宋体" w:eastAsia="宋体" w:hint="default"/>
                <w:sz w:val="13"/>
                <w:szCs w:val="13"/>
              </w:rPr>
            </w:r>
          </w:p>
        </w:tc>
        <w:tc>
          <w:tcPr>
            <w:tcW w:w="929" w:type="dxa"/>
            <w:tcBorders>
              <w:top w:val="nil" w:sz="6" w:space="0" w:color="auto"/>
              <w:left w:val="nil" w:sz="6" w:space="0" w:color="auto"/>
              <w:bottom w:val="nil" w:sz="6" w:space="0" w:color="auto"/>
              <w:right w:val="nil" w:sz="6" w:space="0" w:color="auto"/>
            </w:tcBorders>
          </w:tcPr>
          <w:p>
            <w:pPr>
              <w:pStyle w:val="TableParagraph"/>
              <w:spacing w:line="160" w:lineRule="exact"/>
              <w:ind w:left="172" w:right="0"/>
              <w:jc w:val="left"/>
              <w:rPr>
                <w:rFonts w:ascii="宋体" w:hAnsi="宋体" w:cs="宋体" w:eastAsia="宋体" w:hint="default"/>
                <w:sz w:val="13"/>
                <w:szCs w:val="13"/>
              </w:rPr>
            </w:pPr>
            <w:r>
              <w:rPr>
                <w:rFonts w:ascii="宋体" w:hAnsi="宋体" w:cs="宋体" w:eastAsia="宋体" w:hint="default"/>
                <w:sz w:val="13"/>
                <w:szCs w:val="13"/>
              </w:rPr>
              <w:t>期初金额</w:t>
            </w:r>
          </w:p>
        </w:tc>
        <w:tc>
          <w:tcPr>
            <w:tcW w:w="950" w:type="dxa"/>
            <w:tcBorders>
              <w:top w:val="nil" w:sz="6" w:space="0" w:color="auto"/>
              <w:left w:val="nil" w:sz="6" w:space="0" w:color="auto"/>
              <w:bottom w:val="nil" w:sz="6" w:space="0" w:color="auto"/>
              <w:right w:val="nil" w:sz="6" w:space="0" w:color="auto"/>
            </w:tcBorders>
          </w:tcPr>
          <w:p>
            <w:pPr>
              <w:pStyle w:val="TableParagraph"/>
              <w:spacing w:line="160" w:lineRule="exact"/>
              <w:ind w:left="160" w:right="0"/>
              <w:jc w:val="left"/>
              <w:rPr>
                <w:rFonts w:ascii="宋体" w:hAnsi="宋体" w:cs="宋体" w:eastAsia="宋体" w:hint="default"/>
                <w:sz w:val="13"/>
                <w:szCs w:val="13"/>
              </w:rPr>
            </w:pPr>
            <w:r>
              <w:rPr>
                <w:rFonts w:ascii="宋体" w:hAnsi="宋体" w:cs="宋体" w:eastAsia="宋体" w:hint="default"/>
                <w:sz w:val="13"/>
                <w:szCs w:val="13"/>
              </w:rPr>
              <w:t>增减变动</w:t>
            </w:r>
          </w:p>
        </w:tc>
        <w:tc>
          <w:tcPr>
            <w:tcW w:w="986" w:type="dxa"/>
            <w:tcBorders>
              <w:top w:val="nil" w:sz="6" w:space="0" w:color="auto"/>
              <w:left w:val="nil" w:sz="6" w:space="0" w:color="auto"/>
              <w:bottom w:val="nil" w:sz="6" w:space="0" w:color="auto"/>
              <w:right w:val="nil" w:sz="6" w:space="0" w:color="auto"/>
            </w:tcBorders>
          </w:tcPr>
          <w:p>
            <w:pPr>
              <w:pStyle w:val="TableParagraph"/>
              <w:spacing w:line="160" w:lineRule="exact"/>
              <w:ind w:left="199" w:right="0"/>
              <w:jc w:val="left"/>
              <w:rPr>
                <w:rFonts w:ascii="宋体" w:hAnsi="宋体" w:cs="宋体" w:eastAsia="宋体" w:hint="default"/>
                <w:sz w:val="13"/>
                <w:szCs w:val="13"/>
              </w:rPr>
            </w:pPr>
            <w:r>
              <w:rPr>
                <w:rFonts w:ascii="宋体" w:hAnsi="宋体" w:cs="宋体" w:eastAsia="宋体" w:hint="default"/>
                <w:sz w:val="13"/>
                <w:szCs w:val="13"/>
              </w:rPr>
              <w:t>期末金额</w:t>
            </w:r>
          </w:p>
        </w:tc>
        <w:tc>
          <w:tcPr>
            <w:tcW w:w="1070"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nil" w:sz="6" w:space="0" w:color="auto"/>
            </w:tcBorders>
          </w:tcPr>
          <w:p>
            <w:pPr>
              <w:pStyle w:val="TableParagraph"/>
              <w:spacing w:line="158" w:lineRule="exact"/>
              <w:ind w:right="68"/>
              <w:jc w:val="center"/>
              <w:rPr>
                <w:rFonts w:ascii="宋体" w:hAnsi="宋体" w:cs="宋体" w:eastAsia="宋体" w:hint="default"/>
                <w:sz w:val="13"/>
                <w:szCs w:val="13"/>
              </w:rPr>
            </w:pPr>
            <w:r>
              <w:rPr>
                <w:rFonts w:ascii="宋体" w:hAnsi="宋体" w:cs="宋体" w:eastAsia="宋体" w:hint="default"/>
                <w:sz w:val="13"/>
                <w:szCs w:val="13"/>
              </w:rPr>
              <w:t>比例与表决权比例</w:t>
            </w:r>
          </w:p>
        </w:tc>
        <w:tc>
          <w:tcPr>
            <w:tcW w:w="884" w:type="dxa"/>
            <w:tcBorders>
              <w:top w:val="nil" w:sz="6" w:space="0" w:color="auto"/>
              <w:left w:val="nil" w:sz="6" w:space="0" w:color="auto"/>
              <w:bottom w:val="nil" w:sz="6" w:space="0" w:color="auto"/>
              <w:right w:val="nil" w:sz="6" w:space="0" w:color="auto"/>
            </w:tcBorders>
          </w:tcPr>
          <w:p>
            <w:pPr>
              <w:pStyle w:val="TableParagraph"/>
              <w:spacing w:line="160" w:lineRule="exact"/>
              <w:ind w:left="149" w:right="0"/>
              <w:jc w:val="left"/>
              <w:rPr>
                <w:rFonts w:ascii="宋体" w:hAnsi="宋体" w:cs="宋体" w:eastAsia="宋体" w:hint="default"/>
                <w:sz w:val="13"/>
                <w:szCs w:val="13"/>
              </w:rPr>
            </w:pPr>
            <w:r>
              <w:rPr>
                <w:rFonts w:ascii="宋体" w:hAnsi="宋体" w:cs="宋体" w:eastAsia="宋体" w:hint="default"/>
                <w:sz w:val="13"/>
                <w:szCs w:val="13"/>
              </w:rPr>
              <w:t>减值准备</w:t>
            </w:r>
          </w:p>
        </w:tc>
        <w:tc>
          <w:tcPr>
            <w:tcW w:w="883"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Style w:val="TableParagraph"/>
              <w:spacing w:line="160" w:lineRule="exact"/>
              <w:ind w:right="150"/>
              <w:jc w:val="right"/>
              <w:rPr>
                <w:rFonts w:ascii="宋体" w:hAnsi="宋体" w:cs="宋体" w:eastAsia="宋体" w:hint="default"/>
                <w:sz w:val="13"/>
                <w:szCs w:val="13"/>
              </w:rPr>
            </w:pPr>
            <w:r>
              <w:rPr>
                <w:rFonts w:ascii="宋体" w:hAnsi="宋体" w:cs="宋体" w:eastAsia="宋体" w:hint="default"/>
                <w:w w:val="95"/>
                <w:sz w:val="13"/>
                <w:szCs w:val="13"/>
              </w:rPr>
              <w:t>本期现金红利</w:t>
            </w:r>
            <w:r>
              <w:rPr>
                <w:rFonts w:ascii="宋体" w:hAnsi="宋体" w:cs="宋体" w:eastAsia="宋体" w:hint="default"/>
                <w:sz w:val="13"/>
                <w:szCs w:val="13"/>
              </w:rPr>
            </w:r>
          </w:p>
        </w:tc>
      </w:tr>
      <w:tr>
        <w:trPr>
          <w:trHeight w:val="472"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929"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Style w:val="TableParagraph"/>
              <w:spacing w:line="168" w:lineRule="exact"/>
              <w:ind w:left="250" w:right="0"/>
              <w:jc w:val="left"/>
              <w:rPr>
                <w:rFonts w:ascii="Times New Roman" w:hAnsi="Times New Roman" w:cs="Times New Roman" w:eastAsia="Times New Roman" w:hint="default"/>
                <w:sz w:val="13"/>
                <w:szCs w:val="13"/>
              </w:rPr>
            </w:pPr>
            <w:r>
              <w:rPr>
                <w:rFonts w:ascii="宋体" w:hAnsi="宋体" w:cs="宋体" w:eastAsia="宋体" w:hint="default"/>
                <w:sz w:val="13"/>
                <w:szCs w:val="13"/>
              </w:rPr>
              <w:t>股比例</w:t>
            </w:r>
            <w:r>
              <w:rPr>
                <w:rFonts w:ascii="Times New Roman" w:hAnsi="Times New Roman" w:cs="Times New Roman" w:eastAsia="Times New Roman" w:hint="default"/>
                <w:sz w:val="13"/>
                <w:szCs w:val="13"/>
              </w:rPr>
              <w:t>(%)</w:t>
            </w:r>
          </w:p>
        </w:tc>
        <w:tc>
          <w:tcPr>
            <w:tcW w:w="1063" w:type="dxa"/>
            <w:tcBorders>
              <w:top w:val="nil" w:sz="6" w:space="0" w:color="auto"/>
              <w:left w:val="nil" w:sz="6" w:space="0" w:color="auto"/>
              <w:bottom w:val="nil" w:sz="6" w:space="0" w:color="auto"/>
              <w:right w:val="nil" w:sz="6" w:space="0" w:color="auto"/>
            </w:tcBorders>
          </w:tcPr>
          <w:p>
            <w:pPr>
              <w:pStyle w:val="TableParagraph"/>
              <w:spacing w:line="168" w:lineRule="exact"/>
              <w:ind w:left="172" w:right="0"/>
              <w:jc w:val="left"/>
              <w:rPr>
                <w:rFonts w:ascii="Times New Roman" w:hAnsi="Times New Roman" w:cs="Times New Roman" w:eastAsia="Times New Roman" w:hint="default"/>
                <w:sz w:val="13"/>
                <w:szCs w:val="13"/>
              </w:rPr>
            </w:pPr>
            <w:r>
              <w:rPr>
                <w:rFonts w:ascii="宋体" w:hAnsi="宋体" w:cs="宋体" w:eastAsia="宋体" w:hint="default"/>
                <w:sz w:val="13"/>
                <w:szCs w:val="13"/>
              </w:rPr>
              <w:t>决权比例</w:t>
            </w:r>
            <w:r>
              <w:rPr>
                <w:rFonts w:ascii="Times New Roman" w:hAnsi="Times New Roman" w:cs="Times New Roman" w:eastAsia="Times New Roman" w:hint="default"/>
                <w:sz w:val="13"/>
                <w:szCs w:val="13"/>
              </w:rPr>
              <w:t>(%)</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5"/>
                <w:szCs w:val="15"/>
              </w:rPr>
            </w:pPr>
          </w:p>
          <w:p>
            <w:pPr>
              <w:pStyle w:val="TableParagraph"/>
              <w:spacing w:line="240" w:lineRule="auto"/>
              <w:ind w:right="68"/>
              <w:jc w:val="center"/>
              <w:rPr>
                <w:rFonts w:ascii="宋体" w:hAnsi="宋体" w:cs="宋体" w:eastAsia="宋体" w:hint="default"/>
                <w:sz w:val="13"/>
                <w:szCs w:val="13"/>
              </w:rPr>
            </w:pPr>
            <w:r>
              <w:rPr>
                <w:rFonts w:ascii="宋体" w:hAnsi="宋体" w:cs="宋体" w:eastAsia="宋体" w:hint="default"/>
                <w:sz w:val="13"/>
                <w:szCs w:val="13"/>
              </w:rPr>
              <w:t>不一致的说明</w:t>
            </w:r>
          </w:p>
        </w:tc>
        <w:tc>
          <w:tcPr>
            <w:tcW w:w="884"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Style w:val="TableParagraph"/>
              <w:spacing w:line="158" w:lineRule="exact"/>
              <w:ind w:left="234" w:right="0"/>
              <w:jc w:val="left"/>
              <w:rPr>
                <w:rFonts w:ascii="宋体" w:hAnsi="宋体" w:cs="宋体" w:eastAsia="宋体" w:hint="default"/>
                <w:sz w:val="13"/>
                <w:szCs w:val="13"/>
              </w:rPr>
            </w:pPr>
            <w:r>
              <w:rPr>
                <w:rFonts w:ascii="宋体" w:hAnsi="宋体" w:cs="宋体" w:eastAsia="宋体" w:hint="default"/>
                <w:sz w:val="13"/>
                <w:szCs w:val="13"/>
              </w:rPr>
              <w:t>值准备</w:t>
            </w:r>
          </w:p>
        </w:tc>
        <w:tc>
          <w:tcPr>
            <w:tcW w:w="1061" w:type="dxa"/>
            <w:tcBorders>
              <w:top w:val="nil" w:sz="6" w:space="0" w:color="auto"/>
              <w:left w:val="nil" w:sz="6" w:space="0" w:color="auto"/>
              <w:bottom w:val="nil" w:sz="6" w:space="0" w:color="auto"/>
              <w:right w:val="nil" w:sz="6" w:space="0" w:color="auto"/>
            </w:tcBorders>
          </w:tcPr>
          <w:p>
            <w:pPr/>
          </w:p>
        </w:tc>
      </w:tr>
      <w:tr>
        <w:trPr>
          <w:trHeight w:val="286"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7" w:right="0"/>
              <w:jc w:val="left"/>
              <w:rPr>
                <w:rFonts w:ascii="宋体" w:hAnsi="宋体" w:cs="宋体" w:eastAsia="宋体" w:hint="default"/>
                <w:sz w:val="13"/>
                <w:szCs w:val="13"/>
              </w:rPr>
            </w:pPr>
            <w:r>
              <w:rPr>
                <w:rFonts w:ascii="宋体" w:hAnsi="宋体" w:cs="宋体" w:eastAsia="宋体" w:hint="default"/>
                <w:spacing w:val="5"/>
                <w:sz w:val="13"/>
                <w:szCs w:val="13"/>
              </w:rPr>
              <w:t>北京东大阿尔派中电科电力系统技术有限责</w:t>
            </w:r>
          </w:p>
        </w:tc>
        <w:tc>
          <w:tcPr>
            <w:tcW w:w="881"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929"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
        </w:tc>
      </w:tr>
      <w:tr>
        <w:trPr>
          <w:trHeight w:val="473"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left="107" w:right="0"/>
              <w:jc w:val="left"/>
              <w:rPr>
                <w:rFonts w:ascii="宋体" w:hAnsi="宋体" w:cs="宋体" w:eastAsia="宋体" w:hint="default"/>
                <w:sz w:val="13"/>
                <w:szCs w:val="13"/>
              </w:rPr>
            </w:pPr>
            <w:r>
              <w:rPr>
                <w:rFonts w:ascii="宋体" w:hAnsi="宋体" w:cs="宋体" w:eastAsia="宋体" w:hint="default"/>
                <w:sz w:val="13"/>
                <w:szCs w:val="13"/>
              </w:rPr>
              <w:t>任公司</w:t>
            </w:r>
          </w:p>
        </w:tc>
        <w:tc>
          <w:tcPr>
            <w:tcW w:w="881" w:type="dxa"/>
            <w:tcBorders>
              <w:top w:val="nil" w:sz="6" w:space="0" w:color="auto"/>
              <w:left w:val="nil" w:sz="6" w:space="0" w:color="auto"/>
              <w:bottom w:val="nil" w:sz="6" w:space="0" w:color="auto"/>
              <w:right w:val="nil" w:sz="6" w:space="0" w:color="auto"/>
            </w:tcBorders>
          </w:tcPr>
          <w:p>
            <w:pPr>
              <w:pStyle w:val="TableParagraph"/>
              <w:spacing w:line="158" w:lineRule="exact"/>
              <w:ind w:right="137"/>
              <w:jc w:val="right"/>
              <w:rPr>
                <w:rFonts w:ascii="宋体" w:hAnsi="宋体" w:cs="宋体" w:eastAsia="宋体" w:hint="default"/>
                <w:sz w:val="13"/>
                <w:szCs w:val="13"/>
              </w:rPr>
            </w:pPr>
            <w:r>
              <w:rPr>
                <w:rFonts w:ascii="宋体" w:hAnsi="宋体" w:cs="宋体" w:eastAsia="宋体" w:hint="default"/>
                <w:w w:val="95"/>
                <w:sz w:val="13"/>
                <w:szCs w:val="13"/>
              </w:rPr>
              <w:t>权益法</w:t>
            </w:r>
            <w:r>
              <w:rPr>
                <w:rFonts w:ascii="宋体" w:hAnsi="宋体" w:cs="宋体" w:eastAsia="宋体" w:hint="default"/>
                <w:sz w:val="13"/>
                <w:szCs w:val="13"/>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0"/>
              <w:jc w:val="right"/>
              <w:rPr>
                <w:rFonts w:ascii="Times New Roman" w:hAnsi="Times New Roman" w:cs="Times New Roman" w:eastAsia="Times New Roman" w:hint="default"/>
                <w:sz w:val="13"/>
                <w:szCs w:val="13"/>
              </w:rPr>
            </w:pPr>
            <w:r>
              <w:rPr>
                <w:rFonts w:ascii="Times New Roman"/>
                <w:w w:val="95"/>
                <w:sz w:val="13"/>
              </w:rPr>
              <w:t>440,000</w:t>
            </w:r>
            <w:r>
              <w:rPr>
                <w:rFonts w:ascii="Times New Roman"/>
                <w:sz w:val="13"/>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25"/>
              <w:jc w:val="right"/>
              <w:rPr>
                <w:rFonts w:ascii="Times New Roman" w:hAnsi="Times New Roman" w:cs="Times New Roman" w:eastAsia="Times New Roman" w:hint="default"/>
                <w:sz w:val="13"/>
                <w:szCs w:val="13"/>
              </w:rPr>
            </w:pPr>
            <w:r>
              <w:rPr>
                <w:rFonts w:ascii="Times New Roman"/>
                <w:w w:val="95"/>
                <w:sz w:val="13"/>
              </w:rPr>
              <w:t>288,039</w:t>
            </w:r>
            <w:r>
              <w:rPr>
                <w:rFonts w:ascii="Times New Roman"/>
                <w:sz w:val="13"/>
              </w:rPr>
            </w:r>
          </w:p>
        </w:tc>
        <w:tc>
          <w:tcPr>
            <w:tcW w:w="950"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85"/>
              <w:jc w:val="right"/>
              <w:rPr>
                <w:rFonts w:ascii="Times New Roman" w:hAnsi="Times New Roman" w:cs="Times New Roman" w:eastAsia="Times New Roman" w:hint="default"/>
                <w:sz w:val="13"/>
                <w:szCs w:val="13"/>
              </w:rPr>
            </w:pPr>
            <w:r>
              <w:rPr>
                <w:rFonts w:ascii="Times New Roman"/>
                <w:w w:val="95"/>
                <w:sz w:val="13"/>
              </w:rPr>
              <w:t>288,039</w:t>
            </w:r>
            <w:r>
              <w:rPr>
                <w:rFonts w:ascii="Times New Roman"/>
                <w:sz w:val="13"/>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3"/>
              <w:jc w:val="right"/>
              <w:rPr>
                <w:rFonts w:ascii="Times New Roman" w:hAnsi="Times New Roman" w:cs="Times New Roman" w:eastAsia="Times New Roman" w:hint="default"/>
                <w:sz w:val="13"/>
                <w:szCs w:val="13"/>
              </w:rPr>
            </w:pPr>
            <w:r>
              <w:rPr>
                <w:rFonts w:ascii="Times New Roman"/>
                <w:w w:val="95"/>
                <w:sz w:val="13"/>
              </w:rPr>
              <w:t>40.00</w:t>
            </w:r>
            <w:r>
              <w:rPr>
                <w:rFonts w:ascii="Times New Roman"/>
                <w:sz w:val="13"/>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1"/>
              <w:jc w:val="right"/>
              <w:rPr>
                <w:rFonts w:ascii="Times New Roman" w:hAnsi="Times New Roman" w:cs="Times New Roman" w:eastAsia="Times New Roman" w:hint="default"/>
                <w:sz w:val="13"/>
                <w:szCs w:val="13"/>
              </w:rPr>
            </w:pPr>
            <w:r>
              <w:rPr>
                <w:rFonts w:ascii="Times New Roman"/>
                <w:w w:val="95"/>
                <w:sz w:val="13"/>
              </w:rPr>
              <w:t>40.00</w:t>
            </w:r>
            <w:r>
              <w:rPr>
                <w:rFonts w:ascii="Times New Roman"/>
                <w:sz w:val="13"/>
              </w:rPr>
            </w: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1"/>
              <w:jc w:val="right"/>
              <w:rPr>
                <w:rFonts w:ascii="Times New Roman" w:hAnsi="Times New Roman" w:cs="Times New Roman" w:eastAsia="Times New Roman" w:hint="default"/>
                <w:sz w:val="13"/>
                <w:szCs w:val="13"/>
              </w:rPr>
            </w:pPr>
            <w:r>
              <w:rPr>
                <w:rFonts w:ascii="Times New Roman"/>
                <w:w w:val="95"/>
                <w:sz w:val="13"/>
              </w:rPr>
              <w:t>288,039</w:t>
            </w:r>
            <w:r>
              <w:rPr>
                <w:rFonts w:ascii="Times New Roman"/>
                <w:sz w:val="13"/>
              </w:rPr>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4"/>
              <w:jc w:val="right"/>
              <w:rPr>
                <w:rFonts w:ascii="Times New Roman" w:hAnsi="Times New Roman" w:cs="Times New Roman" w:eastAsia="Times New Roman" w:hint="default"/>
                <w:sz w:val="13"/>
                <w:szCs w:val="13"/>
              </w:rPr>
            </w:pPr>
            <w:r>
              <w:rPr>
                <w:rFonts w:ascii="Times New Roman"/>
                <w:w w:val="95"/>
                <w:sz w:val="13"/>
              </w:rPr>
              <w:t>288,039</w:t>
            </w:r>
            <w:r>
              <w:rPr>
                <w:rFonts w:ascii="Times New Roman"/>
                <w:sz w:val="13"/>
              </w:rPr>
            </w:r>
          </w:p>
        </w:tc>
        <w:tc>
          <w:tcPr>
            <w:tcW w:w="1061" w:type="dxa"/>
            <w:tcBorders>
              <w:top w:val="nil" w:sz="6" w:space="0" w:color="auto"/>
              <w:left w:val="nil" w:sz="6" w:space="0" w:color="auto"/>
              <w:bottom w:val="nil" w:sz="6" w:space="0" w:color="auto"/>
              <w:right w:val="nil" w:sz="6" w:space="0" w:color="auto"/>
            </w:tcBorders>
          </w:tcPr>
          <w:p>
            <w:pPr/>
          </w:p>
        </w:tc>
      </w:tr>
      <w:tr>
        <w:trPr>
          <w:trHeight w:val="388"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07" w:right="0"/>
              <w:jc w:val="left"/>
              <w:rPr>
                <w:rFonts w:ascii="宋体" w:hAnsi="宋体" w:cs="宋体" w:eastAsia="宋体" w:hint="default"/>
                <w:sz w:val="13"/>
                <w:szCs w:val="13"/>
              </w:rPr>
            </w:pPr>
            <w:r>
              <w:rPr>
                <w:rFonts w:ascii="宋体" w:hAnsi="宋体" w:cs="宋体" w:eastAsia="宋体" w:hint="default"/>
                <w:sz w:val="13"/>
                <w:szCs w:val="13"/>
              </w:rPr>
              <w:t>诺基亚西门子东软通信技术有限公司</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37"/>
              <w:jc w:val="right"/>
              <w:rPr>
                <w:rFonts w:ascii="宋体" w:hAnsi="宋体" w:cs="宋体" w:eastAsia="宋体" w:hint="default"/>
                <w:sz w:val="13"/>
                <w:szCs w:val="13"/>
              </w:rPr>
            </w:pPr>
            <w:r>
              <w:rPr>
                <w:rFonts w:ascii="宋体" w:hAnsi="宋体" w:cs="宋体" w:eastAsia="宋体" w:hint="default"/>
                <w:w w:val="95"/>
                <w:sz w:val="13"/>
                <w:szCs w:val="13"/>
              </w:rPr>
              <w:t>权益法</w:t>
            </w:r>
            <w:r>
              <w:rPr>
                <w:rFonts w:ascii="宋体" w:hAnsi="宋体" w:cs="宋体" w:eastAsia="宋体" w:hint="default"/>
                <w:sz w:val="13"/>
                <w:szCs w:val="13"/>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0"/>
                <w:szCs w:val="10"/>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26,713,621</w:t>
            </w:r>
            <w:r>
              <w:rPr>
                <w:rFonts w:ascii="Times New Roman"/>
                <w:sz w:val="13"/>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0"/>
                <w:szCs w:val="10"/>
              </w:rPr>
            </w:pPr>
          </w:p>
          <w:p>
            <w:pPr>
              <w:pStyle w:val="TableParagraph"/>
              <w:spacing w:line="240" w:lineRule="auto"/>
              <w:ind w:right="125"/>
              <w:jc w:val="right"/>
              <w:rPr>
                <w:rFonts w:ascii="Times New Roman" w:hAnsi="Times New Roman" w:cs="Times New Roman" w:eastAsia="Times New Roman" w:hint="default"/>
                <w:sz w:val="13"/>
                <w:szCs w:val="13"/>
              </w:rPr>
            </w:pPr>
            <w:r>
              <w:rPr>
                <w:rFonts w:ascii="Times New Roman"/>
                <w:w w:val="95"/>
                <w:sz w:val="13"/>
              </w:rPr>
              <w:t>44,517,995</w:t>
            </w:r>
            <w:r>
              <w:rPr>
                <w:rFonts w:ascii="Times New Roman"/>
                <w:sz w:val="13"/>
              </w:rPr>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0"/>
                <w:szCs w:val="10"/>
              </w:rPr>
            </w:pPr>
          </w:p>
          <w:p>
            <w:pPr>
              <w:pStyle w:val="TableParagraph"/>
              <w:spacing w:line="240" w:lineRule="auto"/>
              <w:ind w:left="127" w:right="0"/>
              <w:jc w:val="left"/>
              <w:rPr>
                <w:rFonts w:ascii="Times New Roman" w:hAnsi="Times New Roman" w:cs="Times New Roman" w:eastAsia="Times New Roman" w:hint="default"/>
                <w:sz w:val="13"/>
                <w:szCs w:val="13"/>
              </w:rPr>
            </w:pPr>
            <w:r>
              <w:rPr>
                <w:rFonts w:ascii="Times New Roman"/>
                <w:sz w:val="13"/>
              </w:rPr>
              <w:t>-11,426,048</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0"/>
                <w:szCs w:val="10"/>
              </w:rPr>
            </w:pPr>
          </w:p>
          <w:p>
            <w:pPr>
              <w:pStyle w:val="TableParagraph"/>
              <w:spacing w:line="240" w:lineRule="auto"/>
              <w:ind w:right="85"/>
              <w:jc w:val="right"/>
              <w:rPr>
                <w:rFonts w:ascii="Times New Roman" w:hAnsi="Times New Roman" w:cs="Times New Roman" w:eastAsia="Times New Roman" w:hint="default"/>
                <w:sz w:val="13"/>
                <w:szCs w:val="13"/>
              </w:rPr>
            </w:pPr>
            <w:r>
              <w:rPr>
                <w:rFonts w:ascii="Times New Roman"/>
                <w:w w:val="95"/>
                <w:sz w:val="13"/>
              </w:rPr>
              <w:t>33,091,947</w:t>
            </w:r>
            <w:r>
              <w:rPr>
                <w:rFonts w:ascii="Times New Roman"/>
                <w:sz w:val="13"/>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0"/>
                <w:szCs w:val="10"/>
              </w:rPr>
            </w:pPr>
          </w:p>
          <w:p>
            <w:pPr>
              <w:pStyle w:val="TableParagraph"/>
              <w:spacing w:line="240" w:lineRule="auto"/>
              <w:ind w:right="113"/>
              <w:jc w:val="right"/>
              <w:rPr>
                <w:rFonts w:ascii="Times New Roman" w:hAnsi="Times New Roman" w:cs="Times New Roman" w:eastAsia="Times New Roman" w:hint="default"/>
                <w:sz w:val="13"/>
                <w:szCs w:val="13"/>
              </w:rPr>
            </w:pPr>
            <w:r>
              <w:rPr>
                <w:rFonts w:ascii="Times New Roman"/>
                <w:w w:val="95"/>
                <w:sz w:val="13"/>
              </w:rPr>
              <w:t>46.00</w:t>
            </w:r>
            <w:r>
              <w:rPr>
                <w:rFonts w:ascii="Times New Roman"/>
                <w:sz w:val="13"/>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0"/>
                <w:szCs w:val="10"/>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46.00</w:t>
            </w:r>
            <w:r>
              <w:rPr>
                <w:rFonts w:ascii="Times New Roman"/>
                <w:sz w:val="13"/>
              </w:rPr>
            </w: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0"/>
                <w:szCs w:val="10"/>
              </w:rPr>
            </w:pPr>
          </w:p>
          <w:p>
            <w:pPr>
              <w:pStyle w:val="TableParagraph"/>
              <w:spacing w:line="240" w:lineRule="auto"/>
              <w:ind w:right="98"/>
              <w:jc w:val="right"/>
              <w:rPr>
                <w:rFonts w:ascii="Times New Roman" w:hAnsi="Times New Roman" w:cs="Times New Roman" w:eastAsia="Times New Roman" w:hint="default"/>
                <w:sz w:val="13"/>
                <w:szCs w:val="13"/>
              </w:rPr>
            </w:pPr>
            <w:r>
              <w:rPr>
                <w:rFonts w:ascii="Times New Roman"/>
                <w:w w:val="95"/>
                <w:sz w:val="13"/>
              </w:rPr>
              <w:t>10,885,273</w:t>
            </w:r>
            <w:r>
              <w:rPr>
                <w:rFonts w:ascii="Times New Roman"/>
                <w:sz w:val="13"/>
              </w:rPr>
            </w:r>
          </w:p>
        </w:tc>
      </w:tr>
      <w:tr>
        <w:trPr>
          <w:trHeight w:val="385"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7" w:right="0"/>
              <w:jc w:val="left"/>
              <w:rPr>
                <w:rFonts w:ascii="宋体" w:hAnsi="宋体" w:cs="宋体" w:eastAsia="宋体" w:hint="default"/>
                <w:sz w:val="13"/>
                <w:szCs w:val="13"/>
              </w:rPr>
            </w:pPr>
            <w:r>
              <w:rPr>
                <w:rFonts w:ascii="宋体" w:hAnsi="宋体" w:cs="宋体" w:eastAsia="宋体" w:hint="default"/>
                <w:sz w:val="13"/>
                <w:szCs w:val="13"/>
              </w:rPr>
              <w:t>北京利博赛社保信息技术有限公司</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7"/>
              <w:jc w:val="right"/>
              <w:rPr>
                <w:rFonts w:ascii="宋体" w:hAnsi="宋体" w:cs="宋体" w:eastAsia="宋体" w:hint="default"/>
                <w:sz w:val="13"/>
                <w:szCs w:val="13"/>
              </w:rPr>
            </w:pPr>
            <w:r>
              <w:rPr>
                <w:rFonts w:ascii="宋体" w:hAnsi="宋体" w:cs="宋体" w:eastAsia="宋体" w:hint="default"/>
                <w:w w:val="95"/>
                <w:sz w:val="13"/>
                <w:szCs w:val="13"/>
              </w:rPr>
              <w:t>权益法</w:t>
            </w:r>
            <w:r>
              <w:rPr>
                <w:rFonts w:ascii="宋体" w:hAnsi="宋体" w:cs="宋体" w:eastAsia="宋体" w:hint="default"/>
                <w:sz w:val="13"/>
                <w:szCs w:val="13"/>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5,000,000</w:t>
            </w:r>
            <w:r>
              <w:rPr>
                <w:rFonts w:ascii="Times New Roman"/>
                <w:sz w:val="13"/>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25"/>
              <w:jc w:val="right"/>
              <w:rPr>
                <w:rFonts w:ascii="Times New Roman" w:hAnsi="Times New Roman" w:cs="Times New Roman" w:eastAsia="Times New Roman" w:hint="default"/>
                <w:sz w:val="13"/>
                <w:szCs w:val="13"/>
              </w:rPr>
            </w:pPr>
            <w:r>
              <w:rPr>
                <w:rFonts w:ascii="Times New Roman"/>
                <w:w w:val="95"/>
                <w:sz w:val="13"/>
              </w:rPr>
              <w:t>7,768,668</w:t>
            </w:r>
            <w:r>
              <w:rPr>
                <w:rFonts w:ascii="Times New Roman"/>
                <w:sz w:val="13"/>
              </w:rPr>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97"/>
              <w:jc w:val="right"/>
              <w:rPr>
                <w:rFonts w:ascii="Times New Roman" w:hAnsi="Times New Roman" w:cs="Times New Roman" w:eastAsia="Times New Roman" w:hint="default"/>
                <w:sz w:val="13"/>
                <w:szCs w:val="13"/>
              </w:rPr>
            </w:pPr>
            <w:r>
              <w:rPr>
                <w:rFonts w:ascii="Times New Roman"/>
                <w:w w:val="95"/>
                <w:sz w:val="13"/>
              </w:rPr>
              <w:t>106,476</w:t>
            </w:r>
            <w:r>
              <w:rPr>
                <w:rFonts w:ascii="Times New Roman"/>
                <w:sz w:val="13"/>
              </w:rPr>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85"/>
              <w:jc w:val="right"/>
              <w:rPr>
                <w:rFonts w:ascii="Times New Roman" w:hAnsi="Times New Roman" w:cs="Times New Roman" w:eastAsia="Times New Roman" w:hint="default"/>
                <w:sz w:val="13"/>
                <w:szCs w:val="13"/>
              </w:rPr>
            </w:pPr>
            <w:r>
              <w:rPr>
                <w:rFonts w:ascii="Times New Roman"/>
                <w:w w:val="95"/>
                <w:sz w:val="13"/>
              </w:rPr>
              <w:t>7,875,144</w:t>
            </w:r>
            <w:r>
              <w:rPr>
                <w:rFonts w:ascii="Times New Roman"/>
                <w:sz w:val="13"/>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13"/>
              <w:jc w:val="right"/>
              <w:rPr>
                <w:rFonts w:ascii="Times New Roman" w:hAnsi="Times New Roman" w:cs="Times New Roman" w:eastAsia="Times New Roman" w:hint="default"/>
                <w:sz w:val="13"/>
                <w:szCs w:val="13"/>
              </w:rPr>
            </w:pPr>
            <w:r>
              <w:rPr>
                <w:rFonts w:ascii="Times New Roman"/>
                <w:w w:val="95"/>
                <w:sz w:val="13"/>
              </w:rPr>
              <w:t>33.33</w:t>
            </w:r>
            <w:r>
              <w:rPr>
                <w:rFonts w:ascii="Times New Roman"/>
                <w:sz w:val="13"/>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33.33</w:t>
            </w:r>
            <w:r>
              <w:rPr>
                <w:rFonts w:ascii="Times New Roman"/>
                <w:sz w:val="13"/>
              </w:rPr>
            </w: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
        </w:tc>
      </w:tr>
      <w:tr>
        <w:trPr>
          <w:trHeight w:val="384"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7" w:right="0"/>
              <w:jc w:val="left"/>
              <w:rPr>
                <w:rFonts w:ascii="宋体" w:hAnsi="宋体" w:cs="宋体" w:eastAsia="宋体" w:hint="default"/>
                <w:sz w:val="13"/>
                <w:szCs w:val="13"/>
              </w:rPr>
            </w:pPr>
            <w:r>
              <w:rPr>
                <w:rFonts w:ascii="宋体" w:hAnsi="宋体" w:cs="宋体" w:eastAsia="宋体" w:hint="default"/>
                <w:sz w:val="13"/>
                <w:szCs w:val="13"/>
              </w:rPr>
              <w:t>东软飞利浦医疗设备系统有限责任公司</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7"/>
              <w:jc w:val="right"/>
              <w:rPr>
                <w:rFonts w:ascii="宋体" w:hAnsi="宋体" w:cs="宋体" w:eastAsia="宋体" w:hint="default"/>
                <w:sz w:val="13"/>
                <w:szCs w:val="13"/>
              </w:rPr>
            </w:pPr>
            <w:r>
              <w:rPr>
                <w:rFonts w:ascii="宋体" w:hAnsi="宋体" w:cs="宋体" w:eastAsia="宋体" w:hint="default"/>
                <w:w w:val="95"/>
                <w:sz w:val="13"/>
                <w:szCs w:val="13"/>
              </w:rPr>
              <w:t>权益法</w:t>
            </w:r>
            <w:r>
              <w:rPr>
                <w:rFonts w:ascii="宋体" w:hAnsi="宋体" w:cs="宋体" w:eastAsia="宋体" w:hint="default"/>
                <w:sz w:val="13"/>
                <w:szCs w:val="13"/>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120,050,000</w:t>
            </w:r>
            <w:r>
              <w:rPr>
                <w:rFonts w:ascii="Times New Roman"/>
                <w:sz w:val="13"/>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25"/>
              <w:jc w:val="right"/>
              <w:rPr>
                <w:rFonts w:ascii="Times New Roman" w:hAnsi="Times New Roman" w:cs="Times New Roman" w:eastAsia="Times New Roman" w:hint="default"/>
                <w:sz w:val="13"/>
                <w:szCs w:val="13"/>
              </w:rPr>
            </w:pPr>
            <w:r>
              <w:rPr>
                <w:rFonts w:ascii="Times New Roman"/>
                <w:w w:val="95"/>
                <w:sz w:val="13"/>
              </w:rPr>
              <w:t>143,366,019</w:t>
            </w:r>
            <w:r>
              <w:rPr>
                <w:rFonts w:ascii="Times New Roman"/>
                <w:sz w:val="13"/>
              </w:rPr>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left="167" w:right="0"/>
              <w:jc w:val="left"/>
              <w:rPr>
                <w:rFonts w:ascii="Times New Roman" w:hAnsi="Times New Roman" w:cs="Times New Roman" w:eastAsia="Times New Roman" w:hint="default"/>
                <w:sz w:val="13"/>
                <w:szCs w:val="13"/>
              </w:rPr>
            </w:pPr>
            <w:r>
              <w:rPr>
                <w:rFonts w:ascii="Times New Roman"/>
                <w:sz w:val="13"/>
              </w:rPr>
              <w:t>14,403,879</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85"/>
              <w:jc w:val="right"/>
              <w:rPr>
                <w:rFonts w:ascii="Times New Roman" w:hAnsi="Times New Roman" w:cs="Times New Roman" w:eastAsia="Times New Roman" w:hint="default"/>
                <w:sz w:val="13"/>
                <w:szCs w:val="13"/>
              </w:rPr>
            </w:pPr>
            <w:r>
              <w:rPr>
                <w:rFonts w:ascii="Times New Roman"/>
                <w:w w:val="95"/>
                <w:sz w:val="13"/>
              </w:rPr>
              <w:t>157,769,898</w:t>
            </w:r>
            <w:r>
              <w:rPr>
                <w:rFonts w:ascii="Times New Roman"/>
                <w:sz w:val="13"/>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13"/>
              <w:jc w:val="right"/>
              <w:rPr>
                <w:rFonts w:ascii="Times New Roman" w:hAnsi="Times New Roman" w:cs="Times New Roman" w:eastAsia="Times New Roman" w:hint="default"/>
                <w:sz w:val="13"/>
                <w:szCs w:val="13"/>
              </w:rPr>
            </w:pPr>
            <w:r>
              <w:rPr>
                <w:rFonts w:ascii="Times New Roman"/>
                <w:w w:val="95"/>
                <w:sz w:val="13"/>
              </w:rPr>
              <w:t>49.00</w:t>
            </w:r>
            <w:r>
              <w:rPr>
                <w:rFonts w:ascii="Times New Roman"/>
                <w:sz w:val="13"/>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49.00</w:t>
            </w:r>
            <w:r>
              <w:rPr>
                <w:rFonts w:ascii="Times New Roman"/>
                <w:sz w:val="13"/>
              </w:rPr>
            </w: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98"/>
              <w:jc w:val="right"/>
              <w:rPr>
                <w:rFonts w:ascii="Times New Roman" w:hAnsi="Times New Roman" w:cs="Times New Roman" w:eastAsia="Times New Roman" w:hint="default"/>
                <w:sz w:val="13"/>
                <w:szCs w:val="13"/>
              </w:rPr>
            </w:pPr>
            <w:r>
              <w:rPr>
                <w:rFonts w:ascii="Times New Roman"/>
                <w:w w:val="95"/>
                <w:sz w:val="13"/>
              </w:rPr>
              <w:t>24,010,000</w:t>
            </w:r>
            <w:r>
              <w:rPr>
                <w:rFonts w:ascii="Times New Roman"/>
                <w:sz w:val="13"/>
              </w:rPr>
            </w:r>
          </w:p>
        </w:tc>
      </w:tr>
      <w:tr>
        <w:trPr>
          <w:trHeight w:val="385"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7" w:right="0"/>
              <w:jc w:val="left"/>
              <w:rPr>
                <w:rFonts w:ascii="宋体" w:hAnsi="宋体" w:cs="宋体" w:eastAsia="宋体" w:hint="default"/>
                <w:sz w:val="13"/>
                <w:szCs w:val="13"/>
              </w:rPr>
            </w:pPr>
            <w:r>
              <w:rPr>
                <w:rFonts w:ascii="宋体" w:hAnsi="宋体" w:cs="宋体" w:eastAsia="宋体" w:hint="default"/>
                <w:sz w:val="13"/>
                <w:szCs w:val="13"/>
              </w:rPr>
              <w:t>辽宁盛京熙康健康管理有限公司</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7"/>
              <w:jc w:val="right"/>
              <w:rPr>
                <w:rFonts w:ascii="宋体" w:hAnsi="宋体" w:cs="宋体" w:eastAsia="宋体" w:hint="default"/>
                <w:sz w:val="13"/>
                <w:szCs w:val="13"/>
              </w:rPr>
            </w:pPr>
            <w:r>
              <w:rPr>
                <w:rFonts w:ascii="宋体" w:hAnsi="宋体" w:cs="宋体" w:eastAsia="宋体" w:hint="default"/>
                <w:w w:val="95"/>
                <w:sz w:val="13"/>
                <w:szCs w:val="13"/>
              </w:rPr>
              <w:t>权益法</w:t>
            </w:r>
            <w:r>
              <w:rPr>
                <w:rFonts w:ascii="宋体" w:hAnsi="宋体" w:cs="宋体" w:eastAsia="宋体" w:hint="default"/>
                <w:sz w:val="13"/>
                <w:szCs w:val="13"/>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490,000</w:t>
            </w:r>
            <w:r>
              <w:rPr>
                <w:rFonts w:ascii="Times New Roman"/>
                <w:sz w:val="13"/>
              </w:rPr>
            </w:r>
          </w:p>
        </w:tc>
        <w:tc>
          <w:tcPr>
            <w:tcW w:w="929"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97"/>
              <w:jc w:val="right"/>
              <w:rPr>
                <w:rFonts w:ascii="Times New Roman" w:hAnsi="Times New Roman" w:cs="Times New Roman" w:eastAsia="Times New Roman" w:hint="default"/>
                <w:sz w:val="13"/>
                <w:szCs w:val="13"/>
              </w:rPr>
            </w:pPr>
            <w:r>
              <w:rPr>
                <w:rFonts w:ascii="Times New Roman"/>
                <w:w w:val="95"/>
                <w:sz w:val="13"/>
              </w:rPr>
              <w:t>125,519</w:t>
            </w:r>
            <w:r>
              <w:rPr>
                <w:rFonts w:ascii="Times New Roman"/>
                <w:sz w:val="13"/>
              </w:rPr>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85"/>
              <w:jc w:val="right"/>
              <w:rPr>
                <w:rFonts w:ascii="Times New Roman" w:hAnsi="Times New Roman" w:cs="Times New Roman" w:eastAsia="Times New Roman" w:hint="default"/>
                <w:sz w:val="13"/>
                <w:szCs w:val="13"/>
              </w:rPr>
            </w:pPr>
            <w:r>
              <w:rPr>
                <w:rFonts w:ascii="Times New Roman"/>
                <w:w w:val="95"/>
                <w:sz w:val="13"/>
              </w:rPr>
              <w:t>125,519</w:t>
            </w:r>
            <w:r>
              <w:rPr>
                <w:rFonts w:ascii="Times New Roman"/>
                <w:sz w:val="13"/>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13"/>
              <w:jc w:val="right"/>
              <w:rPr>
                <w:rFonts w:ascii="Times New Roman" w:hAnsi="Times New Roman" w:cs="Times New Roman" w:eastAsia="Times New Roman" w:hint="default"/>
                <w:sz w:val="13"/>
                <w:szCs w:val="13"/>
              </w:rPr>
            </w:pPr>
            <w:r>
              <w:rPr>
                <w:rFonts w:ascii="Times New Roman"/>
                <w:w w:val="95"/>
                <w:sz w:val="13"/>
              </w:rPr>
              <w:t>49.00</w:t>
            </w:r>
            <w:r>
              <w:rPr>
                <w:rFonts w:ascii="Times New Roman"/>
                <w:sz w:val="13"/>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49.00</w:t>
            </w:r>
            <w:r>
              <w:rPr>
                <w:rFonts w:ascii="Times New Roman"/>
                <w:sz w:val="13"/>
              </w:rPr>
            </w: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
        </w:tc>
      </w:tr>
      <w:tr>
        <w:trPr>
          <w:trHeight w:val="385"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7" w:right="0"/>
              <w:jc w:val="left"/>
              <w:rPr>
                <w:rFonts w:ascii="宋体" w:hAnsi="宋体" w:cs="宋体" w:eastAsia="宋体" w:hint="default"/>
                <w:sz w:val="13"/>
                <w:szCs w:val="13"/>
              </w:rPr>
            </w:pPr>
            <w:r>
              <w:rPr>
                <w:rFonts w:ascii="宋体" w:hAnsi="宋体" w:cs="宋体" w:eastAsia="宋体" w:hint="default"/>
                <w:sz w:val="13"/>
                <w:szCs w:val="13"/>
              </w:rPr>
              <w:t>权益法小计</w:t>
            </w:r>
          </w:p>
        </w:tc>
        <w:tc>
          <w:tcPr>
            <w:tcW w:w="881"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152,693,621</w:t>
            </w:r>
            <w:r>
              <w:rPr>
                <w:rFonts w:ascii="Times New Roman"/>
                <w:sz w:val="13"/>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25"/>
              <w:jc w:val="right"/>
              <w:rPr>
                <w:rFonts w:ascii="Times New Roman" w:hAnsi="Times New Roman" w:cs="Times New Roman" w:eastAsia="Times New Roman" w:hint="default"/>
                <w:sz w:val="13"/>
                <w:szCs w:val="13"/>
              </w:rPr>
            </w:pPr>
            <w:r>
              <w:rPr>
                <w:rFonts w:ascii="Times New Roman"/>
                <w:w w:val="95"/>
                <w:sz w:val="13"/>
              </w:rPr>
              <w:t>195,940,721</w:t>
            </w:r>
            <w:r>
              <w:rPr>
                <w:rFonts w:ascii="Times New Roman"/>
                <w:sz w:val="13"/>
              </w:rPr>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97"/>
              <w:jc w:val="right"/>
              <w:rPr>
                <w:rFonts w:ascii="Times New Roman" w:hAnsi="Times New Roman" w:cs="Times New Roman" w:eastAsia="Times New Roman" w:hint="default"/>
                <w:sz w:val="13"/>
                <w:szCs w:val="13"/>
              </w:rPr>
            </w:pPr>
            <w:r>
              <w:rPr>
                <w:rFonts w:ascii="Times New Roman"/>
                <w:w w:val="95"/>
                <w:sz w:val="13"/>
              </w:rPr>
              <w:t>3,209,826</w:t>
            </w:r>
            <w:r>
              <w:rPr>
                <w:rFonts w:ascii="Times New Roman"/>
                <w:sz w:val="13"/>
              </w:rPr>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86"/>
              <w:jc w:val="right"/>
              <w:rPr>
                <w:rFonts w:ascii="Times New Roman" w:hAnsi="Times New Roman" w:cs="Times New Roman" w:eastAsia="Times New Roman" w:hint="default"/>
                <w:sz w:val="13"/>
                <w:szCs w:val="13"/>
              </w:rPr>
            </w:pPr>
            <w:r>
              <w:rPr>
                <w:rFonts w:ascii="Times New Roman"/>
                <w:w w:val="95"/>
                <w:sz w:val="13"/>
              </w:rPr>
              <w:t>199,150,547</w:t>
            </w:r>
            <w:r>
              <w:rPr>
                <w:rFonts w:ascii="Times New Roman"/>
                <w:sz w:val="13"/>
              </w:rPr>
            </w:r>
          </w:p>
        </w:tc>
        <w:tc>
          <w:tcPr>
            <w:tcW w:w="1070"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288,039</w:t>
            </w:r>
            <w:r>
              <w:rPr>
                <w:rFonts w:ascii="Times New Roman"/>
                <w:sz w:val="13"/>
              </w:rPr>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34"/>
              <w:jc w:val="right"/>
              <w:rPr>
                <w:rFonts w:ascii="Times New Roman" w:hAnsi="Times New Roman" w:cs="Times New Roman" w:eastAsia="Times New Roman" w:hint="default"/>
                <w:sz w:val="13"/>
                <w:szCs w:val="13"/>
              </w:rPr>
            </w:pPr>
            <w:r>
              <w:rPr>
                <w:rFonts w:ascii="Times New Roman"/>
                <w:w w:val="95"/>
                <w:sz w:val="13"/>
              </w:rPr>
              <w:t>288,039</w:t>
            </w:r>
            <w:r>
              <w:rPr>
                <w:rFonts w:ascii="Times New Roman"/>
                <w:sz w:val="13"/>
              </w:rPr>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98"/>
              <w:jc w:val="right"/>
              <w:rPr>
                <w:rFonts w:ascii="Times New Roman" w:hAnsi="Times New Roman" w:cs="Times New Roman" w:eastAsia="Times New Roman" w:hint="default"/>
                <w:sz w:val="13"/>
                <w:szCs w:val="13"/>
              </w:rPr>
            </w:pPr>
            <w:r>
              <w:rPr>
                <w:rFonts w:ascii="Times New Roman"/>
                <w:w w:val="95"/>
                <w:sz w:val="13"/>
              </w:rPr>
              <w:t>34,895,273</w:t>
            </w:r>
            <w:r>
              <w:rPr>
                <w:rFonts w:ascii="Times New Roman"/>
                <w:sz w:val="13"/>
              </w:rPr>
            </w:r>
          </w:p>
        </w:tc>
      </w:tr>
      <w:tr>
        <w:trPr>
          <w:trHeight w:val="384"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7" w:right="0"/>
              <w:jc w:val="left"/>
              <w:rPr>
                <w:rFonts w:ascii="宋体" w:hAnsi="宋体" w:cs="宋体" w:eastAsia="宋体" w:hint="default"/>
                <w:sz w:val="13"/>
                <w:szCs w:val="13"/>
              </w:rPr>
            </w:pPr>
            <w:r>
              <w:rPr>
                <w:rFonts w:ascii="宋体" w:hAnsi="宋体" w:cs="宋体" w:eastAsia="宋体" w:hint="default"/>
                <w:sz w:val="13"/>
                <w:szCs w:val="13"/>
              </w:rPr>
              <w:t>大连运筹科技有限公司</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7"/>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400,000</w:t>
            </w:r>
            <w:r>
              <w:rPr>
                <w:rFonts w:ascii="Times New Roman"/>
                <w:sz w:val="13"/>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25"/>
              <w:jc w:val="right"/>
              <w:rPr>
                <w:rFonts w:ascii="Times New Roman" w:hAnsi="Times New Roman" w:cs="Times New Roman" w:eastAsia="Times New Roman" w:hint="default"/>
                <w:sz w:val="13"/>
                <w:szCs w:val="13"/>
              </w:rPr>
            </w:pPr>
            <w:r>
              <w:rPr>
                <w:rFonts w:ascii="Times New Roman"/>
                <w:w w:val="95"/>
                <w:sz w:val="13"/>
              </w:rPr>
              <w:t>362,815</w:t>
            </w:r>
            <w:r>
              <w:rPr>
                <w:rFonts w:ascii="Times New Roman"/>
                <w:sz w:val="13"/>
              </w:rPr>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97"/>
              <w:jc w:val="right"/>
              <w:rPr>
                <w:rFonts w:ascii="Times New Roman" w:hAnsi="Times New Roman" w:cs="Times New Roman" w:eastAsia="Times New Roman" w:hint="default"/>
                <w:sz w:val="13"/>
                <w:szCs w:val="13"/>
              </w:rPr>
            </w:pPr>
            <w:r>
              <w:rPr>
                <w:rFonts w:ascii="Times New Roman"/>
                <w:w w:val="95"/>
                <w:sz w:val="13"/>
              </w:rPr>
              <w:t>-238,097</w:t>
            </w:r>
            <w:r>
              <w:rPr>
                <w:rFonts w:ascii="Times New Roman"/>
                <w:sz w:val="13"/>
              </w:rPr>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85"/>
              <w:jc w:val="right"/>
              <w:rPr>
                <w:rFonts w:ascii="Times New Roman" w:hAnsi="Times New Roman" w:cs="Times New Roman" w:eastAsia="Times New Roman" w:hint="default"/>
                <w:sz w:val="13"/>
                <w:szCs w:val="13"/>
              </w:rPr>
            </w:pPr>
            <w:r>
              <w:rPr>
                <w:rFonts w:ascii="Times New Roman"/>
                <w:w w:val="95"/>
                <w:sz w:val="13"/>
              </w:rPr>
              <w:t>124,718</w:t>
            </w:r>
            <w:r>
              <w:rPr>
                <w:rFonts w:ascii="Times New Roman"/>
                <w:sz w:val="13"/>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13"/>
              <w:jc w:val="right"/>
              <w:rPr>
                <w:rFonts w:ascii="Times New Roman" w:hAnsi="Times New Roman" w:cs="Times New Roman" w:eastAsia="Times New Roman" w:hint="default"/>
                <w:sz w:val="13"/>
                <w:szCs w:val="13"/>
              </w:rPr>
            </w:pPr>
            <w:r>
              <w:rPr>
                <w:rFonts w:ascii="Times New Roman"/>
                <w:w w:val="95"/>
                <w:sz w:val="13"/>
              </w:rPr>
              <w:t>13.75</w:t>
            </w:r>
            <w:r>
              <w:rPr>
                <w:rFonts w:ascii="Times New Roman"/>
                <w:sz w:val="13"/>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13.75</w:t>
            </w:r>
            <w:r>
              <w:rPr>
                <w:rFonts w:ascii="Times New Roman"/>
                <w:sz w:val="13"/>
              </w:rPr>
            </w: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
        </w:tc>
      </w:tr>
      <w:tr>
        <w:trPr>
          <w:trHeight w:val="473"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07" w:right="0"/>
              <w:jc w:val="left"/>
              <w:rPr>
                <w:rFonts w:ascii="宋体" w:hAnsi="宋体" w:cs="宋体" w:eastAsia="宋体" w:hint="default"/>
                <w:sz w:val="13"/>
                <w:szCs w:val="13"/>
              </w:rPr>
            </w:pPr>
            <w:r>
              <w:rPr>
                <w:rFonts w:ascii="宋体" w:hAnsi="宋体" w:cs="宋体" w:eastAsia="宋体" w:hint="default"/>
                <w:sz w:val="13"/>
                <w:szCs w:val="13"/>
              </w:rPr>
              <w:t>大连东软信息学院</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37"/>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336,022,775</w:t>
            </w:r>
            <w:r>
              <w:rPr>
                <w:rFonts w:ascii="Times New Roman"/>
                <w:sz w:val="13"/>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25"/>
              <w:jc w:val="right"/>
              <w:rPr>
                <w:rFonts w:ascii="Times New Roman" w:hAnsi="Times New Roman" w:cs="Times New Roman" w:eastAsia="Times New Roman" w:hint="default"/>
                <w:sz w:val="13"/>
                <w:szCs w:val="13"/>
              </w:rPr>
            </w:pPr>
            <w:r>
              <w:rPr>
                <w:rFonts w:ascii="Times New Roman"/>
                <w:w w:val="95"/>
                <w:sz w:val="13"/>
              </w:rPr>
              <w:t>336,022,775</w:t>
            </w:r>
            <w:r>
              <w:rPr>
                <w:rFonts w:ascii="Times New Roman"/>
                <w:sz w:val="13"/>
              </w:rPr>
            </w:r>
          </w:p>
        </w:tc>
        <w:tc>
          <w:tcPr>
            <w:tcW w:w="950"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85"/>
              <w:jc w:val="right"/>
              <w:rPr>
                <w:rFonts w:ascii="Times New Roman" w:hAnsi="Times New Roman" w:cs="Times New Roman" w:eastAsia="Times New Roman" w:hint="default"/>
                <w:sz w:val="13"/>
                <w:szCs w:val="13"/>
              </w:rPr>
            </w:pPr>
            <w:r>
              <w:rPr>
                <w:rFonts w:ascii="Times New Roman"/>
                <w:w w:val="95"/>
                <w:sz w:val="13"/>
              </w:rPr>
              <w:t>336,022,775</w:t>
            </w:r>
            <w:r>
              <w:rPr>
                <w:rFonts w:ascii="Times New Roman"/>
                <w:sz w:val="13"/>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13"/>
              <w:jc w:val="right"/>
              <w:rPr>
                <w:rFonts w:ascii="Times New Roman" w:hAnsi="Times New Roman" w:cs="Times New Roman" w:eastAsia="Times New Roman" w:hint="default"/>
                <w:sz w:val="13"/>
                <w:szCs w:val="13"/>
              </w:rPr>
            </w:pPr>
            <w:r>
              <w:rPr>
                <w:rFonts w:ascii="宋体" w:hAnsi="宋体" w:cs="宋体" w:eastAsia="宋体" w:hint="default"/>
                <w:sz w:val="13"/>
                <w:szCs w:val="13"/>
              </w:rPr>
              <w:t>直接</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1.74</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98.84</w:t>
            </w:r>
            <w:r>
              <w:rPr>
                <w:rFonts w:ascii="Times New Roman"/>
                <w:sz w:val="13"/>
              </w:rPr>
            </w: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
        </w:tc>
      </w:tr>
      <w:tr>
        <w:trPr>
          <w:trHeight w:val="286"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929"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Style w:val="TableParagraph"/>
              <w:spacing w:line="165" w:lineRule="exact"/>
              <w:ind w:right="113"/>
              <w:jc w:val="right"/>
              <w:rPr>
                <w:rFonts w:ascii="Times New Roman" w:hAnsi="Times New Roman" w:cs="Times New Roman" w:eastAsia="Times New Roman" w:hint="default"/>
                <w:sz w:val="13"/>
                <w:szCs w:val="13"/>
              </w:rPr>
            </w:pPr>
            <w:r>
              <w:rPr>
                <w:rFonts w:ascii="宋体" w:hAnsi="宋体" w:cs="宋体" w:eastAsia="宋体" w:hint="default"/>
                <w:sz w:val="13"/>
                <w:szCs w:val="13"/>
              </w:rPr>
              <w:t>间接</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97.10</w:t>
            </w:r>
          </w:p>
        </w:tc>
        <w:tc>
          <w:tcPr>
            <w:tcW w:w="1063"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
        </w:tc>
      </w:tr>
      <w:tr>
        <w:trPr>
          <w:trHeight w:val="385"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7" w:right="0"/>
              <w:jc w:val="left"/>
              <w:rPr>
                <w:rFonts w:ascii="宋体" w:hAnsi="宋体" w:cs="宋体" w:eastAsia="宋体" w:hint="default"/>
                <w:sz w:val="13"/>
                <w:szCs w:val="13"/>
              </w:rPr>
            </w:pPr>
            <w:r>
              <w:rPr>
                <w:rFonts w:ascii="宋体" w:hAnsi="宋体" w:cs="宋体" w:eastAsia="宋体" w:hint="default"/>
                <w:sz w:val="13"/>
                <w:szCs w:val="13"/>
              </w:rPr>
              <w:t>大连东软信息技术职业学院</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7"/>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3,600,000</w:t>
            </w:r>
            <w:r>
              <w:rPr>
                <w:rFonts w:ascii="Times New Roman"/>
                <w:sz w:val="13"/>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25"/>
              <w:jc w:val="right"/>
              <w:rPr>
                <w:rFonts w:ascii="Times New Roman" w:hAnsi="Times New Roman" w:cs="Times New Roman" w:eastAsia="Times New Roman" w:hint="default"/>
                <w:sz w:val="13"/>
                <w:szCs w:val="13"/>
              </w:rPr>
            </w:pPr>
            <w:r>
              <w:rPr>
                <w:rFonts w:ascii="Times New Roman"/>
                <w:w w:val="95"/>
                <w:sz w:val="13"/>
              </w:rPr>
              <w:t>3,600,000</w:t>
            </w:r>
            <w:r>
              <w:rPr>
                <w:rFonts w:ascii="Times New Roman"/>
                <w:sz w:val="13"/>
              </w:rPr>
            </w:r>
          </w:p>
        </w:tc>
        <w:tc>
          <w:tcPr>
            <w:tcW w:w="950"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85"/>
              <w:jc w:val="right"/>
              <w:rPr>
                <w:rFonts w:ascii="Times New Roman" w:hAnsi="Times New Roman" w:cs="Times New Roman" w:eastAsia="Times New Roman" w:hint="default"/>
                <w:sz w:val="13"/>
                <w:szCs w:val="13"/>
              </w:rPr>
            </w:pPr>
            <w:r>
              <w:rPr>
                <w:rFonts w:ascii="Times New Roman"/>
                <w:w w:val="95"/>
                <w:sz w:val="13"/>
              </w:rPr>
              <w:t>3,600,000</w:t>
            </w:r>
            <w:r>
              <w:rPr>
                <w:rFonts w:ascii="Times New Roman"/>
                <w:sz w:val="13"/>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13"/>
              <w:jc w:val="right"/>
              <w:rPr>
                <w:rFonts w:ascii="Times New Roman" w:hAnsi="Times New Roman" w:cs="Times New Roman" w:eastAsia="Times New Roman" w:hint="default"/>
                <w:sz w:val="13"/>
                <w:szCs w:val="13"/>
              </w:rPr>
            </w:pPr>
            <w:r>
              <w:rPr>
                <w:rFonts w:ascii="Times New Roman"/>
                <w:w w:val="95"/>
                <w:sz w:val="13"/>
              </w:rPr>
              <w:t>60.00</w:t>
            </w:r>
            <w:r>
              <w:rPr>
                <w:rFonts w:ascii="Times New Roman"/>
                <w:sz w:val="13"/>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60.00</w:t>
            </w:r>
            <w:r>
              <w:rPr>
                <w:rFonts w:ascii="Times New Roman"/>
                <w:sz w:val="13"/>
              </w:rPr>
            </w: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
        </w:tc>
      </w:tr>
      <w:tr>
        <w:trPr>
          <w:trHeight w:val="473"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07" w:right="0"/>
              <w:jc w:val="left"/>
              <w:rPr>
                <w:rFonts w:ascii="宋体" w:hAnsi="宋体" w:cs="宋体" w:eastAsia="宋体" w:hint="default"/>
                <w:sz w:val="13"/>
                <w:szCs w:val="13"/>
              </w:rPr>
            </w:pPr>
            <w:r>
              <w:rPr>
                <w:rFonts w:ascii="宋体" w:hAnsi="宋体" w:cs="宋体" w:eastAsia="宋体" w:hint="default"/>
                <w:sz w:val="13"/>
                <w:szCs w:val="13"/>
              </w:rPr>
              <w:t>成都东软信息技术职业学院</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37"/>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spacing w:val="-1"/>
                <w:sz w:val="13"/>
              </w:rPr>
              <w:t>15,118,334</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25"/>
              <w:jc w:val="right"/>
              <w:rPr>
                <w:rFonts w:ascii="Times New Roman" w:hAnsi="Times New Roman" w:cs="Times New Roman" w:eastAsia="Times New Roman" w:hint="default"/>
                <w:sz w:val="13"/>
                <w:szCs w:val="13"/>
              </w:rPr>
            </w:pPr>
            <w:r>
              <w:rPr>
                <w:rFonts w:ascii="Times New Roman"/>
                <w:spacing w:val="-1"/>
                <w:sz w:val="13"/>
              </w:rPr>
              <w:t>15,118,334</w:t>
            </w:r>
          </w:p>
        </w:tc>
        <w:tc>
          <w:tcPr>
            <w:tcW w:w="950"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85"/>
              <w:jc w:val="right"/>
              <w:rPr>
                <w:rFonts w:ascii="Times New Roman" w:hAnsi="Times New Roman" w:cs="Times New Roman" w:eastAsia="Times New Roman" w:hint="default"/>
                <w:sz w:val="13"/>
                <w:szCs w:val="13"/>
              </w:rPr>
            </w:pPr>
            <w:r>
              <w:rPr>
                <w:rFonts w:ascii="Times New Roman"/>
                <w:spacing w:val="-1"/>
                <w:sz w:val="13"/>
              </w:rPr>
              <w:t>15,118,334</w:t>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13"/>
              <w:jc w:val="right"/>
              <w:rPr>
                <w:rFonts w:ascii="Times New Roman" w:hAnsi="Times New Roman" w:cs="Times New Roman" w:eastAsia="Times New Roman" w:hint="default"/>
                <w:sz w:val="13"/>
                <w:szCs w:val="13"/>
              </w:rPr>
            </w:pPr>
            <w:r>
              <w:rPr>
                <w:rFonts w:ascii="宋体" w:hAnsi="宋体" w:cs="宋体" w:eastAsia="宋体" w:hint="default"/>
                <w:sz w:val="13"/>
                <w:szCs w:val="13"/>
              </w:rPr>
              <w:t>直接</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17.47</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88.35</w:t>
            </w:r>
            <w:r>
              <w:rPr>
                <w:rFonts w:ascii="Times New Roman"/>
                <w:sz w:val="13"/>
              </w:rPr>
            </w: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6,050,000</w:t>
            </w:r>
            <w:r>
              <w:rPr>
                <w:rFonts w:ascii="Times New Roman"/>
                <w:sz w:val="13"/>
              </w:rPr>
            </w:r>
          </w:p>
        </w:tc>
        <w:tc>
          <w:tcPr>
            <w:tcW w:w="883"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
        </w:tc>
      </w:tr>
      <w:tr>
        <w:trPr>
          <w:trHeight w:val="286"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929"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Style w:val="TableParagraph"/>
              <w:spacing w:line="165" w:lineRule="exact"/>
              <w:ind w:right="113"/>
              <w:jc w:val="right"/>
              <w:rPr>
                <w:rFonts w:ascii="Times New Roman" w:hAnsi="Times New Roman" w:cs="Times New Roman" w:eastAsia="Times New Roman" w:hint="default"/>
                <w:sz w:val="13"/>
                <w:szCs w:val="13"/>
              </w:rPr>
            </w:pPr>
            <w:r>
              <w:rPr>
                <w:rFonts w:ascii="宋体" w:hAnsi="宋体" w:cs="宋体" w:eastAsia="宋体" w:hint="default"/>
                <w:sz w:val="13"/>
                <w:szCs w:val="13"/>
              </w:rPr>
              <w:t>间接</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70.88</w:t>
            </w:r>
          </w:p>
        </w:tc>
        <w:tc>
          <w:tcPr>
            <w:tcW w:w="1063"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
        </w:tc>
      </w:tr>
      <w:tr>
        <w:trPr>
          <w:trHeight w:val="473"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107" w:right="0"/>
              <w:jc w:val="left"/>
              <w:rPr>
                <w:rFonts w:ascii="宋体" w:hAnsi="宋体" w:cs="宋体" w:eastAsia="宋体" w:hint="default"/>
                <w:sz w:val="13"/>
                <w:szCs w:val="13"/>
              </w:rPr>
            </w:pPr>
            <w:r>
              <w:rPr>
                <w:rFonts w:ascii="宋体" w:hAnsi="宋体" w:cs="宋体" w:eastAsia="宋体" w:hint="default"/>
                <w:sz w:val="13"/>
                <w:szCs w:val="13"/>
              </w:rPr>
              <w:t>南海东软信息技术职业学院</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right="137"/>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21,227,945</w:t>
            </w:r>
            <w:r>
              <w:rPr>
                <w:rFonts w:ascii="Times New Roman"/>
                <w:sz w:val="13"/>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25"/>
              <w:jc w:val="right"/>
              <w:rPr>
                <w:rFonts w:ascii="Times New Roman" w:hAnsi="Times New Roman" w:cs="Times New Roman" w:eastAsia="Times New Roman" w:hint="default"/>
                <w:sz w:val="13"/>
                <w:szCs w:val="13"/>
              </w:rPr>
            </w:pPr>
            <w:r>
              <w:rPr>
                <w:rFonts w:ascii="Times New Roman"/>
                <w:w w:val="95"/>
                <w:sz w:val="13"/>
              </w:rPr>
              <w:t>21,227,945</w:t>
            </w:r>
            <w:r>
              <w:rPr>
                <w:rFonts w:ascii="Times New Roman"/>
                <w:sz w:val="13"/>
              </w:rPr>
            </w:r>
          </w:p>
        </w:tc>
        <w:tc>
          <w:tcPr>
            <w:tcW w:w="950"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85"/>
              <w:jc w:val="right"/>
              <w:rPr>
                <w:rFonts w:ascii="Times New Roman" w:hAnsi="Times New Roman" w:cs="Times New Roman" w:eastAsia="Times New Roman" w:hint="default"/>
                <w:sz w:val="13"/>
                <w:szCs w:val="13"/>
              </w:rPr>
            </w:pPr>
            <w:r>
              <w:rPr>
                <w:rFonts w:ascii="Times New Roman"/>
                <w:w w:val="95"/>
                <w:sz w:val="13"/>
              </w:rPr>
              <w:t>21,227,945</w:t>
            </w:r>
            <w:r>
              <w:rPr>
                <w:rFonts w:ascii="Times New Roman"/>
                <w:sz w:val="13"/>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13"/>
              <w:jc w:val="right"/>
              <w:rPr>
                <w:rFonts w:ascii="Times New Roman" w:hAnsi="Times New Roman" w:cs="Times New Roman" w:eastAsia="Times New Roman" w:hint="default"/>
                <w:sz w:val="13"/>
                <w:szCs w:val="13"/>
              </w:rPr>
            </w:pPr>
            <w:r>
              <w:rPr>
                <w:rFonts w:ascii="宋体" w:hAnsi="宋体" w:cs="宋体" w:eastAsia="宋体" w:hint="default"/>
                <w:sz w:val="13"/>
                <w:szCs w:val="13"/>
              </w:rPr>
              <w:t>直接</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12.82</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91.45</w:t>
            </w:r>
            <w:r>
              <w:rPr>
                <w:rFonts w:ascii="Times New Roman"/>
                <w:sz w:val="13"/>
              </w:rPr>
            </w: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
        </w:tc>
      </w:tr>
      <w:tr>
        <w:trPr>
          <w:trHeight w:val="286"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929"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1070" w:type="dxa"/>
            <w:tcBorders>
              <w:top w:val="nil" w:sz="6" w:space="0" w:color="auto"/>
              <w:left w:val="nil" w:sz="6" w:space="0" w:color="auto"/>
              <w:bottom w:val="nil" w:sz="6" w:space="0" w:color="auto"/>
              <w:right w:val="nil" w:sz="6" w:space="0" w:color="auto"/>
            </w:tcBorders>
          </w:tcPr>
          <w:p>
            <w:pPr>
              <w:pStyle w:val="TableParagraph"/>
              <w:spacing w:line="165" w:lineRule="exact"/>
              <w:ind w:right="113"/>
              <w:jc w:val="right"/>
              <w:rPr>
                <w:rFonts w:ascii="Times New Roman" w:hAnsi="Times New Roman" w:cs="Times New Roman" w:eastAsia="Times New Roman" w:hint="default"/>
                <w:sz w:val="13"/>
                <w:szCs w:val="13"/>
              </w:rPr>
            </w:pPr>
            <w:r>
              <w:rPr>
                <w:rFonts w:ascii="宋体" w:hAnsi="宋体" w:cs="宋体" w:eastAsia="宋体" w:hint="default"/>
                <w:sz w:val="13"/>
                <w:szCs w:val="13"/>
              </w:rPr>
              <w:t>间接</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78.63</w:t>
            </w:r>
          </w:p>
        </w:tc>
        <w:tc>
          <w:tcPr>
            <w:tcW w:w="1063"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
        </w:tc>
      </w:tr>
      <w:tr>
        <w:trPr>
          <w:trHeight w:val="361" w:hRule="exact"/>
        </w:trPr>
        <w:tc>
          <w:tcPr>
            <w:tcW w:w="659" w:type="dxa"/>
            <w:tcBorders>
              <w:top w:val="nil" w:sz="6" w:space="0" w:color="auto"/>
              <w:left w:val="nil" w:sz="6" w:space="0" w:color="auto"/>
              <w:bottom w:val="nil" w:sz="6" w:space="0" w:color="auto"/>
              <w:right w:val="nil" w:sz="6" w:space="0" w:color="auto"/>
            </w:tcBorders>
          </w:tcPr>
          <w:p>
            <w:pPr/>
          </w:p>
        </w:tc>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7" w:right="0"/>
              <w:jc w:val="left"/>
              <w:rPr>
                <w:rFonts w:ascii="宋体" w:hAnsi="宋体" w:cs="宋体" w:eastAsia="宋体" w:hint="default"/>
                <w:sz w:val="13"/>
                <w:szCs w:val="13"/>
              </w:rPr>
            </w:pPr>
            <w:r>
              <w:rPr>
                <w:rFonts w:ascii="宋体" w:hAnsi="宋体" w:cs="宋体" w:eastAsia="宋体" w:hint="default"/>
                <w:sz w:val="13"/>
                <w:szCs w:val="13"/>
              </w:rPr>
              <w:t>大连东软信息服务有限公司</w:t>
            </w:r>
          </w:p>
        </w:tc>
        <w:tc>
          <w:tcPr>
            <w:tcW w:w="8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7"/>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1,877,722</w:t>
            </w:r>
            <w:r>
              <w:rPr>
                <w:rFonts w:ascii="Times New Roman"/>
                <w:sz w:val="13"/>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25"/>
              <w:jc w:val="right"/>
              <w:rPr>
                <w:rFonts w:ascii="Times New Roman" w:hAnsi="Times New Roman" w:cs="Times New Roman" w:eastAsia="Times New Roman" w:hint="default"/>
                <w:sz w:val="13"/>
                <w:szCs w:val="13"/>
              </w:rPr>
            </w:pPr>
            <w:r>
              <w:rPr>
                <w:rFonts w:ascii="Times New Roman"/>
                <w:w w:val="95"/>
                <w:sz w:val="13"/>
              </w:rPr>
              <w:t>1,877,722</w:t>
            </w:r>
            <w:r>
              <w:rPr>
                <w:rFonts w:ascii="Times New Roman"/>
                <w:sz w:val="13"/>
              </w:rPr>
            </w:r>
          </w:p>
        </w:tc>
        <w:tc>
          <w:tcPr>
            <w:tcW w:w="950"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85"/>
              <w:jc w:val="right"/>
              <w:rPr>
                <w:rFonts w:ascii="Times New Roman" w:hAnsi="Times New Roman" w:cs="Times New Roman" w:eastAsia="Times New Roman" w:hint="default"/>
                <w:sz w:val="13"/>
                <w:szCs w:val="13"/>
              </w:rPr>
            </w:pPr>
            <w:r>
              <w:rPr>
                <w:rFonts w:ascii="Times New Roman"/>
                <w:w w:val="95"/>
                <w:sz w:val="13"/>
              </w:rPr>
              <w:t>1,877,722</w:t>
            </w:r>
            <w:r>
              <w:rPr>
                <w:rFonts w:ascii="Times New Roman"/>
                <w:sz w:val="13"/>
              </w:rPr>
            </w:r>
          </w:p>
        </w:tc>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13"/>
              <w:jc w:val="right"/>
              <w:rPr>
                <w:rFonts w:ascii="Times New Roman" w:hAnsi="Times New Roman" w:cs="Times New Roman" w:eastAsia="Times New Roman" w:hint="default"/>
                <w:sz w:val="13"/>
                <w:szCs w:val="13"/>
              </w:rPr>
            </w:pPr>
            <w:r>
              <w:rPr>
                <w:rFonts w:ascii="Times New Roman"/>
                <w:w w:val="95"/>
                <w:sz w:val="13"/>
              </w:rPr>
              <w:t>10.00</w:t>
            </w:r>
            <w:r>
              <w:rPr>
                <w:rFonts w:ascii="Times New Roman"/>
                <w:sz w:val="13"/>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10.00</w:t>
            </w:r>
            <w:r>
              <w:rPr>
                <w:rFonts w:ascii="Times New Roman"/>
                <w:sz w:val="13"/>
              </w:rPr>
            </w:r>
          </w:p>
        </w:tc>
        <w:tc>
          <w:tcPr>
            <w:tcW w:w="1268"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
        </w:tc>
      </w:tr>
    </w:tbl>
    <w:p>
      <w:pPr>
        <w:spacing w:after="0"/>
        <w:sectPr>
          <w:pgSz w:w="16840" w:h="11900" w:orient="landscape"/>
          <w:pgMar w:header="883" w:footer="995" w:top="1600" w:bottom="1180" w:left="1280" w:right="6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2"/>
          <w:szCs w:val="12"/>
        </w:rPr>
      </w:pPr>
    </w:p>
    <w:tbl>
      <w:tblPr>
        <w:tblW w:w="0" w:type="auto"/>
        <w:jc w:val="left"/>
        <w:tblInd w:w="822" w:type="dxa"/>
        <w:tblLayout w:type="fixed"/>
        <w:tblCellMar>
          <w:top w:w="0" w:type="dxa"/>
          <w:left w:w="0" w:type="dxa"/>
          <w:bottom w:w="0" w:type="dxa"/>
          <w:right w:w="0" w:type="dxa"/>
        </w:tblCellMar>
        <w:tblLook w:val="01E0"/>
      </w:tblPr>
      <w:tblGrid>
        <w:gridCol w:w="2635"/>
        <w:gridCol w:w="1147"/>
        <w:gridCol w:w="1038"/>
        <w:gridCol w:w="982"/>
        <w:gridCol w:w="923"/>
        <w:gridCol w:w="1249"/>
        <w:gridCol w:w="1058"/>
        <w:gridCol w:w="840"/>
        <w:gridCol w:w="1174"/>
        <w:gridCol w:w="988"/>
        <w:gridCol w:w="941"/>
        <w:gridCol w:w="875"/>
      </w:tblGrid>
      <w:tr>
        <w:trPr>
          <w:trHeight w:val="281" w:hRule="exact"/>
        </w:trPr>
        <w:tc>
          <w:tcPr>
            <w:tcW w:w="9871" w:type="dxa"/>
            <w:gridSpan w:val="8"/>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153" w:lineRule="exact"/>
              <w:ind w:left="156" w:right="0"/>
              <w:jc w:val="left"/>
              <w:rPr>
                <w:rFonts w:ascii="宋体" w:hAnsi="宋体" w:cs="宋体" w:eastAsia="宋体" w:hint="default"/>
                <w:sz w:val="13"/>
                <w:szCs w:val="13"/>
              </w:rPr>
            </w:pPr>
            <w:r>
              <w:rPr>
                <w:rFonts w:ascii="宋体" w:hAnsi="宋体" w:cs="宋体" w:eastAsia="宋体" w:hint="default"/>
                <w:sz w:val="13"/>
                <w:szCs w:val="13"/>
              </w:rPr>
              <w:t>不一致的说明</w:t>
            </w:r>
          </w:p>
        </w:tc>
        <w:tc>
          <w:tcPr>
            <w:tcW w:w="988"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875" w:type="dxa"/>
            <w:vMerge w:val="restart"/>
            <w:tcBorders>
              <w:top w:val="nil" w:sz="6" w:space="0" w:color="auto"/>
              <w:left w:val="nil" w:sz="6" w:space="0" w:color="auto"/>
              <w:right w:val="nil" w:sz="6" w:space="0" w:color="auto"/>
            </w:tcBorders>
          </w:tcPr>
          <w:p>
            <w:pPr/>
          </w:p>
        </w:tc>
      </w:tr>
      <w:tr>
        <w:trPr>
          <w:trHeight w:val="388" w:hRule="exact"/>
        </w:trPr>
        <w:tc>
          <w:tcPr>
            <w:tcW w:w="2635"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13"/>
                <w:szCs w:val="13"/>
              </w:rPr>
            </w:pPr>
            <w:r>
              <w:rPr>
                <w:rFonts w:ascii="宋体" w:hAnsi="宋体" w:cs="宋体" w:eastAsia="宋体" w:hint="default"/>
                <w:sz w:val="13"/>
                <w:szCs w:val="13"/>
              </w:rPr>
              <w:t>大连东软教育服务有限公司</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3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0"/>
                <w:szCs w:val="10"/>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0"/>
                <w:szCs w:val="10"/>
              </w:rPr>
            </w:pPr>
          </w:p>
          <w:p>
            <w:pPr>
              <w:pStyle w:val="TableParagraph"/>
              <w:spacing w:line="240" w:lineRule="auto"/>
              <w:ind w:right="179"/>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923" w:type="dxa"/>
            <w:tcBorders>
              <w:top w:val="nil" w:sz="6" w:space="0" w:color="auto"/>
              <w:left w:val="nil" w:sz="6" w:space="0" w:color="auto"/>
              <w:bottom w:val="nil" w:sz="6" w:space="0" w:color="auto"/>
              <w:right w:val="nil" w:sz="6" w:space="0" w:color="auto"/>
            </w:tcBorders>
          </w:tcPr>
          <w:p>
            <w:pP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0"/>
                <w:szCs w:val="10"/>
              </w:rPr>
            </w:pPr>
          </w:p>
          <w:p>
            <w:pPr>
              <w:pStyle w:val="TableParagraph"/>
              <w:spacing w:line="240" w:lineRule="auto"/>
              <w:ind w:right="373"/>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0"/>
                <w:szCs w:val="10"/>
              </w:rPr>
            </w:pPr>
          </w:p>
          <w:p>
            <w:pPr>
              <w:pStyle w:val="TableParagraph"/>
              <w:spacing w:line="240" w:lineRule="auto"/>
              <w:ind w:right="389"/>
              <w:jc w:val="right"/>
              <w:rPr>
                <w:rFonts w:ascii="Times New Roman" w:hAnsi="Times New Roman" w:cs="Times New Roman" w:eastAsia="Times New Roman" w:hint="default"/>
                <w:sz w:val="13"/>
                <w:szCs w:val="13"/>
              </w:rPr>
            </w:pPr>
            <w:r>
              <w:rPr>
                <w:rFonts w:ascii="Times New Roman"/>
                <w:w w:val="95"/>
                <w:sz w:val="13"/>
              </w:rPr>
              <w:t>10.00</w:t>
            </w:r>
            <w:r>
              <w:rPr>
                <w:rFonts w:ascii="Times New Roman"/>
                <w:sz w:val="13"/>
              </w:rPr>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0"/>
                <w:szCs w:val="10"/>
              </w:rPr>
            </w:pPr>
          </w:p>
          <w:p>
            <w:pPr>
              <w:pStyle w:val="TableParagraph"/>
              <w:spacing w:line="240" w:lineRule="auto"/>
              <w:ind w:right="154"/>
              <w:jc w:val="right"/>
              <w:rPr>
                <w:rFonts w:ascii="Times New Roman" w:hAnsi="Times New Roman" w:cs="Times New Roman" w:eastAsia="Times New Roman" w:hint="default"/>
                <w:sz w:val="13"/>
                <w:szCs w:val="13"/>
              </w:rPr>
            </w:pPr>
            <w:r>
              <w:rPr>
                <w:rFonts w:ascii="Times New Roman"/>
                <w:w w:val="95"/>
                <w:sz w:val="13"/>
              </w:rPr>
              <w:t>10.00</w:t>
            </w:r>
            <w:r>
              <w:rPr>
                <w:rFonts w:ascii="Times New Roman"/>
                <w:sz w:val="13"/>
              </w:rPr>
            </w:r>
          </w:p>
        </w:tc>
        <w:tc>
          <w:tcPr>
            <w:tcW w:w="1174" w:type="dxa"/>
            <w:tcBorders>
              <w:top w:val="nil" w:sz="6" w:space="0" w:color="auto"/>
              <w:left w:val="nil" w:sz="6" w:space="0" w:color="auto"/>
              <w:bottom w:val="nil" w:sz="6" w:space="0" w:color="auto"/>
              <w:right w:val="nil" w:sz="6" w:space="0" w:color="auto"/>
            </w:tcBorders>
          </w:tcPr>
          <w:p>
            <w:pPr/>
          </w:p>
        </w:tc>
        <w:tc>
          <w:tcPr>
            <w:tcW w:w="98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0"/>
                <w:szCs w:val="10"/>
              </w:rPr>
            </w:pPr>
          </w:p>
          <w:p>
            <w:pPr>
              <w:pStyle w:val="TableParagraph"/>
              <w:spacing w:line="240" w:lineRule="auto"/>
              <w:ind w:right="164"/>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
        </w:tc>
        <w:tc>
          <w:tcPr>
            <w:tcW w:w="875" w:type="dxa"/>
            <w:vMerge/>
            <w:tcBorders>
              <w:left w:val="nil" w:sz="6" w:space="0" w:color="auto"/>
              <w:right w:val="nil" w:sz="6" w:space="0" w:color="auto"/>
            </w:tcBorders>
          </w:tcPr>
          <w:p>
            <w:pPr/>
          </w:p>
        </w:tc>
      </w:tr>
      <w:tr>
        <w:trPr>
          <w:trHeight w:val="385" w:hRule="exact"/>
        </w:trPr>
        <w:tc>
          <w:tcPr>
            <w:tcW w:w="263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天津东泰发展有限公司</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256,000</w:t>
            </w:r>
            <w:r>
              <w:rPr>
                <w:rFonts w:ascii="Times New Roman"/>
                <w:sz w:val="13"/>
              </w:rPr>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79"/>
              <w:jc w:val="right"/>
              <w:rPr>
                <w:rFonts w:ascii="Times New Roman" w:hAnsi="Times New Roman" w:cs="Times New Roman" w:eastAsia="Times New Roman" w:hint="default"/>
                <w:sz w:val="13"/>
                <w:szCs w:val="13"/>
              </w:rPr>
            </w:pPr>
            <w:r>
              <w:rPr>
                <w:rFonts w:ascii="Times New Roman"/>
                <w:w w:val="95"/>
                <w:sz w:val="13"/>
              </w:rPr>
              <w:t>256,000</w:t>
            </w:r>
            <w:r>
              <w:rPr>
                <w:rFonts w:ascii="Times New Roman"/>
                <w:sz w:val="13"/>
              </w:rPr>
            </w:r>
          </w:p>
        </w:tc>
        <w:tc>
          <w:tcPr>
            <w:tcW w:w="923" w:type="dxa"/>
            <w:tcBorders>
              <w:top w:val="nil" w:sz="6" w:space="0" w:color="auto"/>
              <w:left w:val="nil" w:sz="6" w:space="0" w:color="auto"/>
              <w:bottom w:val="nil" w:sz="6" w:space="0" w:color="auto"/>
              <w:right w:val="nil" w:sz="6" w:space="0" w:color="auto"/>
            </w:tcBorders>
          </w:tcPr>
          <w:p>
            <w:pP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373"/>
              <w:jc w:val="right"/>
              <w:rPr>
                <w:rFonts w:ascii="Times New Roman" w:hAnsi="Times New Roman" w:cs="Times New Roman" w:eastAsia="Times New Roman" w:hint="default"/>
                <w:sz w:val="13"/>
                <w:szCs w:val="13"/>
              </w:rPr>
            </w:pPr>
            <w:r>
              <w:rPr>
                <w:rFonts w:ascii="Times New Roman"/>
                <w:w w:val="95"/>
                <w:sz w:val="13"/>
              </w:rPr>
              <w:t>256,000</w:t>
            </w:r>
            <w:r>
              <w:rPr>
                <w:rFonts w:ascii="Times New Roman"/>
                <w:sz w:val="13"/>
              </w:rPr>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389"/>
              <w:jc w:val="right"/>
              <w:rPr>
                <w:rFonts w:ascii="Times New Roman" w:hAnsi="Times New Roman" w:cs="Times New Roman" w:eastAsia="Times New Roman" w:hint="default"/>
                <w:sz w:val="13"/>
                <w:szCs w:val="13"/>
              </w:rPr>
            </w:pPr>
            <w:r>
              <w:rPr>
                <w:rFonts w:ascii="Times New Roman"/>
                <w:w w:val="95"/>
                <w:sz w:val="13"/>
              </w:rPr>
              <w:t>8.00</w:t>
            </w:r>
            <w:r>
              <w:rPr>
                <w:rFonts w:ascii="Times New Roman"/>
                <w:sz w:val="13"/>
              </w:rPr>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54"/>
              <w:jc w:val="right"/>
              <w:rPr>
                <w:rFonts w:ascii="Times New Roman" w:hAnsi="Times New Roman" w:cs="Times New Roman" w:eastAsia="Times New Roman" w:hint="default"/>
                <w:sz w:val="13"/>
                <w:szCs w:val="13"/>
              </w:rPr>
            </w:pPr>
            <w:r>
              <w:rPr>
                <w:rFonts w:ascii="Times New Roman"/>
                <w:w w:val="95"/>
                <w:sz w:val="13"/>
              </w:rPr>
              <w:t>8.00</w:t>
            </w:r>
            <w:r>
              <w:rPr>
                <w:rFonts w:ascii="Times New Roman"/>
                <w:sz w:val="13"/>
              </w:rPr>
            </w:r>
          </w:p>
        </w:tc>
        <w:tc>
          <w:tcPr>
            <w:tcW w:w="1174" w:type="dxa"/>
            <w:tcBorders>
              <w:top w:val="nil" w:sz="6" w:space="0" w:color="auto"/>
              <w:left w:val="nil" w:sz="6" w:space="0" w:color="auto"/>
              <w:bottom w:val="nil" w:sz="6" w:space="0" w:color="auto"/>
              <w:right w:val="nil" w:sz="6" w:space="0" w:color="auto"/>
            </w:tcBorders>
          </w:tcPr>
          <w:p>
            <w:pPr/>
          </w:p>
        </w:tc>
        <w:tc>
          <w:tcPr>
            <w:tcW w:w="988"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875" w:type="dxa"/>
            <w:vMerge/>
            <w:tcBorders>
              <w:left w:val="nil" w:sz="6" w:space="0" w:color="auto"/>
              <w:right w:val="nil" w:sz="6" w:space="0" w:color="auto"/>
            </w:tcBorders>
          </w:tcPr>
          <w:p>
            <w:pPr/>
          </w:p>
        </w:tc>
      </w:tr>
      <w:tr>
        <w:trPr>
          <w:trHeight w:val="385" w:hRule="exact"/>
        </w:trPr>
        <w:tc>
          <w:tcPr>
            <w:tcW w:w="263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北京华大信安科技有限公司</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150,000</w:t>
            </w:r>
            <w:r>
              <w:rPr>
                <w:rFonts w:ascii="Times New Roman"/>
                <w:sz w:val="13"/>
              </w:rPr>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79"/>
              <w:jc w:val="right"/>
              <w:rPr>
                <w:rFonts w:ascii="Times New Roman" w:hAnsi="Times New Roman" w:cs="Times New Roman" w:eastAsia="Times New Roman" w:hint="default"/>
                <w:sz w:val="13"/>
                <w:szCs w:val="13"/>
              </w:rPr>
            </w:pPr>
            <w:r>
              <w:rPr>
                <w:rFonts w:ascii="Times New Roman"/>
                <w:w w:val="95"/>
                <w:sz w:val="13"/>
              </w:rPr>
              <w:t>150,000</w:t>
            </w:r>
            <w:r>
              <w:rPr>
                <w:rFonts w:ascii="Times New Roman"/>
                <w:sz w:val="13"/>
              </w:rPr>
            </w:r>
          </w:p>
        </w:tc>
        <w:tc>
          <w:tcPr>
            <w:tcW w:w="923" w:type="dxa"/>
            <w:tcBorders>
              <w:top w:val="nil" w:sz="6" w:space="0" w:color="auto"/>
              <w:left w:val="nil" w:sz="6" w:space="0" w:color="auto"/>
              <w:bottom w:val="nil" w:sz="6" w:space="0" w:color="auto"/>
              <w:right w:val="nil" w:sz="6" w:space="0" w:color="auto"/>
            </w:tcBorders>
          </w:tcPr>
          <w:p>
            <w:pP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373"/>
              <w:jc w:val="right"/>
              <w:rPr>
                <w:rFonts w:ascii="Times New Roman" w:hAnsi="Times New Roman" w:cs="Times New Roman" w:eastAsia="Times New Roman" w:hint="default"/>
                <w:sz w:val="13"/>
                <w:szCs w:val="13"/>
              </w:rPr>
            </w:pPr>
            <w:r>
              <w:rPr>
                <w:rFonts w:ascii="Times New Roman"/>
                <w:w w:val="95"/>
                <w:sz w:val="13"/>
              </w:rPr>
              <w:t>150,000</w:t>
            </w:r>
            <w:r>
              <w:rPr>
                <w:rFonts w:ascii="Times New Roman"/>
                <w:sz w:val="13"/>
              </w:rPr>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389"/>
              <w:jc w:val="right"/>
              <w:rPr>
                <w:rFonts w:ascii="Times New Roman" w:hAnsi="Times New Roman" w:cs="Times New Roman" w:eastAsia="Times New Roman" w:hint="default"/>
                <w:sz w:val="13"/>
                <w:szCs w:val="13"/>
              </w:rPr>
            </w:pPr>
            <w:r>
              <w:rPr>
                <w:rFonts w:ascii="Times New Roman"/>
                <w:w w:val="95"/>
                <w:sz w:val="13"/>
              </w:rPr>
              <w:t>0.90</w:t>
            </w:r>
            <w:r>
              <w:rPr>
                <w:rFonts w:ascii="Times New Roman"/>
                <w:sz w:val="13"/>
              </w:rPr>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54"/>
              <w:jc w:val="right"/>
              <w:rPr>
                <w:rFonts w:ascii="Times New Roman" w:hAnsi="Times New Roman" w:cs="Times New Roman" w:eastAsia="Times New Roman" w:hint="default"/>
                <w:sz w:val="13"/>
                <w:szCs w:val="13"/>
              </w:rPr>
            </w:pPr>
            <w:r>
              <w:rPr>
                <w:rFonts w:ascii="Times New Roman"/>
                <w:w w:val="95"/>
                <w:sz w:val="13"/>
              </w:rPr>
              <w:t>0.90</w:t>
            </w:r>
            <w:r>
              <w:rPr>
                <w:rFonts w:ascii="Times New Roman"/>
                <w:sz w:val="13"/>
              </w:rPr>
            </w:r>
          </w:p>
        </w:tc>
        <w:tc>
          <w:tcPr>
            <w:tcW w:w="1174" w:type="dxa"/>
            <w:tcBorders>
              <w:top w:val="nil" w:sz="6" w:space="0" w:color="auto"/>
              <w:left w:val="nil" w:sz="6" w:space="0" w:color="auto"/>
              <w:bottom w:val="nil" w:sz="6" w:space="0" w:color="auto"/>
              <w:right w:val="nil" w:sz="6" w:space="0" w:color="auto"/>
            </w:tcBorders>
          </w:tcPr>
          <w:p>
            <w:pPr/>
          </w:p>
        </w:tc>
        <w:tc>
          <w:tcPr>
            <w:tcW w:w="988"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875" w:type="dxa"/>
            <w:vMerge/>
            <w:tcBorders>
              <w:left w:val="nil" w:sz="6" w:space="0" w:color="auto"/>
              <w:right w:val="nil" w:sz="6" w:space="0" w:color="auto"/>
            </w:tcBorders>
          </w:tcPr>
          <w:p>
            <w:pPr/>
          </w:p>
        </w:tc>
      </w:tr>
      <w:tr>
        <w:trPr>
          <w:trHeight w:val="384" w:hRule="exact"/>
        </w:trPr>
        <w:tc>
          <w:tcPr>
            <w:tcW w:w="263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北京共创开源软件有限公司</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770,000</w:t>
            </w:r>
            <w:r>
              <w:rPr>
                <w:rFonts w:ascii="Times New Roman"/>
                <w:sz w:val="13"/>
              </w:rPr>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79"/>
              <w:jc w:val="right"/>
              <w:rPr>
                <w:rFonts w:ascii="Times New Roman" w:hAnsi="Times New Roman" w:cs="Times New Roman" w:eastAsia="Times New Roman" w:hint="default"/>
                <w:sz w:val="13"/>
                <w:szCs w:val="13"/>
              </w:rPr>
            </w:pPr>
            <w:r>
              <w:rPr>
                <w:rFonts w:ascii="Times New Roman"/>
                <w:w w:val="95"/>
                <w:sz w:val="13"/>
              </w:rPr>
              <w:t>770,000</w:t>
            </w:r>
            <w:r>
              <w:rPr>
                <w:rFonts w:ascii="Times New Roman"/>
                <w:sz w:val="13"/>
              </w:rPr>
            </w:r>
          </w:p>
        </w:tc>
        <w:tc>
          <w:tcPr>
            <w:tcW w:w="923" w:type="dxa"/>
            <w:tcBorders>
              <w:top w:val="nil" w:sz="6" w:space="0" w:color="auto"/>
              <w:left w:val="nil" w:sz="6" w:space="0" w:color="auto"/>
              <w:bottom w:val="nil" w:sz="6" w:space="0" w:color="auto"/>
              <w:right w:val="nil" w:sz="6" w:space="0" w:color="auto"/>
            </w:tcBorders>
          </w:tcPr>
          <w:p>
            <w:pP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373"/>
              <w:jc w:val="right"/>
              <w:rPr>
                <w:rFonts w:ascii="Times New Roman" w:hAnsi="Times New Roman" w:cs="Times New Roman" w:eastAsia="Times New Roman" w:hint="default"/>
                <w:sz w:val="13"/>
                <w:szCs w:val="13"/>
              </w:rPr>
            </w:pPr>
            <w:r>
              <w:rPr>
                <w:rFonts w:ascii="Times New Roman"/>
                <w:w w:val="95"/>
                <w:sz w:val="13"/>
              </w:rPr>
              <w:t>770,000</w:t>
            </w:r>
            <w:r>
              <w:rPr>
                <w:rFonts w:ascii="Times New Roman"/>
                <w:sz w:val="13"/>
              </w:rPr>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389"/>
              <w:jc w:val="right"/>
              <w:rPr>
                <w:rFonts w:ascii="Times New Roman" w:hAnsi="Times New Roman" w:cs="Times New Roman" w:eastAsia="Times New Roman" w:hint="default"/>
                <w:sz w:val="13"/>
                <w:szCs w:val="13"/>
              </w:rPr>
            </w:pPr>
            <w:r>
              <w:rPr>
                <w:rFonts w:ascii="Times New Roman"/>
                <w:w w:val="95"/>
                <w:sz w:val="13"/>
              </w:rPr>
              <w:t>6.29</w:t>
            </w:r>
            <w:r>
              <w:rPr>
                <w:rFonts w:ascii="Times New Roman"/>
                <w:sz w:val="13"/>
              </w:rPr>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54"/>
              <w:jc w:val="right"/>
              <w:rPr>
                <w:rFonts w:ascii="Times New Roman" w:hAnsi="Times New Roman" w:cs="Times New Roman" w:eastAsia="Times New Roman" w:hint="default"/>
                <w:sz w:val="13"/>
                <w:szCs w:val="13"/>
              </w:rPr>
            </w:pPr>
            <w:r>
              <w:rPr>
                <w:rFonts w:ascii="Times New Roman"/>
                <w:w w:val="95"/>
                <w:sz w:val="13"/>
              </w:rPr>
              <w:t>6.29</w:t>
            </w:r>
            <w:r>
              <w:rPr>
                <w:rFonts w:ascii="Times New Roman"/>
                <w:sz w:val="13"/>
              </w:rPr>
            </w:r>
          </w:p>
        </w:tc>
        <w:tc>
          <w:tcPr>
            <w:tcW w:w="1174" w:type="dxa"/>
            <w:tcBorders>
              <w:top w:val="nil" w:sz="6" w:space="0" w:color="auto"/>
              <w:left w:val="nil" w:sz="6" w:space="0" w:color="auto"/>
              <w:bottom w:val="nil" w:sz="6" w:space="0" w:color="auto"/>
              <w:right w:val="nil" w:sz="6" w:space="0" w:color="auto"/>
            </w:tcBorders>
          </w:tcPr>
          <w:p>
            <w:pPr/>
          </w:p>
        </w:tc>
        <w:tc>
          <w:tcPr>
            <w:tcW w:w="9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64"/>
              <w:jc w:val="right"/>
              <w:rPr>
                <w:rFonts w:ascii="Times New Roman" w:hAnsi="Times New Roman" w:cs="Times New Roman" w:eastAsia="Times New Roman" w:hint="default"/>
                <w:sz w:val="13"/>
                <w:szCs w:val="13"/>
              </w:rPr>
            </w:pPr>
            <w:r>
              <w:rPr>
                <w:rFonts w:ascii="Times New Roman"/>
                <w:w w:val="95"/>
                <w:sz w:val="13"/>
              </w:rPr>
              <w:t>770,000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
        </w:tc>
        <w:tc>
          <w:tcPr>
            <w:tcW w:w="875" w:type="dxa"/>
            <w:vMerge/>
            <w:tcBorders>
              <w:left w:val="nil" w:sz="6" w:space="0" w:color="auto"/>
              <w:right w:val="nil" w:sz="6" w:space="0" w:color="auto"/>
            </w:tcBorders>
          </w:tcPr>
          <w:p>
            <w:pPr/>
          </w:p>
        </w:tc>
      </w:tr>
      <w:tr>
        <w:trPr>
          <w:trHeight w:val="385" w:hRule="exact"/>
        </w:trPr>
        <w:tc>
          <w:tcPr>
            <w:tcW w:w="263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北京首发信安数据系统科技有限公司</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3,350,000</w:t>
            </w:r>
            <w:r>
              <w:rPr>
                <w:rFonts w:ascii="Times New Roman"/>
                <w:sz w:val="13"/>
              </w:rPr>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78"/>
              <w:jc w:val="right"/>
              <w:rPr>
                <w:rFonts w:ascii="Times New Roman" w:hAnsi="Times New Roman" w:cs="Times New Roman" w:eastAsia="Times New Roman" w:hint="default"/>
                <w:sz w:val="13"/>
                <w:szCs w:val="13"/>
              </w:rPr>
            </w:pPr>
            <w:r>
              <w:rPr>
                <w:rFonts w:ascii="Times New Roman"/>
                <w:w w:val="95"/>
                <w:sz w:val="13"/>
              </w:rPr>
              <w:t>3,350,000</w:t>
            </w:r>
            <w:r>
              <w:rPr>
                <w:rFonts w:ascii="Times New Roman"/>
                <w:sz w:val="13"/>
              </w:rPr>
            </w:r>
          </w:p>
        </w:tc>
        <w:tc>
          <w:tcPr>
            <w:tcW w:w="923" w:type="dxa"/>
            <w:tcBorders>
              <w:top w:val="nil" w:sz="6" w:space="0" w:color="auto"/>
              <w:left w:val="nil" w:sz="6" w:space="0" w:color="auto"/>
              <w:bottom w:val="nil" w:sz="6" w:space="0" w:color="auto"/>
              <w:right w:val="nil" w:sz="6" w:space="0" w:color="auto"/>
            </w:tcBorders>
          </w:tcPr>
          <w:p>
            <w:pP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373"/>
              <w:jc w:val="right"/>
              <w:rPr>
                <w:rFonts w:ascii="Times New Roman" w:hAnsi="Times New Roman" w:cs="Times New Roman" w:eastAsia="Times New Roman" w:hint="default"/>
                <w:sz w:val="13"/>
                <w:szCs w:val="13"/>
              </w:rPr>
            </w:pPr>
            <w:r>
              <w:rPr>
                <w:rFonts w:ascii="Times New Roman"/>
                <w:w w:val="95"/>
                <w:sz w:val="13"/>
              </w:rPr>
              <w:t>3,350,000</w:t>
            </w:r>
            <w:r>
              <w:rPr>
                <w:rFonts w:ascii="Times New Roman"/>
                <w:sz w:val="13"/>
              </w:rPr>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389"/>
              <w:jc w:val="right"/>
              <w:rPr>
                <w:rFonts w:ascii="Times New Roman" w:hAnsi="Times New Roman" w:cs="Times New Roman" w:eastAsia="Times New Roman" w:hint="default"/>
                <w:sz w:val="13"/>
                <w:szCs w:val="13"/>
              </w:rPr>
            </w:pPr>
            <w:r>
              <w:rPr>
                <w:rFonts w:ascii="Times New Roman"/>
                <w:w w:val="95"/>
                <w:sz w:val="13"/>
              </w:rPr>
              <w:t>8.86</w:t>
            </w:r>
            <w:r>
              <w:rPr>
                <w:rFonts w:ascii="Times New Roman"/>
                <w:sz w:val="13"/>
              </w:rPr>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54"/>
              <w:jc w:val="right"/>
              <w:rPr>
                <w:rFonts w:ascii="Times New Roman" w:hAnsi="Times New Roman" w:cs="Times New Roman" w:eastAsia="Times New Roman" w:hint="default"/>
                <w:sz w:val="13"/>
                <w:szCs w:val="13"/>
              </w:rPr>
            </w:pPr>
            <w:r>
              <w:rPr>
                <w:rFonts w:ascii="Times New Roman"/>
                <w:w w:val="95"/>
                <w:sz w:val="13"/>
              </w:rPr>
              <w:t>8.86</w:t>
            </w:r>
            <w:r>
              <w:rPr>
                <w:rFonts w:ascii="Times New Roman"/>
                <w:sz w:val="13"/>
              </w:rPr>
            </w:r>
          </w:p>
        </w:tc>
        <w:tc>
          <w:tcPr>
            <w:tcW w:w="1174" w:type="dxa"/>
            <w:tcBorders>
              <w:top w:val="nil" w:sz="6" w:space="0" w:color="auto"/>
              <w:left w:val="nil" w:sz="6" w:space="0" w:color="auto"/>
              <w:bottom w:val="nil" w:sz="6" w:space="0" w:color="auto"/>
              <w:right w:val="nil" w:sz="6" w:space="0" w:color="auto"/>
            </w:tcBorders>
          </w:tcPr>
          <w:p>
            <w:pPr/>
          </w:p>
        </w:tc>
        <w:tc>
          <w:tcPr>
            <w:tcW w:w="988"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875" w:type="dxa"/>
            <w:vMerge/>
            <w:tcBorders>
              <w:left w:val="nil" w:sz="6" w:space="0" w:color="auto"/>
              <w:right w:val="nil" w:sz="6" w:space="0" w:color="auto"/>
            </w:tcBorders>
          </w:tcPr>
          <w:p>
            <w:pPr/>
          </w:p>
        </w:tc>
      </w:tr>
      <w:tr>
        <w:trPr>
          <w:trHeight w:val="385" w:hRule="exact"/>
        </w:trPr>
        <w:tc>
          <w:tcPr>
            <w:tcW w:w="263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大连熙霖信息技术有限公司</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160,000</w:t>
            </w:r>
            <w:r>
              <w:rPr>
                <w:rFonts w:ascii="Times New Roman"/>
                <w:sz w:val="13"/>
              </w:rPr>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79"/>
              <w:jc w:val="right"/>
              <w:rPr>
                <w:rFonts w:ascii="Times New Roman" w:hAnsi="Times New Roman" w:cs="Times New Roman" w:eastAsia="Times New Roman" w:hint="default"/>
                <w:sz w:val="13"/>
                <w:szCs w:val="13"/>
              </w:rPr>
            </w:pPr>
            <w:r>
              <w:rPr>
                <w:rFonts w:ascii="Times New Roman"/>
                <w:w w:val="95"/>
                <w:sz w:val="13"/>
              </w:rPr>
              <w:t>160,000</w:t>
            </w:r>
            <w:r>
              <w:rPr>
                <w:rFonts w:ascii="Times New Roman"/>
                <w:sz w:val="13"/>
              </w:rPr>
            </w:r>
          </w:p>
        </w:tc>
        <w:tc>
          <w:tcPr>
            <w:tcW w:w="92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left="233" w:right="0"/>
              <w:jc w:val="left"/>
              <w:rPr>
                <w:rFonts w:ascii="Times New Roman" w:hAnsi="Times New Roman" w:cs="Times New Roman" w:eastAsia="Times New Roman" w:hint="default"/>
                <w:sz w:val="13"/>
                <w:szCs w:val="13"/>
              </w:rPr>
            </w:pPr>
            <w:r>
              <w:rPr>
                <w:rFonts w:ascii="Times New Roman"/>
                <w:sz w:val="13"/>
              </w:rPr>
              <w:t>-160,000</w:t>
            </w:r>
          </w:p>
        </w:tc>
        <w:tc>
          <w:tcPr>
            <w:tcW w:w="1249" w:type="dxa"/>
            <w:tcBorders>
              <w:top w:val="nil" w:sz="6" w:space="0" w:color="auto"/>
              <w:left w:val="nil" w:sz="6" w:space="0" w:color="auto"/>
              <w:bottom w:val="nil" w:sz="6" w:space="0" w:color="auto"/>
              <w:right w:val="nil" w:sz="6" w:space="0" w:color="auto"/>
            </w:tcBorders>
          </w:tcPr>
          <w:p>
            <w:pPr/>
          </w:p>
        </w:tc>
        <w:tc>
          <w:tcPr>
            <w:tcW w:w="1058" w:type="dxa"/>
            <w:tcBorders>
              <w:top w:val="nil" w:sz="6" w:space="0" w:color="auto"/>
              <w:left w:val="nil" w:sz="6" w:space="0" w:color="auto"/>
              <w:bottom w:val="nil" w:sz="6" w:space="0" w:color="auto"/>
              <w:right w:val="nil" w:sz="6" w:space="0" w:color="auto"/>
            </w:tcBorders>
          </w:tcPr>
          <w:p>
            <w:pPr/>
          </w:p>
        </w:tc>
        <w:tc>
          <w:tcPr>
            <w:tcW w:w="840"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988"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875" w:type="dxa"/>
            <w:vMerge/>
            <w:tcBorders>
              <w:left w:val="nil" w:sz="6" w:space="0" w:color="auto"/>
              <w:right w:val="nil" w:sz="6" w:space="0" w:color="auto"/>
            </w:tcBorders>
          </w:tcPr>
          <w:p>
            <w:pPr/>
          </w:p>
        </w:tc>
      </w:tr>
      <w:tr>
        <w:trPr>
          <w:trHeight w:val="384" w:hRule="exact"/>
        </w:trPr>
        <w:tc>
          <w:tcPr>
            <w:tcW w:w="263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东众通信技术有限公司</w:t>
            </w:r>
            <w:r>
              <w:rPr>
                <w:rFonts w:ascii="宋体" w:hAnsi="宋体" w:cs="宋体" w:eastAsia="宋体" w:hint="default"/>
                <w:spacing w:val="-4"/>
                <w:sz w:val="13"/>
                <w:szCs w:val="13"/>
              </w:rPr>
              <w:t> </w:t>
            </w:r>
            <w:r>
              <w:rPr>
                <w:rFonts w:ascii="宋体" w:hAnsi="宋体" w:cs="宋体" w:eastAsia="宋体" w:hint="default"/>
                <w:sz w:val="13"/>
                <w:szCs w:val="13"/>
              </w:rPr>
              <w:t>（</w:t>
            </w:r>
            <w:r>
              <w:rPr>
                <w:rFonts w:ascii="Times New Roman" w:hAnsi="Times New Roman" w:cs="Times New Roman" w:eastAsia="Times New Roman" w:hint="default"/>
                <w:sz w:val="13"/>
                <w:szCs w:val="13"/>
              </w:rPr>
              <w:t>1</w:t>
            </w:r>
            <w:r>
              <w:rPr>
                <w:rFonts w:ascii="宋体" w:hAnsi="宋体" w:cs="宋体" w:eastAsia="宋体" w:hint="default"/>
                <w:sz w:val="13"/>
                <w:szCs w:val="13"/>
              </w:rPr>
              <w:t>）</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79"/>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923" w:type="dxa"/>
            <w:tcBorders>
              <w:top w:val="nil" w:sz="6" w:space="0" w:color="auto"/>
              <w:left w:val="nil" w:sz="6" w:space="0" w:color="auto"/>
              <w:bottom w:val="nil" w:sz="6" w:space="0" w:color="auto"/>
              <w:right w:val="nil" w:sz="6" w:space="0" w:color="auto"/>
            </w:tcBorders>
          </w:tcPr>
          <w:p>
            <w:pP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373"/>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389"/>
              <w:jc w:val="right"/>
              <w:rPr>
                <w:rFonts w:ascii="Times New Roman" w:hAnsi="Times New Roman" w:cs="Times New Roman" w:eastAsia="Times New Roman" w:hint="default"/>
                <w:sz w:val="13"/>
                <w:szCs w:val="13"/>
              </w:rPr>
            </w:pPr>
            <w:r>
              <w:rPr>
                <w:rFonts w:ascii="Times New Roman"/>
                <w:w w:val="95"/>
                <w:sz w:val="13"/>
              </w:rPr>
              <w:t>10.00</w:t>
            </w:r>
            <w:r>
              <w:rPr>
                <w:rFonts w:ascii="Times New Roman"/>
                <w:sz w:val="13"/>
              </w:rPr>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54"/>
              <w:jc w:val="right"/>
              <w:rPr>
                <w:rFonts w:ascii="Times New Roman" w:hAnsi="Times New Roman" w:cs="Times New Roman" w:eastAsia="Times New Roman" w:hint="default"/>
                <w:sz w:val="13"/>
                <w:szCs w:val="13"/>
              </w:rPr>
            </w:pPr>
            <w:r>
              <w:rPr>
                <w:rFonts w:ascii="Times New Roman"/>
                <w:w w:val="95"/>
                <w:sz w:val="13"/>
              </w:rPr>
              <w:t>10.00</w:t>
            </w:r>
            <w:r>
              <w:rPr>
                <w:rFonts w:ascii="Times New Roman"/>
                <w:sz w:val="13"/>
              </w:rPr>
            </w:r>
          </w:p>
        </w:tc>
        <w:tc>
          <w:tcPr>
            <w:tcW w:w="1174" w:type="dxa"/>
            <w:tcBorders>
              <w:top w:val="nil" w:sz="6" w:space="0" w:color="auto"/>
              <w:left w:val="nil" w:sz="6" w:space="0" w:color="auto"/>
              <w:bottom w:val="nil" w:sz="6" w:space="0" w:color="auto"/>
              <w:right w:val="nil" w:sz="6" w:space="0" w:color="auto"/>
            </w:tcBorders>
          </w:tcPr>
          <w:p>
            <w:pPr/>
          </w:p>
        </w:tc>
        <w:tc>
          <w:tcPr>
            <w:tcW w:w="9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64"/>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254"/>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875" w:type="dxa"/>
            <w:vMerge/>
            <w:tcBorders>
              <w:left w:val="nil" w:sz="6" w:space="0" w:color="auto"/>
              <w:bottom w:val="nil" w:sz="6" w:space="0" w:color="auto"/>
              <w:right w:val="nil" w:sz="6" w:space="0" w:color="auto"/>
            </w:tcBorders>
          </w:tcPr>
          <w:p>
            <w:pPr/>
          </w:p>
        </w:tc>
      </w:tr>
      <w:tr>
        <w:trPr>
          <w:trHeight w:val="385" w:hRule="exact"/>
        </w:trPr>
        <w:tc>
          <w:tcPr>
            <w:tcW w:w="263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沈阳火炬股份有限公司</w:t>
            </w:r>
            <w:r>
              <w:rPr>
                <w:rFonts w:ascii="宋体" w:hAnsi="宋体" w:cs="宋体" w:eastAsia="宋体" w:hint="default"/>
                <w:spacing w:val="-3"/>
                <w:sz w:val="13"/>
                <w:szCs w:val="13"/>
              </w:rPr>
              <w:t> </w:t>
            </w:r>
            <w:r>
              <w:rPr>
                <w:rFonts w:ascii="宋体" w:hAnsi="宋体" w:cs="宋体" w:eastAsia="宋体" w:hint="default"/>
                <w:sz w:val="13"/>
                <w:szCs w:val="13"/>
              </w:rPr>
              <w:t>（</w:t>
            </w:r>
            <w:r>
              <w:rPr>
                <w:rFonts w:ascii="Times New Roman" w:hAnsi="Times New Roman" w:cs="Times New Roman" w:eastAsia="Times New Roman" w:hint="default"/>
                <w:sz w:val="13"/>
                <w:szCs w:val="13"/>
              </w:rPr>
              <w:t>2</w:t>
            </w:r>
            <w:r>
              <w:rPr>
                <w:rFonts w:ascii="宋体" w:hAnsi="宋体" w:cs="宋体" w:eastAsia="宋体" w:hint="default"/>
                <w:sz w:val="13"/>
                <w:szCs w:val="13"/>
              </w:rPr>
              <w:t>）</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100,000</w:t>
            </w:r>
            <w:r>
              <w:rPr>
                <w:rFonts w:ascii="Times New Roman"/>
                <w:sz w:val="13"/>
              </w:rPr>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79"/>
              <w:jc w:val="right"/>
              <w:rPr>
                <w:rFonts w:ascii="Times New Roman" w:hAnsi="Times New Roman" w:cs="Times New Roman" w:eastAsia="Times New Roman" w:hint="default"/>
                <w:sz w:val="13"/>
                <w:szCs w:val="13"/>
              </w:rPr>
            </w:pPr>
            <w:r>
              <w:rPr>
                <w:rFonts w:ascii="Times New Roman"/>
                <w:w w:val="95"/>
                <w:sz w:val="13"/>
              </w:rPr>
              <w:t>100,000</w:t>
            </w:r>
            <w:r>
              <w:rPr>
                <w:rFonts w:ascii="Times New Roman"/>
                <w:sz w:val="13"/>
              </w:rPr>
            </w:r>
          </w:p>
        </w:tc>
        <w:tc>
          <w:tcPr>
            <w:tcW w:w="923" w:type="dxa"/>
            <w:tcBorders>
              <w:top w:val="nil" w:sz="6" w:space="0" w:color="auto"/>
              <w:left w:val="nil" w:sz="6" w:space="0" w:color="auto"/>
              <w:bottom w:val="nil" w:sz="6" w:space="0" w:color="auto"/>
              <w:right w:val="nil" w:sz="6" w:space="0" w:color="auto"/>
            </w:tcBorders>
          </w:tcPr>
          <w:p>
            <w:pP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373"/>
              <w:jc w:val="right"/>
              <w:rPr>
                <w:rFonts w:ascii="Times New Roman" w:hAnsi="Times New Roman" w:cs="Times New Roman" w:eastAsia="Times New Roman" w:hint="default"/>
                <w:sz w:val="13"/>
                <w:szCs w:val="13"/>
              </w:rPr>
            </w:pPr>
            <w:r>
              <w:rPr>
                <w:rFonts w:ascii="Times New Roman"/>
                <w:w w:val="95"/>
                <w:sz w:val="13"/>
              </w:rPr>
              <w:t>100,000</w:t>
            </w:r>
            <w:r>
              <w:rPr>
                <w:rFonts w:ascii="Times New Roman"/>
                <w:sz w:val="13"/>
              </w:rPr>
            </w:r>
          </w:p>
        </w:tc>
        <w:tc>
          <w:tcPr>
            <w:tcW w:w="1058" w:type="dxa"/>
            <w:tcBorders>
              <w:top w:val="nil" w:sz="6" w:space="0" w:color="auto"/>
              <w:left w:val="nil" w:sz="6" w:space="0" w:color="auto"/>
              <w:bottom w:val="nil" w:sz="6" w:space="0" w:color="auto"/>
              <w:right w:val="nil" w:sz="6" w:space="0" w:color="auto"/>
            </w:tcBorders>
          </w:tcPr>
          <w:p>
            <w:pPr/>
          </w:p>
        </w:tc>
        <w:tc>
          <w:tcPr>
            <w:tcW w:w="840"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9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64"/>
              <w:jc w:val="right"/>
              <w:rPr>
                <w:rFonts w:ascii="Times New Roman" w:hAnsi="Times New Roman" w:cs="Times New Roman" w:eastAsia="Times New Roman" w:hint="default"/>
                <w:sz w:val="13"/>
                <w:szCs w:val="13"/>
              </w:rPr>
            </w:pPr>
            <w:r>
              <w:rPr>
                <w:rFonts w:ascii="Times New Roman"/>
                <w:w w:val="95"/>
                <w:sz w:val="13"/>
              </w:rPr>
              <w:t>100,000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254"/>
              <w:jc w:val="right"/>
              <w:rPr>
                <w:rFonts w:ascii="Times New Roman" w:hAnsi="Times New Roman" w:cs="Times New Roman" w:eastAsia="Times New Roman" w:hint="default"/>
                <w:sz w:val="13"/>
                <w:szCs w:val="13"/>
              </w:rPr>
            </w:pPr>
            <w:r>
              <w:rPr>
                <w:rFonts w:ascii="Times New Roman"/>
                <w:w w:val="95"/>
                <w:sz w:val="13"/>
              </w:rPr>
              <w:t>100,000</w:t>
            </w:r>
            <w:r>
              <w:rPr>
                <w:rFonts w:ascii="Times New Roman"/>
                <w:sz w:val="13"/>
              </w:rPr>
            </w:r>
          </w:p>
        </w:tc>
        <w:tc>
          <w:tcPr>
            <w:tcW w:w="875" w:type="dxa"/>
            <w:tcBorders>
              <w:top w:val="nil" w:sz="6" w:space="0" w:color="auto"/>
              <w:left w:val="nil" w:sz="6" w:space="0" w:color="auto"/>
              <w:bottom w:val="nil" w:sz="6" w:space="0" w:color="auto"/>
              <w:right w:val="nil" w:sz="6" w:space="0" w:color="auto"/>
            </w:tcBorders>
          </w:tcPr>
          <w:p>
            <w:pPr/>
          </w:p>
        </w:tc>
      </w:tr>
      <w:tr>
        <w:trPr>
          <w:trHeight w:val="385" w:hRule="exact"/>
        </w:trPr>
        <w:tc>
          <w:tcPr>
            <w:tcW w:w="263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left="35" w:right="0"/>
              <w:jc w:val="left"/>
              <w:rPr>
                <w:rFonts w:ascii="Times New Roman" w:hAnsi="Times New Roman" w:cs="Times New Roman" w:eastAsia="Times New Roman" w:hint="default"/>
                <w:sz w:val="13"/>
                <w:szCs w:val="13"/>
              </w:rPr>
            </w:pPr>
            <w:r>
              <w:rPr>
                <w:rFonts w:ascii="Times New Roman"/>
                <w:sz w:val="13"/>
              </w:rPr>
              <w:t>Lotus Business Consulting</w:t>
            </w:r>
            <w:r>
              <w:rPr>
                <w:rFonts w:ascii="Times New Roman"/>
                <w:spacing w:val="-5"/>
                <w:sz w:val="13"/>
              </w:rPr>
              <w:t> </w:t>
            </w:r>
            <w:r>
              <w:rPr>
                <w:rFonts w:ascii="Times New Roman"/>
                <w:sz w:val="13"/>
              </w:rPr>
              <w:t>Co.,Ltd.</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347,358</w:t>
            </w:r>
            <w:r>
              <w:rPr>
                <w:rFonts w:ascii="Times New Roman"/>
                <w:sz w:val="13"/>
              </w:rPr>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78"/>
              <w:jc w:val="right"/>
              <w:rPr>
                <w:rFonts w:ascii="Times New Roman" w:hAnsi="Times New Roman" w:cs="Times New Roman" w:eastAsia="Times New Roman" w:hint="default"/>
                <w:sz w:val="13"/>
                <w:szCs w:val="13"/>
              </w:rPr>
            </w:pPr>
            <w:r>
              <w:rPr>
                <w:rFonts w:ascii="Times New Roman"/>
                <w:w w:val="95"/>
                <w:sz w:val="13"/>
              </w:rPr>
              <w:t>347,358</w:t>
            </w:r>
            <w:r>
              <w:rPr>
                <w:rFonts w:ascii="Times New Roman"/>
                <w:sz w:val="13"/>
              </w:rPr>
            </w:r>
          </w:p>
        </w:tc>
        <w:tc>
          <w:tcPr>
            <w:tcW w:w="923" w:type="dxa"/>
            <w:tcBorders>
              <w:top w:val="nil" w:sz="6" w:space="0" w:color="auto"/>
              <w:left w:val="nil" w:sz="6" w:space="0" w:color="auto"/>
              <w:bottom w:val="nil" w:sz="6" w:space="0" w:color="auto"/>
              <w:right w:val="nil" w:sz="6" w:space="0" w:color="auto"/>
            </w:tcBorders>
          </w:tcPr>
          <w:p>
            <w:pP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373"/>
              <w:jc w:val="right"/>
              <w:rPr>
                <w:rFonts w:ascii="Times New Roman" w:hAnsi="Times New Roman" w:cs="Times New Roman" w:eastAsia="Times New Roman" w:hint="default"/>
                <w:sz w:val="13"/>
                <w:szCs w:val="13"/>
              </w:rPr>
            </w:pPr>
            <w:r>
              <w:rPr>
                <w:rFonts w:ascii="Times New Roman"/>
                <w:w w:val="95"/>
                <w:sz w:val="13"/>
              </w:rPr>
              <w:t>347,358</w:t>
            </w:r>
            <w:r>
              <w:rPr>
                <w:rFonts w:ascii="Times New Roman"/>
                <w:sz w:val="13"/>
              </w:rPr>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389"/>
              <w:jc w:val="right"/>
              <w:rPr>
                <w:rFonts w:ascii="Times New Roman" w:hAnsi="Times New Roman" w:cs="Times New Roman" w:eastAsia="Times New Roman" w:hint="default"/>
                <w:sz w:val="13"/>
                <w:szCs w:val="13"/>
              </w:rPr>
            </w:pPr>
            <w:r>
              <w:rPr>
                <w:rFonts w:ascii="Times New Roman"/>
                <w:w w:val="95"/>
                <w:sz w:val="13"/>
              </w:rPr>
              <w:t>6.30</w:t>
            </w:r>
            <w:r>
              <w:rPr>
                <w:rFonts w:ascii="Times New Roman"/>
                <w:sz w:val="13"/>
              </w:rPr>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54"/>
              <w:jc w:val="right"/>
              <w:rPr>
                <w:rFonts w:ascii="Times New Roman" w:hAnsi="Times New Roman" w:cs="Times New Roman" w:eastAsia="Times New Roman" w:hint="default"/>
                <w:sz w:val="13"/>
                <w:szCs w:val="13"/>
              </w:rPr>
            </w:pPr>
            <w:r>
              <w:rPr>
                <w:rFonts w:ascii="Times New Roman"/>
                <w:w w:val="95"/>
                <w:sz w:val="13"/>
              </w:rPr>
              <w:t>6.30</w:t>
            </w:r>
            <w:r>
              <w:rPr>
                <w:rFonts w:ascii="Times New Roman"/>
                <w:sz w:val="13"/>
              </w:rPr>
            </w:r>
          </w:p>
        </w:tc>
        <w:tc>
          <w:tcPr>
            <w:tcW w:w="1174" w:type="dxa"/>
            <w:tcBorders>
              <w:top w:val="nil" w:sz="6" w:space="0" w:color="auto"/>
              <w:left w:val="nil" w:sz="6" w:space="0" w:color="auto"/>
              <w:bottom w:val="nil" w:sz="6" w:space="0" w:color="auto"/>
              <w:right w:val="nil" w:sz="6" w:space="0" w:color="auto"/>
            </w:tcBorders>
          </w:tcPr>
          <w:p>
            <w:pPr/>
          </w:p>
        </w:tc>
        <w:tc>
          <w:tcPr>
            <w:tcW w:w="988"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875" w:type="dxa"/>
            <w:tcBorders>
              <w:top w:val="nil" w:sz="6" w:space="0" w:color="auto"/>
              <w:left w:val="nil" w:sz="6" w:space="0" w:color="auto"/>
              <w:bottom w:val="nil" w:sz="6" w:space="0" w:color="auto"/>
              <w:right w:val="nil" w:sz="6" w:space="0" w:color="auto"/>
            </w:tcBorders>
          </w:tcPr>
          <w:p>
            <w:pPr/>
          </w:p>
        </w:tc>
      </w:tr>
      <w:tr>
        <w:trPr>
          <w:trHeight w:val="384" w:hRule="exact"/>
        </w:trPr>
        <w:tc>
          <w:tcPr>
            <w:tcW w:w="263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天津神舟通用数据技术有限公司</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982" w:type="dxa"/>
            <w:tcBorders>
              <w:top w:val="nil" w:sz="6" w:space="0" w:color="auto"/>
              <w:left w:val="nil" w:sz="6" w:space="0" w:color="auto"/>
              <w:bottom w:val="nil" w:sz="6" w:space="0" w:color="auto"/>
              <w:right w:val="nil" w:sz="6" w:space="0" w:color="auto"/>
            </w:tcBorders>
          </w:tcPr>
          <w:p>
            <w:pPr/>
          </w:p>
        </w:tc>
        <w:tc>
          <w:tcPr>
            <w:tcW w:w="92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left="179" w:right="0"/>
              <w:jc w:val="left"/>
              <w:rPr>
                <w:rFonts w:ascii="Times New Roman" w:hAnsi="Times New Roman" w:cs="Times New Roman" w:eastAsia="Times New Roman" w:hint="default"/>
                <w:sz w:val="13"/>
                <w:szCs w:val="13"/>
              </w:rPr>
            </w:pPr>
            <w:r>
              <w:rPr>
                <w:rFonts w:ascii="Times New Roman"/>
                <w:sz w:val="13"/>
              </w:rPr>
              <w:t>3,000,000</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373"/>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389"/>
              <w:jc w:val="right"/>
              <w:rPr>
                <w:rFonts w:ascii="Times New Roman" w:hAnsi="Times New Roman" w:cs="Times New Roman" w:eastAsia="Times New Roman" w:hint="default"/>
                <w:sz w:val="13"/>
                <w:szCs w:val="13"/>
              </w:rPr>
            </w:pPr>
            <w:r>
              <w:rPr>
                <w:rFonts w:ascii="Times New Roman"/>
                <w:w w:val="95"/>
                <w:sz w:val="13"/>
              </w:rPr>
              <w:t>5.00</w:t>
            </w:r>
            <w:r>
              <w:rPr>
                <w:rFonts w:ascii="Times New Roman"/>
                <w:sz w:val="13"/>
              </w:rPr>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54"/>
              <w:jc w:val="right"/>
              <w:rPr>
                <w:rFonts w:ascii="Times New Roman" w:hAnsi="Times New Roman" w:cs="Times New Roman" w:eastAsia="Times New Roman" w:hint="default"/>
                <w:sz w:val="13"/>
                <w:szCs w:val="13"/>
              </w:rPr>
            </w:pPr>
            <w:r>
              <w:rPr>
                <w:rFonts w:ascii="Times New Roman"/>
                <w:w w:val="95"/>
                <w:sz w:val="13"/>
              </w:rPr>
              <w:t>5.00</w:t>
            </w:r>
            <w:r>
              <w:rPr>
                <w:rFonts w:ascii="Times New Roman"/>
                <w:sz w:val="13"/>
              </w:rPr>
            </w:r>
          </w:p>
        </w:tc>
        <w:tc>
          <w:tcPr>
            <w:tcW w:w="1174" w:type="dxa"/>
            <w:tcBorders>
              <w:top w:val="nil" w:sz="6" w:space="0" w:color="auto"/>
              <w:left w:val="nil" w:sz="6" w:space="0" w:color="auto"/>
              <w:bottom w:val="nil" w:sz="6" w:space="0" w:color="auto"/>
              <w:right w:val="nil" w:sz="6" w:space="0" w:color="auto"/>
            </w:tcBorders>
          </w:tcPr>
          <w:p>
            <w:pPr/>
          </w:p>
        </w:tc>
        <w:tc>
          <w:tcPr>
            <w:tcW w:w="988" w:type="dxa"/>
            <w:tcBorders>
              <w:top w:val="nil" w:sz="6" w:space="0" w:color="auto"/>
              <w:left w:val="nil" w:sz="6" w:space="0" w:color="auto"/>
              <w:bottom w:val="nil" w:sz="6" w:space="0" w:color="auto"/>
              <w:right w:val="nil" w:sz="6" w:space="0" w:color="auto"/>
            </w:tcBorders>
          </w:tcPr>
          <w:p>
            <w:pPr/>
          </w:p>
        </w:tc>
        <w:tc>
          <w:tcPr>
            <w:tcW w:w="941" w:type="dxa"/>
            <w:tcBorders>
              <w:top w:val="nil" w:sz="6" w:space="0" w:color="auto"/>
              <w:left w:val="nil" w:sz="6" w:space="0" w:color="auto"/>
              <w:bottom w:val="nil" w:sz="6" w:space="0" w:color="auto"/>
              <w:right w:val="nil" w:sz="6" w:space="0" w:color="auto"/>
            </w:tcBorders>
          </w:tcPr>
          <w:p>
            <w:pPr/>
          </w:p>
        </w:tc>
        <w:tc>
          <w:tcPr>
            <w:tcW w:w="875" w:type="dxa"/>
            <w:tcBorders>
              <w:top w:val="nil" w:sz="6" w:space="0" w:color="auto"/>
              <w:left w:val="nil" w:sz="6" w:space="0" w:color="auto"/>
              <w:bottom w:val="nil" w:sz="6" w:space="0" w:color="auto"/>
              <w:right w:val="nil" w:sz="6" w:space="0" w:color="auto"/>
            </w:tcBorders>
          </w:tcPr>
          <w:p>
            <w:pPr/>
          </w:p>
        </w:tc>
      </w:tr>
      <w:tr>
        <w:trPr>
          <w:trHeight w:val="385" w:hRule="exact"/>
        </w:trPr>
        <w:tc>
          <w:tcPr>
            <w:tcW w:w="263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成本法小计</w:t>
            </w:r>
          </w:p>
        </w:tc>
        <w:tc>
          <w:tcPr>
            <w:tcW w:w="1147" w:type="dxa"/>
            <w:tcBorders>
              <w:top w:val="nil" w:sz="6" w:space="0" w:color="auto"/>
              <w:left w:val="nil" w:sz="6" w:space="0" w:color="auto"/>
              <w:bottom w:val="nil" w:sz="6" w:space="0" w:color="auto"/>
              <w:right w:val="nil" w:sz="6" w:space="0" w:color="auto"/>
            </w:tcBorders>
          </w:tcPr>
          <w:p>
            <w:pP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390,380,134</w:t>
            </w:r>
            <w:r>
              <w:rPr>
                <w:rFonts w:ascii="Times New Roman"/>
                <w:sz w:val="13"/>
              </w:rPr>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79"/>
              <w:jc w:val="right"/>
              <w:rPr>
                <w:rFonts w:ascii="Times New Roman" w:hAnsi="Times New Roman" w:cs="Times New Roman" w:eastAsia="Times New Roman" w:hint="default"/>
                <w:sz w:val="13"/>
                <w:szCs w:val="13"/>
              </w:rPr>
            </w:pPr>
            <w:r>
              <w:rPr>
                <w:rFonts w:ascii="Times New Roman"/>
                <w:w w:val="95"/>
                <w:sz w:val="13"/>
              </w:rPr>
              <w:t>387,342,949</w:t>
            </w:r>
            <w:r>
              <w:rPr>
                <w:rFonts w:ascii="Times New Roman"/>
                <w:sz w:val="13"/>
              </w:rPr>
            </w:r>
          </w:p>
        </w:tc>
        <w:tc>
          <w:tcPr>
            <w:tcW w:w="92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left="180" w:right="0"/>
              <w:jc w:val="left"/>
              <w:rPr>
                <w:rFonts w:ascii="Times New Roman" w:hAnsi="Times New Roman" w:cs="Times New Roman" w:eastAsia="Times New Roman" w:hint="default"/>
                <w:sz w:val="13"/>
                <w:szCs w:val="13"/>
              </w:rPr>
            </w:pPr>
            <w:r>
              <w:rPr>
                <w:rFonts w:ascii="Times New Roman"/>
                <w:sz w:val="13"/>
              </w:rPr>
              <w:t>2,601,903</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374"/>
              <w:jc w:val="right"/>
              <w:rPr>
                <w:rFonts w:ascii="Times New Roman" w:hAnsi="Times New Roman" w:cs="Times New Roman" w:eastAsia="Times New Roman" w:hint="default"/>
                <w:sz w:val="13"/>
                <w:szCs w:val="13"/>
              </w:rPr>
            </w:pPr>
            <w:r>
              <w:rPr>
                <w:rFonts w:ascii="Times New Roman"/>
                <w:w w:val="95"/>
                <w:sz w:val="13"/>
              </w:rPr>
              <w:t>389,944,852</w:t>
            </w:r>
            <w:r>
              <w:rPr>
                <w:rFonts w:ascii="Times New Roman"/>
                <w:sz w:val="13"/>
              </w:rPr>
            </w:r>
          </w:p>
        </w:tc>
        <w:tc>
          <w:tcPr>
            <w:tcW w:w="1058" w:type="dxa"/>
            <w:tcBorders>
              <w:top w:val="nil" w:sz="6" w:space="0" w:color="auto"/>
              <w:left w:val="nil" w:sz="6" w:space="0" w:color="auto"/>
              <w:bottom w:val="nil" w:sz="6" w:space="0" w:color="auto"/>
              <w:right w:val="nil" w:sz="6" w:space="0" w:color="auto"/>
            </w:tcBorders>
          </w:tcPr>
          <w:p>
            <w:pPr/>
          </w:p>
        </w:tc>
        <w:tc>
          <w:tcPr>
            <w:tcW w:w="840"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9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64"/>
              <w:jc w:val="right"/>
              <w:rPr>
                <w:rFonts w:ascii="Times New Roman" w:hAnsi="Times New Roman" w:cs="Times New Roman" w:eastAsia="Times New Roman" w:hint="default"/>
                <w:sz w:val="13"/>
                <w:szCs w:val="13"/>
              </w:rPr>
            </w:pPr>
            <w:r>
              <w:rPr>
                <w:rFonts w:ascii="Times New Roman"/>
                <w:w w:val="95"/>
                <w:sz w:val="13"/>
              </w:rPr>
              <w:t>10,920,000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254"/>
              <w:jc w:val="right"/>
              <w:rPr>
                <w:rFonts w:ascii="Times New Roman" w:hAnsi="Times New Roman" w:cs="Times New Roman" w:eastAsia="Times New Roman" w:hint="default"/>
                <w:sz w:val="13"/>
                <w:szCs w:val="13"/>
              </w:rPr>
            </w:pPr>
            <w:r>
              <w:rPr>
                <w:rFonts w:ascii="Times New Roman"/>
                <w:w w:val="95"/>
                <w:sz w:val="13"/>
              </w:rPr>
              <w:t>1,100,000</w:t>
            </w:r>
            <w:r>
              <w:rPr>
                <w:rFonts w:ascii="Times New Roman"/>
                <w:sz w:val="13"/>
              </w:rPr>
            </w:r>
          </w:p>
        </w:tc>
        <w:tc>
          <w:tcPr>
            <w:tcW w:w="875" w:type="dxa"/>
            <w:tcBorders>
              <w:top w:val="nil" w:sz="6" w:space="0" w:color="auto"/>
              <w:left w:val="nil" w:sz="6" w:space="0" w:color="auto"/>
              <w:bottom w:val="nil" w:sz="6" w:space="0" w:color="auto"/>
              <w:right w:val="nil" w:sz="6" w:space="0" w:color="auto"/>
            </w:tcBorders>
          </w:tcPr>
          <w:p>
            <w:pPr/>
          </w:p>
        </w:tc>
      </w:tr>
      <w:tr>
        <w:trPr>
          <w:trHeight w:val="361" w:hRule="exact"/>
        </w:trPr>
        <w:tc>
          <w:tcPr>
            <w:tcW w:w="263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75" w:right="0"/>
              <w:jc w:val="center"/>
              <w:rPr>
                <w:rFonts w:ascii="宋体" w:hAnsi="宋体" w:cs="宋体" w:eastAsia="宋体" w:hint="default"/>
                <w:sz w:val="13"/>
                <w:szCs w:val="13"/>
              </w:rPr>
            </w:pPr>
            <w:r>
              <w:rPr>
                <w:rFonts w:ascii="宋体" w:hAnsi="宋体" w:cs="宋体" w:eastAsia="宋体" w:hint="default"/>
                <w:sz w:val="13"/>
                <w:szCs w:val="13"/>
              </w:rPr>
              <w:t>合  </w:t>
            </w:r>
            <w:r>
              <w:rPr>
                <w:rFonts w:ascii="宋体" w:hAnsi="宋体" w:cs="宋体" w:eastAsia="宋体" w:hint="default"/>
                <w:spacing w:val="61"/>
                <w:sz w:val="13"/>
                <w:szCs w:val="13"/>
              </w:rPr>
              <w:t> </w:t>
            </w:r>
            <w:r>
              <w:rPr>
                <w:rFonts w:ascii="宋体" w:hAnsi="宋体" w:cs="宋体" w:eastAsia="宋体" w:hint="default"/>
                <w:sz w:val="13"/>
                <w:szCs w:val="13"/>
              </w:rPr>
              <w:t>计</w:t>
            </w:r>
            <w:r>
              <w:rPr>
                <w:rFonts w:ascii="宋体" w:hAnsi="宋体" w:cs="宋体" w:eastAsia="宋体" w:hint="default"/>
                <w:spacing w:val="-1"/>
                <w:sz w:val="13"/>
                <w:szCs w:val="13"/>
              </w:rPr>
              <w:t> </w:t>
            </w:r>
            <w:r>
              <w:rPr>
                <w:rFonts w:ascii="宋体" w:hAnsi="宋体" w:cs="宋体" w:eastAsia="宋体" w:hint="default"/>
                <w:sz w:val="13"/>
                <w:szCs w:val="13"/>
              </w:rPr>
            </w:r>
          </w:p>
        </w:tc>
        <w:tc>
          <w:tcPr>
            <w:tcW w:w="1147" w:type="dxa"/>
            <w:tcBorders>
              <w:top w:val="nil" w:sz="6" w:space="0" w:color="auto"/>
              <w:left w:val="nil" w:sz="6" w:space="0" w:color="auto"/>
              <w:bottom w:val="nil" w:sz="6" w:space="0" w:color="auto"/>
              <w:right w:val="nil" w:sz="6" w:space="0" w:color="auto"/>
            </w:tcBorders>
          </w:tcPr>
          <w:p>
            <w:pP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543,073,755</w:t>
            </w:r>
            <w:r>
              <w:rPr>
                <w:rFonts w:ascii="Times New Roman"/>
                <w:sz w:val="13"/>
              </w:rPr>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79"/>
              <w:jc w:val="right"/>
              <w:rPr>
                <w:rFonts w:ascii="Times New Roman" w:hAnsi="Times New Roman" w:cs="Times New Roman" w:eastAsia="Times New Roman" w:hint="default"/>
                <w:sz w:val="13"/>
                <w:szCs w:val="13"/>
              </w:rPr>
            </w:pPr>
            <w:r>
              <w:rPr>
                <w:rFonts w:ascii="Times New Roman"/>
                <w:w w:val="95"/>
                <w:sz w:val="13"/>
              </w:rPr>
              <w:t>583,283,670</w:t>
            </w:r>
            <w:r>
              <w:rPr>
                <w:rFonts w:ascii="Times New Roman"/>
                <w:sz w:val="13"/>
              </w:rPr>
            </w:r>
          </w:p>
        </w:tc>
        <w:tc>
          <w:tcPr>
            <w:tcW w:w="92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left="184" w:right="0"/>
              <w:jc w:val="left"/>
              <w:rPr>
                <w:rFonts w:ascii="Times New Roman" w:hAnsi="Times New Roman" w:cs="Times New Roman" w:eastAsia="Times New Roman" w:hint="default"/>
                <w:sz w:val="13"/>
                <w:szCs w:val="13"/>
              </w:rPr>
            </w:pPr>
            <w:r>
              <w:rPr>
                <w:rFonts w:ascii="Times New Roman"/>
                <w:sz w:val="13"/>
              </w:rPr>
              <w:t>5,811,729</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374"/>
              <w:jc w:val="right"/>
              <w:rPr>
                <w:rFonts w:ascii="Times New Roman" w:hAnsi="Times New Roman" w:cs="Times New Roman" w:eastAsia="Times New Roman" w:hint="default"/>
                <w:sz w:val="13"/>
                <w:szCs w:val="13"/>
              </w:rPr>
            </w:pPr>
            <w:r>
              <w:rPr>
                <w:rFonts w:ascii="Times New Roman"/>
                <w:w w:val="95"/>
                <w:sz w:val="13"/>
              </w:rPr>
              <w:t>589,095,399</w:t>
            </w:r>
            <w:r>
              <w:rPr>
                <w:rFonts w:ascii="Times New Roman"/>
                <w:sz w:val="13"/>
              </w:rPr>
            </w:r>
          </w:p>
        </w:tc>
        <w:tc>
          <w:tcPr>
            <w:tcW w:w="1058" w:type="dxa"/>
            <w:tcBorders>
              <w:top w:val="nil" w:sz="6" w:space="0" w:color="auto"/>
              <w:left w:val="nil" w:sz="6" w:space="0" w:color="auto"/>
              <w:bottom w:val="nil" w:sz="6" w:space="0" w:color="auto"/>
              <w:right w:val="nil" w:sz="6" w:space="0" w:color="auto"/>
            </w:tcBorders>
          </w:tcPr>
          <w:p>
            <w:pPr/>
          </w:p>
        </w:tc>
        <w:tc>
          <w:tcPr>
            <w:tcW w:w="840"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9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164"/>
              <w:jc w:val="right"/>
              <w:rPr>
                <w:rFonts w:ascii="Times New Roman" w:hAnsi="Times New Roman" w:cs="Times New Roman" w:eastAsia="Times New Roman" w:hint="default"/>
                <w:sz w:val="13"/>
                <w:szCs w:val="13"/>
              </w:rPr>
            </w:pPr>
            <w:r>
              <w:rPr>
                <w:rFonts w:ascii="Times New Roman"/>
                <w:spacing w:val="-1"/>
                <w:sz w:val="13"/>
              </w:rPr>
              <w:t>11,208,039</w:t>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254"/>
              <w:jc w:val="right"/>
              <w:rPr>
                <w:rFonts w:ascii="Times New Roman" w:hAnsi="Times New Roman" w:cs="Times New Roman" w:eastAsia="Times New Roman" w:hint="default"/>
                <w:sz w:val="13"/>
                <w:szCs w:val="13"/>
              </w:rPr>
            </w:pPr>
            <w:r>
              <w:rPr>
                <w:rFonts w:ascii="Times New Roman"/>
                <w:w w:val="95"/>
                <w:sz w:val="13"/>
              </w:rPr>
              <w:t>1,388,039</w:t>
            </w:r>
            <w:r>
              <w:rPr>
                <w:rFonts w:ascii="Times New Roman"/>
                <w:sz w:val="13"/>
              </w:rPr>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left="256" w:right="0"/>
              <w:jc w:val="left"/>
              <w:rPr>
                <w:rFonts w:ascii="Times New Roman" w:hAnsi="Times New Roman" w:cs="Times New Roman" w:eastAsia="Times New Roman" w:hint="default"/>
                <w:sz w:val="13"/>
                <w:szCs w:val="13"/>
              </w:rPr>
            </w:pPr>
            <w:r>
              <w:rPr>
                <w:rFonts w:ascii="Times New Roman"/>
                <w:sz w:val="13"/>
              </w:rPr>
              <w:t>34,895,273</w:t>
            </w:r>
          </w:p>
        </w:tc>
      </w:tr>
    </w:tbl>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8"/>
          <w:szCs w:val="18"/>
        </w:rPr>
      </w:pPr>
    </w:p>
    <w:p>
      <w:pPr>
        <w:spacing w:before="0"/>
        <w:ind w:left="857" w:right="0" w:firstLine="0"/>
        <w:jc w:val="left"/>
        <w:rPr>
          <w:rFonts w:ascii="Times New Roman" w:hAnsi="Times New Roman" w:cs="Times New Roman" w:eastAsia="Times New Roman" w:hint="default"/>
          <w:sz w:val="21"/>
          <w:szCs w:val="21"/>
        </w:rPr>
      </w:pPr>
      <w:r>
        <w:rPr/>
        <w:pict>
          <v:group style="position:absolute;margin-left:101.271004pt;margin-top:-309.036316pt;width:701.4pt;height:288.8pt;mso-position-horizontal-relative:page;mso-position-vertical-relative:paragraph;z-index:-988720" coordorigin="2025,-6181" coordsize="14028,5776">
            <v:group style="position:absolute;left:2049;top:-6171;width:2787;height:2" coordorigin="2049,-6171" coordsize="2787,2">
              <v:shape style="position:absolute;left:2049;top:-6171;width:2787;height:2" coordorigin="2049,-6171" coordsize="2787,0" path="m2049,-6171l4836,-6171e" filled="false" stroked="true" strokeweight=".95999pt" strokecolor="#000000">
                <v:path arrowok="t"/>
              </v:shape>
            </v:group>
            <v:group style="position:absolute;left:4836;top:-6171;width:935;height:2" coordorigin="4836,-6171" coordsize="935,2">
              <v:shape style="position:absolute;left:4836;top:-6171;width:935;height:2" coordorigin="4836,-6171" coordsize="935,0" path="m4836,-6171l5771,-6171e" filled="false" stroked="true" strokeweight=".95999pt" strokecolor="#000000">
                <v:path arrowok="t"/>
              </v:shape>
            </v:group>
            <v:group style="position:absolute;left:5771;top:-6171;width:1122;height:2" coordorigin="5771,-6171" coordsize="1122,2">
              <v:shape style="position:absolute;left:5771;top:-6171;width:1122;height:2" coordorigin="5771,-6171" coordsize="1122,0" path="m5771,-6171l6893,-6171e" filled="false" stroked="true" strokeweight=".95999pt" strokecolor="#000000">
                <v:path arrowok="t"/>
              </v:shape>
            </v:group>
            <v:group style="position:absolute;left:6893;top:-6171;width:954;height:2" coordorigin="6893,-6171" coordsize="954,2">
              <v:shape style="position:absolute;left:6893;top:-6171;width:954;height:2" coordorigin="6893,-6171" coordsize="954,0" path="m6893,-6171l7847,-6171e" filled="false" stroked="true" strokeweight=".95999pt" strokecolor="#000000">
                <v:path arrowok="t"/>
              </v:shape>
            </v:group>
            <v:group style="position:absolute;left:7847;top:-6171;width:880;height:2" coordorigin="7847,-6171" coordsize="880,2">
              <v:shape style="position:absolute;left:7847;top:-6171;width:880;height:2" coordorigin="7847,-6171" coordsize="880,0" path="m7847,-6171l8726,-6171e" filled="false" stroked="true" strokeweight=".95999pt" strokecolor="#000000">
                <v:path arrowok="t"/>
              </v:shape>
            </v:group>
            <v:group style="position:absolute;left:8726;top:-6171;width:1097;height:2" coordorigin="8726,-6171" coordsize="1097,2">
              <v:shape style="position:absolute;left:8726;top:-6171;width:1097;height:2" coordorigin="8726,-6171" coordsize="1097,0" path="m8726,-6171l9823,-6171e" filled="false" stroked="true" strokeweight=".95999pt" strokecolor="#000000">
                <v:path arrowok="t"/>
              </v:shape>
            </v:group>
            <v:group style="position:absolute;left:9823;top:-6171;width:1042;height:2" coordorigin="9823,-6171" coordsize="1042,2">
              <v:shape style="position:absolute;left:9823;top:-6171;width:1042;height:2" coordorigin="9823,-6171" coordsize="1042,0" path="m9823,-6171l10865,-6171e" filled="false" stroked="true" strokeweight=".95999pt" strokecolor="#000000">
                <v:path arrowok="t"/>
              </v:shape>
            </v:group>
            <v:group style="position:absolute;left:10865;top:-6171;width:1074;height:2" coordorigin="10865,-6171" coordsize="1074,2">
              <v:shape style="position:absolute;left:10865;top:-6171;width:1074;height:2" coordorigin="10865,-6171" coordsize="1074,0" path="m10865,-6171l11939,-6171e" filled="false" stroked="true" strokeweight=".95999pt" strokecolor="#000000">
                <v:path arrowok="t"/>
              </v:shape>
            </v:group>
            <v:group style="position:absolute;left:11939;top:-6171;width:1193;height:2" coordorigin="11939,-6171" coordsize="1193,2">
              <v:shape style="position:absolute;left:11939;top:-6171;width:1193;height:2" coordorigin="11939,-6171" coordsize="1193,0" path="m11939,-6171l13131,-6171e" filled="false" stroked="true" strokeweight=".95999pt" strokecolor="#000000">
                <v:path arrowok="t"/>
              </v:shape>
            </v:group>
            <v:group style="position:absolute;left:13131;top:-6171;width:960;height:2" coordorigin="13131,-6171" coordsize="960,2">
              <v:shape style="position:absolute;left:13131;top:-6171;width:960;height:2" coordorigin="13131,-6171" coordsize="960,0" path="m13131,-6171l14091,-6171e" filled="false" stroked="true" strokeweight=".95999pt" strokecolor="#000000">
                <v:path arrowok="t"/>
              </v:shape>
            </v:group>
            <v:group style="position:absolute;left:14091;top:-6171;width:851;height:2" coordorigin="14091,-6171" coordsize="851,2">
              <v:shape style="position:absolute;left:14091;top:-6171;width:851;height:2" coordorigin="14091,-6171" coordsize="851,0" path="m14091,-6171l14942,-6171e" filled="false" stroked="true" strokeweight=".95999pt" strokecolor="#000000">
                <v:path arrowok="t"/>
              </v:shape>
            </v:group>
            <v:group style="position:absolute;left:14942;top:-6171;width:1095;height:2" coordorigin="14942,-6171" coordsize="1095,2">
              <v:shape style="position:absolute;left:14942;top:-6171;width:1095;height:2" coordorigin="14942,-6171" coordsize="1095,0" path="m14942,-6171l16037,-6171e" filled="false" stroked="true" strokeweight=".95999pt" strokecolor="#000000">
                <v:path arrowok="t"/>
              </v:shape>
            </v:group>
            <v:group style="position:absolute;left:2035;top:-415;width:2801;height:2" coordorigin="2035,-415" coordsize="2801,2">
              <v:shape style="position:absolute;left:2035;top:-415;width:2801;height:2" coordorigin="2035,-415" coordsize="2801,0" path="m2035,-415l4836,-415e" filled="false" stroked="true" strokeweight=".95999pt" strokecolor="#000000">
                <v:path arrowok="t"/>
              </v:shape>
            </v:group>
            <v:group style="position:absolute;left:4836;top:-415;width:935;height:2" coordorigin="4836,-415" coordsize="935,2">
              <v:shape style="position:absolute;left:4836;top:-415;width:935;height:2" coordorigin="4836,-415" coordsize="935,0" path="m4836,-415l5771,-415e" filled="false" stroked="true" strokeweight=".95999pt" strokecolor="#000000">
                <v:path arrowok="t"/>
              </v:shape>
            </v:group>
            <v:group style="position:absolute;left:5771;top:-415;width:1122;height:2" coordorigin="5771,-415" coordsize="1122,2">
              <v:shape style="position:absolute;left:5771;top:-415;width:1122;height:2" coordorigin="5771,-415" coordsize="1122,0" path="m5771,-415l6893,-415e" filled="false" stroked="true" strokeweight=".95999pt" strokecolor="#000000">
                <v:path arrowok="t"/>
              </v:shape>
            </v:group>
            <v:group style="position:absolute;left:6893;top:-415;width:954;height:2" coordorigin="6893,-415" coordsize="954,2">
              <v:shape style="position:absolute;left:6893;top:-415;width:954;height:2" coordorigin="6893,-415" coordsize="954,0" path="m6893,-415l7847,-415e" filled="false" stroked="true" strokeweight=".95999pt" strokecolor="#000000">
                <v:path arrowok="t"/>
              </v:shape>
            </v:group>
            <v:group style="position:absolute;left:7847;top:-415;width:880;height:2" coordorigin="7847,-415" coordsize="880,2">
              <v:shape style="position:absolute;left:7847;top:-415;width:880;height:2" coordorigin="7847,-415" coordsize="880,0" path="m7847,-415l8726,-415e" filled="false" stroked="true" strokeweight=".95999pt" strokecolor="#000000">
                <v:path arrowok="t"/>
              </v:shape>
            </v:group>
            <v:group style="position:absolute;left:8726;top:-415;width:1097;height:2" coordorigin="8726,-415" coordsize="1097,2">
              <v:shape style="position:absolute;left:8726;top:-415;width:1097;height:2" coordorigin="8726,-415" coordsize="1097,0" path="m8726,-415l9823,-415e" filled="false" stroked="true" strokeweight=".95999pt" strokecolor="#000000">
                <v:path arrowok="t"/>
              </v:shape>
            </v:group>
            <v:group style="position:absolute;left:9823;top:-415;width:1042;height:2" coordorigin="9823,-415" coordsize="1042,2">
              <v:shape style="position:absolute;left:9823;top:-415;width:1042;height:2" coordorigin="9823,-415" coordsize="1042,0" path="m9823,-415l10865,-415e" filled="false" stroked="true" strokeweight=".95999pt" strokecolor="#000000">
                <v:path arrowok="t"/>
              </v:shape>
            </v:group>
            <v:group style="position:absolute;left:10865;top:-415;width:1074;height:2" coordorigin="10865,-415" coordsize="1074,2">
              <v:shape style="position:absolute;left:10865;top:-415;width:1074;height:2" coordorigin="10865,-415" coordsize="1074,0" path="m10865,-415l11939,-415e" filled="false" stroked="true" strokeweight=".95999pt" strokecolor="#000000">
                <v:path arrowok="t"/>
              </v:shape>
            </v:group>
            <v:group style="position:absolute;left:11939;top:-415;width:1193;height:2" coordorigin="11939,-415" coordsize="1193,2">
              <v:shape style="position:absolute;left:11939;top:-415;width:1193;height:2" coordorigin="11939,-415" coordsize="1193,0" path="m11939,-415l13131,-415e" filled="false" stroked="true" strokeweight=".95999pt" strokecolor="#000000">
                <v:path arrowok="t"/>
              </v:shape>
            </v:group>
            <v:group style="position:absolute;left:13131;top:-415;width:960;height:2" coordorigin="13131,-415" coordsize="960,2">
              <v:shape style="position:absolute;left:13131;top:-415;width:960;height:2" coordorigin="13131,-415" coordsize="960,0" path="m13131,-415l14091,-415e" filled="false" stroked="true" strokeweight=".95999pt" strokecolor="#000000">
                <v:path arrowok="t"/>
              </v:shape>
            </v:group>
            <v:group style="position:absolute;left:14091;top:-415;width:851;height:2" coordorigin="14091,-415" coordsize="851,2">
              <v:shape style="position:absolute;left:14091;top:-415;width:851;height:2" coordorigin="14091,-415" coordsize="851,0" path="m14091,-415l14942,-415e" filled="false" stroked="true" strokeweight=".95999pt" strokecolor="#000000">
                <v:path arrowok="t"/>
              </v:shape>
              <v:shape style="position:absolute;left:2049;top:-6162;width:13992;height:5737" type="#_x0000_t75" stroked="false">
                <v:imagedata r:id="rId73" o:title=""/>
              </v:shape>
            </v:group>
            <v:group style="position:absolute;left:14942;top:-415;width:1102;height:2" coordorigin="14942,-415" coordsize="1102,2">
              <v:shape style="position:absolute;left:14942;top:-415;width:1102;height:2" coordorigin="14942,-415" coordsize="1102,0" path="m14942,-415l16044,-415e" filled="false" stroked="true" strokeweight=".95999pt" strokecolor="#000000">
                <v:path arrowok="t"/>
              </v:shape>
              <v:shape style="position:absolute;left:12019;top:-6039;width:104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在被投资单位持股</w:t>
                      </w:r>
                      <w:r>
                        <w:rPr>
                          <w:rFonts w:ascii="宋体" w:hAnsi="宋体" w:cs="宋体" w:eastAsia="宋体" w:hint="default"/>
                          <w:sz w:val="13"/>
                          <w:szCs w:val="13"/>
                        </w:rPr>
                      </w:r>
                    </w:p>
                  </w:txbxContent>
                </v:textbox>
                <w10:wrap type="none"/>
              </v:shape>
              <v:shape style="position:absolute;left:9894;top:-5853;width:1967;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在被投资单位持 </w:t>
                      </w:r>
                      <w:r>
                        <w:rPr>
                          <w:rFonts w:ascii="宋体" w:hAnsi="宋体" w:cs="宋体" w:eastAsia="宋体" w:hint="default"/>
                          <w:spacing w:val="16"/>
                          <w:sz w:val="13"/>
                          <w:szCs w:val="13"/>
                        </w:rPr>
                        <w:t> </w:t>
                      </w:r>
                      <w:r>
                        <w:rPr>
                          <w:rFonts w:ascii="宋体" w:hAnsi="宋体" w:cs="宋体" w:eastAsia="宋体" w:hint="default"/>
                          <w:sz w:val="13"/>
                          <w:szCs w:val="13"/>
                        </w:rPr>
                        <w:t>在被投资单位表</w:t>
                      </w:r>
                    </w:p>
                  </w:txbxContent>
                </v:textbox>
                <w10:wrap type="none"/>
              </v:shape>
              <v:shape style="position:absolute;left:14196;top:-5853;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本期计提减</w:t>
                      </w:r>
                      <w:r>
                        <w:rPr>
                          <w:rFonts w:ascii="宋体" w:hAnsi="宋体" w:cs="宋体" w:eastAsia="宋体" w:hint="default"/>
                          <w:sz w:val="13"/>
                          <w:szCs w:val="13"/>
                        </w:rPr>
                      </w:r>
                    </w:p>
                  </w:txbxContent>
                </v:textbox>
                <w10:wrap type="none"/>
              </v:shape>
              <v:shape style="position:absolute;left:3120;top:-5665;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被投资单位</w:t>
                      </w:r>
                      <w:r>
                        <w:rPr>
                          <w:rFonts w:ascii="宋体" w:hAnsi="宋体" w:cs="宋体" w:eastAsia="宋体" w:hint="default"/>
                          <w:sz w:val="13"/>
                          <w:szCs w:val="13"/>
                        </w:rPr>
                      </w:r>
                    </w:p>
                  </w:txbxContent>
                </v:textbox>
                <w10:wrap type="none"/>
              </v:shape>
              <v:shape style="position:absolute;left:5048;top:-566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核算方法</w:t>
                      </w:r>
                      <w:r>
                        <w:rPr>
                          <w:rFonts w:ascii="宋体" w:hAnsi="宋体" w:cs="宋体" w:eastAsia="宋体" w:hint="default"/>
                          <w:sz w:val="13"/>
                          <w:szCs w:val="13"/>
                        </w:rPr>
                      </w:r>
                    </w:p>
                  </w:txbxContent>
                </v:textbox>
                <w10:wrap type="none"/>
              </v:shape>
              <v:shape style="position:absolute;left:5947;top:-5665;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初始投资成本</w:t>
                      </w:r>
                      <w:r>
                        <w:rPr>
                          <w:rFonts w:ascii="宋体" w:hAnsi="宋体" w:cs="宋体" w:eastAsia="宋体" w:hint="default"/>
                          <w:sz w:val="13"/>
                          <w:szCs w:val="13"/>
                        </w:rPr>
                      </w:r>
                    </w:p>
                  </w:txbxContent>
                </v:textbox>
                <w10:wrap type="none"/>
              </v:shape>
              <v:shape style="position:absolute;left:7115;top:-566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期初金额</w:t>
                      </w:r>
                      <w:r>
                        <w:rPr>
                          <w:rFonts w:ascii="宋体" w:hAnsi="宋体" w:cs="宋体" w:eastAsia="宋体" w:hint="default"/>
                          <w:sz w:val="13"/>
                          <w:szCs w:val="13"/>
                        </w:rPr>
                      </w:r>
                    </w:p>
                  </w:txbxContent>
                </v:textbox>
                <w10:wrap type="none"/>
              </v:shape>
              <v:shape style="position:absolute;left:8031;top:-566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增减变动</w:t>
                      </w:r>
                      <w:r>
                        <w:rPr>
                          <w:rFonts w:ascii="宋体" w:hAnsi="宋体" w:cs="宋体" w:eastAsia="宋体" w:hint="default"/>
                          <w:sz w:val="13"/>
                          <w:szCs w:val="13"/>
                        </w:rPr>
                      </w:r>
                    </w:p>
                  </w:txbxContent>
                </v:textbox>
                <w10:wrap type="none"/>
              </v:shape>
              <v:shape style="position:absolute;left:9020;top:-566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期末金额</w:t>
                      </w:r>
                      <w:r>
                        <w:rPr>
                          <w:rFonts w:ascii="宋体" w:hAnsi="宋体" w:cs="宋体" w:eastAsia="宋体" w:hint="default"/>
                          <w:sz w:val="13"/>
                          <w:szCs w:val="13"/>
                        </w:rPr>
                      </w:r>
                    </w:p>
                  </w:txbxContent>
                </v:textbox>
                <w10:wrap type="none"/>
              </v:shape>
              <v:shape style="position:absolute;left:12019;top:-5666;width:104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比例与表决权比例</w:t>
                      </w:r>
                      <w:r>
                        <w:rPr>
                          <w:rFonts w:ascii="宋体" w:hAnsi="宋体" w:cs="宋体" w:eastAsia="宋体" w:hint="default"/>
                          <w:sz w:val="13"/>
                          <w:szCs w:val="13"/>
                        </w:rPr>
                      </w:r>
                    </w:p>
                  </w:txbxContent>
                </v:textbox>
                <w10:wrap type="none"/>
              </v:shape>
              <v:shape style="position:absolute;left:13357;top:-566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减值准备</w:t>
                      </w:r>
                      <w:r>
                        <w:rPr>
                          <w:rFonts w:ascii="宋体" w:hAnsi="宋体" w:cs="宋体" w:eastAsia="宋体" w:hint="default"/>
                          <w:sz w:val="13"/>
                          <w:szCs w:val="13"/>
                        </w:rPr>
                      </w:r>
                    </w:p>
                  </w:txbxContent>
                </v:textbox>
                <w10:wrap type="none"/>
              </v:shape>
              <v:shape style="position:absolute;left:15105;top:-5665;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本期现金红利</w:t>
                      </w:r>
                      <w:r>
                        <w:rPr>
                          <w:rFonts w:ascii="宋体" w:hAnsi="宋体" w:cs="宋体" w:eastAsia="宋体" w:hint="default"/>
                          <w:sz w:val="13"/>
                          <w:szCs w:val="13"/>
                        </w:rPr>
                      </w:r>
                    </w:p>
                  </w:txbxContent>
                </v:textbox>
                <w10:wrap type="none"/>
              </v:shape>
              <v:shape style="position:absolute;left:10057;top:-5478;width:4659;height:137" type="#_x0000_t202" filled="false" stroked="false">
                <v:textbox inset="0,0,0,0">
                  <w:txbxContent>
                    <w:p>
                      <w:pPr>
                        <w:tabs>
                          <w:tab w:pos="992" w:val="left" w:leader="none"/>
                          <w:tab w:pos="4269" w:val="left" w:leader="none"/>
                        </w:tabs>
                        <w:spacing w:line="137"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股比例</w:t>
                      </w:r>
                      <w:r>
                        <w:rPr>
                          <w:rFonts w:ascii="Times New Roman" w:hAnsi="Times New Roman" w:cs="Times New Roman" w:eastAsia="Times New Roman" w:hint="default"/>
                          <w:w w:val="95"/>
                          <w:sz w:val="13"/>
                          <w:szCs w:val="13"/>
                        </w:rPr>
                        <w:t>(%)</w:t>
                        <w:tab/>
                      </w:r>
                      <w:r>
                        <w:rPr>
                          <w:rFonts w:ascii="宋体" w:hAnsi="宋体" w:cs="宋体" w:eastAsia="宋体" w:hint="default"/>
                          <w:w w:val="95"/>
                          <w:sz w:val="13"/>
                          <w:szCs w:val="13"/>
                        </w:rPr>
                        <w:t>决权比例</w:t>
                      </w:r>
                      <w:r>
                        <w:rPr>
                          <w:rFonts w:ascii="Times New Roman" w:hAnsi="Times New Roman" w:cs="Times New Roman" w:eastAsia="Times New Roman" w:hint="default"/>
                          <w:w w:val="95"/>
                          <w:sz w:val="13"/>
                          <w:szCs w:val="13"/>
                        </w:rPr>
                        <w:t>(%)</w:t>
                        <w:tab/>
                      </w:r>
                      <w:r>
                        <w:rPr>
                          <w:rFonts w:ascii="宋体" w:hAnsi="宋体" w:cs="宋体" w:eastAsia="宋体" w:hint="default"/>
                          <w:w w:val="95"/>
                          <w:sz w:val="13"/>
                          <w:szCs w:val="13"/>
                        </w:rPr>
                        <w:t>值准备</w:t>
                      </w:r>
                      <w:r>
                        <w:rPr>
                          <w:rFonts w:ascii="宋体" w:hAnsi="宋体" w:cs="宋体" w:eastAsia="宋体" w:hint="default"/>
                          <w:sz w:val="13"/>
                          <w:szCs w:val="13"/>
                        </w:rPr>
                      </w:r>
                    </w:p>
                  </w:txbxContent>
                </v:textbox>
                <w10:wrap type="none"/>
              </v:shape>
            </v:group>
            <w10:wrap type="none"/>
          </v:group>
        </w:pict>
      </w:r>
      <w:r>
        <w:rPr>
          <w:rFonts w:ascii="宋体" w:hAnsi="宋体" w:cs="宋体" w:eastAsia="宋体" w:hint="default"/>
          <w:spacing w:val="-5"/>
          <w:sz w:val="21"/>
          <w:szCs w:val="21"/>
        </w:rPr>
        <w:t>注：</w:t>
      </w:r>
      <w:r>
        <w:rPr>
          <w:rFonts w:ascii="Times New Roman" w:hAnsi="Times New Roman" w:cs="Times New Roman" w:eastAsia="Times New Roman" w:hint="default"/>
          <w:spacing w:val="-5"/>
          <w:sz w:val="21"/>
          <w:szCs w:val="21"/>
        </w:rPr>
        <w:t>1</w:t>
      </w:r>
      <w:r>
        <w:rPr>
          <w:rFonts w:ascii="宋体" w:hAnsi="宋体" w:cs="宋体" w:eastAsia="宋体" w:hint="default"/>
          <w:spacing w:val="-5"/>
          <w:sz w:val="21"/>
          <w:szCs w:val="21"/>
        </w:rPr>
        <w:t>、东众通信技术有限公司已经停业，预计可收回金额低于账面价值，因此本报告期内计提减值准备 </w:t>
      </w:r>
      <w:r>
        <w:rPr>
          <w:rFonts w:ascii="Times New Roman" w:hAnsi="Times New Roman" w:cs="Times New Roman" w:eastAsia="Times New Roman" w:hint="default"/>
          <w:sz w:val="21"/>
          <w:szCs w:val="21"/>
        </w:rPr>
        <w:t>1,000,000 </w:t>
      </w:r>
      <w:r>
        <w:rPr>
          <w:rFonts w:ascii="宋体" w:hAnsi="宋体" w:cs="宋体" w:eastAsia="宋体" w:hint="default"/>
          <w:spacing w:val="-5"/>
          <w:sz w:val="21"/>
          <w:szCs w:val="21"/>
        </w:rPr>
        <w:t>元，累计已全额计提减值准备</w:t>
      </w:r>
      <w:r>
        <w:rPr>
          <w:rFonts w:ascii="宋体" w:hAnsi="宋体" w:cs="宋体" w:eastAsia="宋体" w:hint="default"/>
          <w:spacing w:val="-78"/>
          <w:sz w:val="21"/>
          <w:szCs w:val="21"/>
        </w:rPr>
        <w:t> </w:t>
      </w:r>
      <w:r>
        <w:rPr>
          <w:rFonts w:ascii="Times New Roman" w:hAnsi="Times New Roman" w:cs="Times New Roman" w:eastAsia="Times New Roman" w:hint="default"/>
          <w:sz w:val="21"/>
          <w:szCs w:val="21"/>
        </w:rPr>
        <w:t>3,000,000</w:t>
      </w:r>
    </w:p>
    <w:p>
      <w:pPr>
        <w:spacing w:before="109"/>
        <w:ind w:left="857" w:right="0" w:firstLine="0"/>
        <w:jc w:val="left"/>
        <w:rPr>
          <w:rFonts w:ascii="宋体" w:hAnsi="宋体" w:cs="宋体" w:eastAsia="宋体" w:hint="default"/>
          <w:sz w:val="21"/>
          <w:szCs w:val="21"/>
        </w:rPr>
      </w:pPr>
      <w:r>
        <w:rPr>
          <w:rFonts w:ascii="宋体" w:hAnsi="宋体" w:cs="宋体" w:eastAsia="宋体" w:hint="default"/>
          <w:sz w:val="21"/>
          <w:szCs w:val="21"/>
        </w:rPr>
        <w:t>元。</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spacing w:before="0"/>
        <w:ind w:left="1277"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、沈阳火炬股份有限公司已经停业，预计可收回金额低于账面价值，因此本报告期内全额计提减值准备</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100,000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tabs>
          <w:tab w:pos="1396" w:val="left" w:leader="none"/>
        </w:tabs>
        <w:spacing w:before="157"/>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无向投资企业转移资金的能力受到限制的情况。</w:t>
      </w:r>
    </w:p>
    <w:p>
      <w:pPr>
        <w:spacing w:after="0"/>
        <w:jc w:val="left"/>
        <w:rPr>
          <w:rFonts w:ascii="宋体" w:hAnsi="宋体" w:cs="宋体" w:eastAsia="宋体" w:hint="default"/>
          <w:sz w:val="21"/>
          <w:szCs w:val="21"/>
        </w:rPr>
        <w:sectPr>
          <w:pgSz w:w="16840" w:h="11900" w:orient="landscape"/>
          <w:pgMar w:header="883" w:footer="995" w:top="1600" w:bottom="1180" w:left="1300" w:right="680"/>
        </w:sectPr>
      </w:pPr>
    </w:p>
    <w:p>
      <w:pPr>
        <w:spacing w:line="240" w:lineRule="auto" w:before="7"/>
        <w:rPr>
          <w:rFonts w:ascii="宋体" w:hAnsi="宋体" w:cs="宋体" w:eastAsia="宋体" w:hint="default"/>
          <w:sz w:val="3"/>
          <w:szCs w:val="3"/>
        </w:rPr>
      </w:pPr>
    </w:p>
    <w:p>
      <w:pPr>
        <w:spacing w:line="20" w:lineRule="exact"/>
        <w:ind w:left="1765" w:right="0" w:firstLine="0"/>
        <w:rPr>
          <w:rFonts w:ascii="宋体" w:hAnsi="宋体" w:cs="宋体" w:eastAsia="宋体" w:hint="default"/>
          <w:sz w:val="2"/>
          <w:szCs w:val="2"/>
        </w:rPr>
      </w:pPr>
      <w:r>
        <w:rPr>
          <w:rFonts w:ascii="宋体" w:hAnsi="宋体" w:cs="宋体" w:eastAsia="宋体" w:hint="default"/>
          <w:sz w:val="2"/>
          <w:szCs w:val="2"/>
        </w:rPr>
        <w:pict>
          <v:group style="width:444.1pt;height:.5pt;mso-position-horizontal-relative:char;mso-position-vertical-relative:line" coordorigin="0,0" coordsize="8882,10">
            <v:group style="position:absolute;left:5;top:5;width:8872;height:2" coordorigin="5,5" coordsize="8872,2">
              <v:shape style="position:absolute;left:5;top:5;width:8872;height:2" coordorigin="5,5" coordsize="8872,0" path="m5,5l8876,5e" filled="false" stroked="true" strokeweight=".47998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3"/>
          <w:szCs w:val="3"/>
        </w:rPr>
      </w:pPr>
    </w:p>
    <w:tbl>
      <w:tblPr>
        <w:tblW w:w="0" w:type="auto"/>
        <w:jc w:val="left"/>
        <w:tblInd w:w="1750" w:type="dxa"/>
        <w:tblLayout w:type="fixed"/>
        <w:tblCellMar>
          <w:top w:w="0" w:type="dxa"/>
          <w:left w:w="0" w:type="dxa"/>
          <w:bottom w:w="0" w:type="dxa"/>
          <w:right w:w="0" w:type="dxa"/>
        </w:tblCellMar>
        <w:tblLook w:val="01E0"/>
      </w:tblPr>
      <w:tblGrid>
        <w:gridCol w:w="659"/>
        <w:gridCol w:w="3362"/>
        <w:gridCol w:w="1183"/>
        <w:gridCol w:w="1223"/>
        <w:gridCol w:w="1257"/>
        <w:gridCol w:w="1192"/>
      </w:tblGrid>
      <w:tr>
        <w:trPr>
          <w:trHeight w:val="352"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3362" w:type="dxa"/>
            <w:tcBorders>
              <w:top w:val="nil" w:sz="6" w:space="0" w:color="auto"/>
              <w:left w:val="nil" w:sz="6" w:space="0" w:color="auto"/>
              <w:bottom w:val="single" w:sz="8" w:space="0" w:color="000000"/>
              <w:right w:val="nil" w:sz="6" w:space="0" w:color="auto"/>
            </w:tcBorders>
          </w:tcPr>
          <w:p>
            <w:pPr>
              <w:pStyle w:val="TableParagraph"/>
              <w:spacing w:line="240" w:lineRule="auto" w:before="35"/>
              <w:ind w:left="104"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4855" w:type="dxa"/>
            <w:gridSpan w:val="4"/>
            <w:tcBorders>
              <w:top w:val="nil" w:sz="6" w:space="0" w:color="auto"/>
              <w:left w:val="nil" w:sz="6" w:space="0" w:color="auto"/>
              <w:bottom w:val="single" w:sz="8" w:space="0" w:color="000000"/>
              <w:right w:val="nil" w:sz="6" w:space="0" w:color="auto"/>
            </w:tcBorders>
          </w:tcPr>
          <w:p>
            <w:pPr/>
          </w:p>
        </w:tc>
      </w:tr>
      <w:tr>
        <w:trPr>
          <w:trHeight w:val="498" w:hRule="exact"/>
        </w:trPr>
        <w:tc>
          <w:tcPr>
            <w:tcW w:w="659" w:type="dxa"/>
            <w:tcBorders>
              <w:top w:val="nil" w:sz="6" w:space="0" w:color="auto"/>
              <w:left w:val="nil" w:sz="6" w:space="0" w:color="auto"/>
              <w:bottom w:val="nil" w:sz="6" w:space="0" w:color="auto"/>
              <w:right w:val="nil" w:sz="6" w:space="0" w:color="auto"/>
            </w:tcBorders>
          </w:tcPr>
          <w:p>
            <w:pPr/>
          </w:p>
        </w:tc>
        <w:tc>
          <w:tcPr>
            <w:tcW w:w="3362"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right="36"/>
              <w:jc w:val="center"/>
              <w:rPr>
                <w:rFonts w:ascii="宋体" w:hAnsi="宋体" w:cs="宋体" w:eastAsia="宋体" w:hint="default"/>
                <w:sz w:val="18"/>
                <w:szCs w:val="18"/>
              </w:rPr>
            </w:pPr>
            <w:r>
              <w:rPr>
                <w:rFonts w:ascii="宋体" w:hAnsi="宋体" w:cs="宋体" w:eastAsia="宋体" w:hint="default"/>
                <w:sz w:val="18"/>
                <w:szCs w:val="18"/>
              </w:rPr>
              <w:t>项  目</w:t>
            </w:r>
          </w:p>
        </w:tc>
        <w:tc>
          <w:tcPr>
            <w:tcW w:w="1183"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left="198" w:right="0"/>
              <w:jc w:val="left"/>
              <w:rPr>
                <w:rFonts w:ascii="宋体" w:hAnsi="宋体" w:cs="宋体" w:eastAsia="宋体" w:hint="default"/>
                <w:sz w:val="18"/>
                <w:szCs w:val="18"/>
              </w:rPr>
            </w:pPr>
            <w:r>
              <w:rPr>
                <w:rFonts w:ascii="宋体" w:hAnsi="宋体" w:cs="宋体" w:eastAsia="宋体" w:hint="default"/>
                <w:sz w:val="18"/>
                <w:szCs w:val="18"/>
              </w:rPr>
              <w:t>期初金额</w:t>
            </w:r>
          </w:p>
        </w:tc>
        <w:tc>
          <w:tcPr>
            <w:tcW w:w="1223"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left="136" w:right="0"/>
              <w:jc w:val="left"/>
              <w:rPr>
                <w:rFonts w:ascii="宋体" w:hAnsi="宋体" w:cs="宋体" w:eastAsia="宋体" w:hint="default"/>
                <w:sz w:val="18"/>
                <w:szCs w:val="18"/>
              </w:rPr>
            </w:pPr>
            <w:r>
              <w:rPr>
                <w:rFonts w:ascii="宋体" w:hAnsi="宋体" w:cs="宋体" w:eastAsia="宋体" w:hint="default"/>
                <w:sz w:val="18"/>
                <w:szCs w:val="18"/>
              </w:rPr>
              <w:t>本期增加额</w:t>
            </w:r>
          </w:p>
        </w:tc>
        <w:tc>
          <w:tcPr>
            <w:tcW w:w="1257"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right="228"/>
              <w:jc w:val="right"/>
              <w:rPr>
                <w:rFonts w:ascii="宋体" w:hAnsi="宋体" w:cs="宋体" w:eastAsia="宋体" w:hint="default"/>
                <w:sz w:val="18"/>
                <w:szCs w:val="18"/>
              </w:rPr>
            </w:pPr>
            <w:r>
              <w:rPr>
                <w:rFonts w:ascii="宋体" w:hAnsi="宋体" w:cs="宋体" w:eastAsia="宋体" w:hint="default"/>
                <w:sz w:val="18"/>
                <w:szCs w:val="18"/>
              </w:rPr>
              <w:t>本期减少额</w:t>
            </w:r>
          </w:p>
        </w:tc>
        <w:tc>
          <w:tcPr>
            <w:tcW w:w="1192"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left="198" w:right="0"/>
              <w:jc w:val="left"/>
              <w:rPr>
                <w:rFonts w:ascii="宋体" w:hAnsi="宋体" w:cs="宋体" w:eastAsia="宋体" w:hint="default"/>
                <w:sz w:val="18"/>
                <w:szCs w:val="18"/>
              </w:rPr>
            </w:pPr>
            <w:r>
              <w:rPr>
                <w:rFonts w:ascii="宋体" w:hAnsi="宋体" w:cs="宋体" w:eastAsia="宋体" w:hint="default"/>
                <w:sz w:val="18"/>
                <w:szCs w:val="18"/>
              </w:rPr>
              <w:t>期末金额</w:t>
            </w:r>
          </w:p>
        </w:tc>
      </w:tr>
      <w:tr>
        <w:trPr>
          <w:trHeight w:val="419" w:hRule="exact"/>
        </w:trPr>
        <w:tc>
          <w:tcPr>
            <w:tcW w:w="659" w:type="dxa"/>
            <w:tcBorders>
              <w:top w:val="nil" w:sz="6" w:space="0" w:color="auto"/>
              <w:left w:val="nil" w:sz="6" w:space="0" w:color="auto"/>
              <w:bottom w:val="nil" w:sz="6" w:space="0" w:color="auto"/>
              <w:right w:val="nil" w:sz="6" w:space="0" w:color="auto"/>
            </w:tcBorders>
          </w:tcPr>
          <w:p>
            <w:pPr/>
          </w:p>
        </w:tc>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．账面原值合计</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34"/>
              <w:jc w:val="right"/>
              <w:rPr>
                <w:rFonts w:ascii="Times New Roman" w:hAnsi="Times New Roman" w:cs="Times New Roman" w:eastAsia="Times New Roman" w:hint="default"/>
                <w:sz w:val="18"/>
                <w:szCs w:val="18"/>
              </w:rPr>
            </w:pPr>
            <w:r>
              <w:rPr>
                <w:rFonts w:ascii="Times New Roman"/>
                <w:sz w:val="18"/>
              </w:rPr>
              <w:t>605,273,051</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25"/>
              <w:jc w:val="right"/>
              <w:rPr>
                <w:rFonts w:ascii="Times New Roman" w:hAnsi="Times New Roman" w:cs="Times New Roman" w:eastAsia="Times New Roman" w:hint="default"/>
                <w:sz w:val="18"/>
                <w:szCs w:val="18"/>
              </w:rPr>
            </w:pPr>
            <w:r>
              <w:rPr>
                <w:rFonts w:ascii="Times New Roman"/>
                <w:sz w:val="18"/>
              </w:rPr>
              <w:t>44,848,969</w:t>
            </w:r>
          </w:p>
        </w:tc>
        <w:tc>
          <w:tcPr>
            <w:tcW w:w="1257"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99"/>
              <w:jc w:val="right"/>
              <w:rPr>
                <w:rFonts w:ascii="Times New Roman" w:hAnsi="Times New Roman" w:cs="Times New Roman" w:eastAsia="Times New Roman" w:hint="default"/>
                <w:sz w:val="18"/>
                <w:szCs w:val="18"/>
              </w:rPr>
            </w:pPr>
            <w:r>
              <w:rPr>
                <w:rFonts w:ascii="Times New Roman"/>
                <w:sz w:val="18"/>
              </w:rPr>
              <w:t>650,122,020</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532,561,949</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44,848,969</w:t>
            </w:r>
          </w:p>
        </w:tc>
        <w:tc>
          <w:tcPr>
            <w:tcW w:w="1257"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z w:val="18"/>
              </w:rPr>
              <w:t>577,410,918</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pacing w:val="-1"/>
                <w:sz w:val="18"/>
              </w:rPr>
              <w:t>72,711,102</w:t>
            </w:r>
          </w:p>
        </w:tc>
        <w:tc>
          <w:tcPr>
            <w:tcW w:w="1223"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pacing w:val="-1"/>
                <w:sz w:val="18"/>
              </w:rPr>
              <w:t>72,711,102</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．累计折旧和累计摊销合计</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65,631,845</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22,834,381</w:t>
            </w:r>
          </w:p>
        </w:tc>
        <w:tc>
          <w:tcPr>
            <w:tcW w:w="1257"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z w:val="18"/>
              </w:rPr>
              <w:t>88,466,226</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59,827,551</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21,062,382</w:t>
            </w:r>
          </w:p>
        </w:tc>
        <w:tc>
          <w:tcPr>
            <w:tcW w:w="1257"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z w:val="18"/>
              </w:rPr>
              <w:t>80,889,933</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5,804,294</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1,771,999</w:t>
            </w:r>
          </w:p>
        </w:tc>
        <w:tc>
          <w:tcPr>
            <w:tcW w:w="1257"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z w:val="18"/>
              </w:rPr>
              <w:t>7,576,293</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．投资性房地产净值合计</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539,641,206</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44,848,969</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22,834,381</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z w:val="18"/>
              </w:rPr>
              <w:t>561,655,794</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472,734,398</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44,848,969</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21,062,382</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z w:val="18"/>
              </w:rPr>
              <w:t>496,520,985</w:t>
            </w:r>
          </w:p>
        </w:tc>
      </w:tr>
      <w:tr>
        <w:trPr>
          <w:trHeight w:val="815" w:hRule="exact"/>
        </w:trPr>
        <w:tc>
          <w:tcPr>
            <w:tcW w:w="659" w:type="dxa"/>
            <w:tcBorders>
              <w:top w:val="nil" w:sz="6" w:space="0" w:color="auto"/>
              <w:left w:val="nil" w:sz="6" w:space="0" w:color="auto"/>
              <w:bottom w:val="nil" w:sz="6" w:space="0" w:color="auto"/>
              <w:right w:val="nil" w:sz="6" w:space="0" w:color="auto"/>
            </w:tcBorders>
          </w:tcPr>
          <w:p>
            <w:pPr/>
          </w:p>
        </w:tc>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p>
            <w:pPr>
              <w:pStyle w:val="TableParagraph"/>
              <w:spacing w:line="240" w:lineRule="auto" w:before="161"/>
              <w:ind w:left="107"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．投资性房地产减值准备累计金额合计</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66,906,808</w:t>
            </w:r>
          </w:p>
        </w:tc>
        <w:tc>
          <w:tcPr>
            <w:tcW w:w="1223"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1,771,999</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z w:val="18"/>
              </w:rPr>
              <w:t>65,134,809</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183" w:type="dxa"/>
            <w:tcBorders>
              <w:top w:val="nil" w:sz="6" w:space="0" w:color="auto"/>
              <w:left w:val="nil" w:sz="6" w:space="0" w:color="auto"/>
              <w:bottom w:val="nil" w:sz="6" w:space="0" w:color="auto"/>
              <w:right w:val="nil" w:sz="6" w:space="0" w:color="auto"/>
            </w:tcBorders>
          </w:tcPr>
          <w:p>
            <w:pPr/>
          </w:p>
        </w:tc>
        <w:tc>
          <w:tcPr>
            <w:tcW w:w="1223"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183" w:type="dxa"/>
            <w:tcBorders>
              <w:top w:val="nil" w:sz="6" w:space="0" w:color="auto"/>
              <w:left w:val="nil" w:sz="6" w:space="0" w:color="auto"/>
              <w:bottom w:val="nil" w:sz="6" w:space="0" w:color="auto"/>
              <w:right w:val="nil" w:sz="6" w:space="0" w:color="auto"/>
            </w:tcBorders>
          </w:tcPr>
          <w:p>
            <w:pPr/>
          </w:p>
        </w:tc>
        <w:tc>
          <w:tcPr>
            <w:tcW w:w="1223"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
        </w:tc>
        <w:tc>
          <w:tcPr>
            <w:tcW w:w="1192" w:type="dxa"/>
            <w:tcBorders>
              <w:top w:val="nil" w:sz="6" w:space="0" w:color="auto"/>
              <w:left w:val="nil" w:sz="6" w:space="0" w:color="auto"/>
              <w:bottom w:val="nil" w:sz="6" w:space="0" w:color="auto"/>
              <w:right w:val="nil" w:sz="6" w:space="0" w:color="auto"/>
            </w:tcBorders>
          </w:tcPr>
          <w:p>
            <w:pPr/>
          </w:p>
        </w:tc>
      </w:tr>
      <w:tr>
        <w:trPr>
          <w:trHeight w:val="415" w:hRule="exact"/>
        </w:trPr>
        <w:tc>
          <w:tcPr>
            <w:tcW w:w="659" w:type="dxa"/>
            <w:tcBorders>
              <w:top w:val="nil" w:sz="6" w:space="0" w:color="auto"/>
              <w:left w:val="nil" w:sz="6" w:space="0" w:color="auto"/>
              <w:bottom w:val="nil" w:sz="6" w:space="0" w:color="auto"/>
              <w:right w:val="nil" w:sz="6" w:space="0" w:color="auto"/>
            </w:tcBorders>
          </w:tcPr>
          <w:p>
            <w:pPr/>
          </w:p>
        </w:tc>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．投资性房地产账面价值合计</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34"/>
              <w:jc w:val="right"/>
              <w:rPr>
                <w:rFonts w:ascii="Times New Roman" w:hAnsi="Times New Roman" w:cs="Times New Roman" w:eastAsia="Times New Roman" w:hint="default"/>
                <w:sz w:val="18"/>
                <w:szCs w:val="18"/>
              </w:rPr>
            </w:pPr>
            <w:r>
              <w:rPr>
                <w:rFonts w:ascii="Times New Roman"/>
                <w:sz w:val="18"/>
              </w:rPr>
              <w:t>539,641,206</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25"/>
              <w:jc w:val="right"/>
              <w:rPr>
                <w:rFonts w:ascii="Times New Roman" w:hAnsi="Times New Roman" w:cs="Times New Roman" w:eastAsia="Times New Roman" w:hint="default"/>
                <w:sz w:val="18"/>
                <w:szCs w:val="18"/>
              </w:rPr>
            </w:pPr>
            <w:r>
              <w:rPr>
                <w:rFonts w:ascii="Times New Roman"/>
                <w:sz w:val="18"/>
              </w:rPr>
              <w:t>44,848,969</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87"/>
              <w:jc w:val="right"/>
              <w:rPr>
                <w:rFonts w:ascii="Times New Roman" w:hAnsi="Times New Roman" w:cs="Times New Roman" w:eastAsia="Times New Roman" w:hint="default"/>
                <w:sz w:val="18"/>
                <w:szCs w:val="18"/>
              </w:rPr>
            </w:pPr>
            <w:r>
              <w:rPr>
                <w:rFonts w:ascii="Times New Roman"/>
                <w:sz w:val="18"/>
              </w:rPr>
              <w:t>22,834,381</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98"/>
              <w:jc w:val="right"/>
              <w:rPr>
                <w:rFonts w:ascii="Times New Roman" w:hAnsi="Times New Roman" w:cs="Times New Roman" w:eastAsia="Times New Roman" w:hint="default"/>
                <w:sz w:val="18"/>
                <w:szCs w:val="18"/>
              </w:rPr>
            </w:pPr>
            <w:r>
              <w:rPr>
                <w:rFonts w:ascii="Times New Roman"/>
                <w:sz w:val="18"/>
              </w:rPr>
              <w:t>561,655,794</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336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472,734,398</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44,848,969</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21,062,382</w:t>
            </w:r>
          </w:p>
        </w:tc>
        <w:tc>
          <w:tcPr>
            <w:tcW w:w="11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z w:val="18"/>
              </w:rPr>
              <w:t>496,520,985</w:t>
            </w:r>
          </w:p>
        </w:tc>
      </w:tr>
      <w:tr>
        <w:trPr>
          <w:trHeight w:val="324" w:hRule="exact"/>
        </w:trPr>
        <w:tc>
          <w:tcPr>
            <w:tcW w:w="659" w:type="dxa"/>
            <w:tcBorders>
              <w:top w:val="nil" w:sz="6" w:space="0" w:color="auto"/>
              <w:left w:val="nil" w:sz="6" w:space="0" w:color="auto"/>
              <w:bottom w:val="nil" w:sz="6" w:space="0" w:color="auto"/>
              <w:right w:val="nil" w:sz="6" w:space="0" w:color="auto"/>
            </w:tcBorders>
          </w:tcPr>
          <w:p>
            <w:pPr/>
          </w:p>
        </w:tc>
        <w:tc>
          <w:tcPr>
            <w:tcW w:w="3362" w:type="dxa"/>
            <w:tcBorders>
              <w:top w:val="nil" w:sz="6" w:space="0" w:color="auto"/>
              <w:left w:val="nil" w:sz="6" w:space="0" w:color="auto"/>
              <w:bottom w:val="single" w:sz="8" w:space="0" w:color="000000"/>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183"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66,906,808</w:t>
            </w:r>
          </w:p>
        </w:tc>
        <w:tc>
          <w:tcPr>
            <w:tcW w:w="1223" w:type="dxa"/>
            <w:tcBorders>
              <w:top w:val="nil" w:sz="6" w:space="0" w:color="auto"/>
              <w:left w:val="nil" w:sz="6" w:space="0" w:color="auto"/>
              <w:bottom w:val="single" w:sz="8" w:space="0" w:color="000000"/>
              <w:right w:val="nil" w:sz="6" w:space="0" w:color="auto"/>
            </w:tcBorders>
          </w:tcPr>
          <w:p>
            <w:pPr/>
          </w:p>
        </w:tc>
        <w:tc>
          <w:tcPr>
            <w:tcW w:w="1257"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1,771,999</w:t>
            </w:r>
          </w:p>
        </w:tc>
        <w:tc>
          <w:tcPr>
            <w:tcW w:w="1192"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z w:val="18"/>
              </w:rPr>
              <w:t>65,134,809</w:t>
            </w:r>
          </w:p>
        </w:tc>
      </w:tr>
    </w:tbl>
    <w:p>
      <w:pPr>
        <w:spacing w:before="83"/>
        <w:ind w:left="2517" w:right="0" w:firstLine="0"/>
        <w:jc w:val="left"/>
        <w:rPr>
          <w:rFonts w:ascii="宋体" w:hAnsi="宋体" w:cs="宋体" w:eastAsia="宋体" w:hint="default"/>
          <w:sz w:val="21"/>
          <w:szCs w:val="21"/>
        </w:rPr>
      </w:pPr>
      <w:r>
        <w:rPr/>
        <w:pict>
          <v:shape style="position:absolute;margin-left:120.480003pt;margin-top:-329.006348pt;width:397.81347pt;height:316.8pt;mso-position-horizontal-relative:page;mso-position-vertical-relative:paragraph;z-index:-987568" type="#_x0000_t75" stroked="false">
            <v:imagedata r:id="rId76" o:title=""/>
          </v:shape>
        </w:pict>
      </w:r>
      <w:r>
        <w:rPr>
          <w:rFonts w:ascii="宋体" w:hAnsi="宋体" w:cs="宋体" w:eastAsia="宋体" w:hint="default"/>
          <w:sz w:val="21"/>
          <w:szCs w:val="21"/>
        </w:rPr>
        <w:t>本期累计折旧和摊销额增加 </w:t>
      </w:r>
      <w:r>
        <w:rPr>
          <w:rFonts w:ascii="Times New Roman" w:hAnsi="Times New Roman" w:cs="Times New Roman" w:eastAsia="Times New Roman" w:hint="default"/>
          <w:sz w:val="21"/>
          <w:szCs w:val="21"/>
        </w:rPr>
        <w:t>22,834,381 </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元，其中因房屋建筑物重分类转入增加累计折旧</w:t>
      </w:r>
    </w:p>
    <w:p>
      <w:pPr>
        <w:spacing w:before="110"/>
        <w:ind w:left="2517"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5,483,567</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元。</w:t>
      </w:r>
    </w:p>
    <w:p>
      <w:pPr>
        <w:spacing w:before="109"/>
        <w:ind w:left="2517" w:right="0" w:firstLine="0"/>
        <w:jc w:val="left"/>
        <w:rPr>
          <w:rFonts w:ascii="宋体" w:hAnsi="宋体" w:cs="宋体" w:eastAsia="宋体" w:hint="default"/>
          <w:sz w:val="21"/>
          <w:szCs w:val="21"/>
        </w:rPr>
      </w:pPr>
      <w:r>
        <w:rPr>
          <w:rFonts w:ascii="宋体" w:hAnsi="宋体" w:cs="宋体" w:eastAsia="宋体" w:hint="default"/>
          <w:sz w:val="21"/>
          <w:szCs w:val="21"/>
        </w:rPr>
        <w:t>截止至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00</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2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3</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日，抵押、担保情况参见附注五（三十</w:t>
      </w:r>
      <w:r>
        <w:rPr>
          <w:rFonts w:ascii="宋体" w:hAnsi="宋体" w:cs="宋体" w:eastAsia="宋体" w:hint="default"/>
          <w:spacing w:val="-105"/>
          <w:sz w:val="21"/>
          <w:szCs w:val="21"/>
        </w:rPr>
        <w:t>）</w:t>
      </w:r>
      <w:r>
        <w:rPr>
          <w:rFonts w:ascii="宋体" w:hAnsi="宋体" w:cs="宋体" w:eastAsia="宋体" w:hint="default"/>
          <w:sz w:val="21"/>
          <w:szCs w:val="21"/>
        </w:rPr>
        <w:t>。</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before="0"/>
        <w:ind w:left="178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十四</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14"/>
          <w:sz w:val="21"/>
          <w:szCs w:val="21"/>
        </w:rPr>
        <w:t> </w:t>
      </w:r>
      <w:r>
        <w:rPr>
          <w:rFonts w:ascii="宋体" w:hAnsi="宋体" w:cs="宋体" w:eastAsia="宋体" w:hint="default"/>
          <w:sz w:val="21"/>
          <w:szCs w:val="21"/>
        </w:rPr>
        <w:t>固定资产原价及累计折旧</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3056" w:val="left" w:leader="none"/>
        </w:tabs>
        <w:spacing w:before="0"/>
        <w:ind w:left="251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固定资产情况</w:t>
      </w:r>
    </w:p>
    <w:p>
      <w:pPr>
        <w:spacing w:line="3720" w:lineRule="exact"/>
        <w:ind w:left="2385" w:right="0" w:firstLine="0"/>
        <w:rPr>
          <w:rFonts w:ascii="宋体" w:hAnsi="宋体" w:cs="宋体" w:eastAsia="宋体" w:hint="default"/>
          <w:sz w:val="20"/>
          <w:szCs w:val="20"/>
        </w:rPr>
      </w:pPr>
      <w:r>
        <w:rPr>
          <w:rFonts w:ascii="宋体" w:hAnsi="宋体" w:cs="宋体" w:eastAsia="宋体" w:hint="default"/>
          <w:position w:val="-73"/>
          <w:sz w:val="20"/>
          <w:szCs w:val="20"/>
        </w:rPr>
        <w:pict>
          <v:group style="width:412.95pt;height:186pt;mso-position-horizontal-relative:char;mso-position-vertical-relative:line" coordorigin="0,0" coordsize="8259,3720">
            <v:group style="position:absolute;left:24;top:10;width:2644;height:2" coordorigin="24,10" coordsize="2644,2">
              <v:shape style="position:absolute;left:24;top:10;width:2644;height:2" coordorigin="24,10" coordsize="2644,0" path="m24,10l2668,10e" filled="false" stroked="true" strokeweight=".96002pt" strokecolor="#000000">
                <v:path arrowok="t"/>
              </v:shape>
            </v:group>
            <v:group style="position:absolute;left:2668;top:10;width:1444;height:2" coordorigin="2668,10" coordsize="1444,2">
              <v:shape style="position:absolute;left:2668;top:10;width:1444;height:2" coordorigin="2668,10" coordsize="1444,0" path="m2668,10l4111,10e" filled="false" stroked="true" strokeweight=".96002pt" strokecolor="#000000">
                <v:path arrowok="t"/>
              </v:shape>
            </v:group>
            <v:group style="position:absolute;left:4111;top:10;width:1318;height:2" coordorigin="4111,10" coordsize="1318,2">
              <v:shape style="position:absolute;left:4111;top:10;width:1318;height:2" coordorigin="4111,10" coordsize="1318,0" path="m4111,10l5429,10e" filled="false" stroked="true" strokeweight=".96002pt" strokecolor="#000000">
                <v:path arrowok="t"/>
              </v:shape>
            </v:group>
            <v:group style="position:absolute;left:5429;top:10;width:1275;height:2" coordorigin="5429,10" coordsize="1275,2">
              <v:shape style="position:absolute;left:5429;top:10;width:1275;height:2" coordorigin="5429,10" coordsize="1275,0" path="m5429,10l6703,10e" filled="false" stroked="true" strokeweight=".96002pt" strokecolor="#000000">
                <v:path arrowok="t"/>
              </v:shape>
            </v:group>
            <v:group style="position:absolute;left:6703;top:10;width:1539;height:2" coordorigin="6703,10" coordsize="1539,2">
              <v:shape style="position:absolute;left:6703;top:10;width:1539;height:2" coordorigin="6703,10" coordsize="1539,0" path="m6703,10l8242,10e" filled="false" stroked="true" strokeweight=".96002pt" strokecolor="#000000">
                <v:path arrowok="t"/>
              </v:shape>
            </v:group>
            <v:group style="position:absolute;left:10;top:3710;width:2658;height:2" coordorigin="10,3710" coordsize="2658,2">
              <v:shape style="position:absolute;left:10;top:3710;width:2658;height:2" coordorigin="10,3710" coordsize="2658,0" path="m10,3710l2668,3710e" filled="false" stroked="true" strokeweight=".95999pt" strokecolor="#000000">
                <v:path arrowok="t"/>
              </v:shape>
            </v:group>
            <v:group style="position:absolute;left:2668;top:3710;width:1444;height:2" coordorigin="2668,3710" coordsize="1444,2">
              <v:shape style="position:absolute;left:2668;top:3710;width:1444;height:2" coordorigin="2668,3710" coordsize="1444,0" path="m2668,3710l4111,3710e" filled="false" stroked="true" strokeweight=".95999pt" strokecolor="#000000">
                <v:path arrowok="t"/>
              </v:shape>
            </v:group>
            <v:group style="position:absolute;left:4111;top:3710;width:1318;height:2" coordorigin="4111,3710" coordsize="1318,2">
              <v:shape style="position:absolute;left:4111;top:3710;width:1318;height:2" coordorigin="4111,3710" coordsize="1318,0" path="m4111,3710l5429,3710e" filled="false" stroked="true" strokeweight=".95999pt" strokecolor="#000000">
                <v:path arrowok="t"/>
              </v:shape>
            </v:group>
            <v:group style="position:absolute;left:5429;top:3710;width:1275;height:2" coordorigin="5429,3710" coordsize="1275,2">
              <v:shape style="position:absolute;left:5429;top:3710;width:1275;height:2" coordorigin="5429,3710" coordsize="1275,0" path="m5429,3710l6703,3710e" filled="false" stroked="true" strokeweight=".95999pt" strokecolor="#000000">
                <v:path arrowok="t"/>
              </v:shape>
              <v:shape style="position:absolute;left:24;top:19;width:8220;height:3682" type="#_x0000_t75" stroked="false">
                <v:imagedata r:id="rId77" o:title=""/>
              </v:shape>
            </v:group>
            <v:group style="position:absolute;left:6703;top:3710;width:1546;height:2" coordorigin="6703,3710" coordsize="1546,2">
              <v:shape style="position:absolute;left:6703;top:3710;width:1546;height:2" coordorigin="6703,3710" coordsize="1546,0" path="m6703,3710l8249,3710e" filled="false" stroked="true" strokeweight=".95999pt" strokecolor="#000000">
                <v:path arrowok="t"/>
              </v:shape>
              <v:shape style="position:absolute;left:988;top:213;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 </w:t>
                      </w:r>
                    </w:p>
                  </w:txbxContent>
                </v:textbox>
                <w10:wrap type="none"/>
              </v:shape>
              <v:shape style="position:absolute;left:2854;top:21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期初账面金额</w:t>
                      </w:r>
                    </w:p>
                  </w:txbxContent>
                </v:textbox>
                <w10:wrap type="none"/>
              </v:shape>
              <v:shape style="position:absolute;left:4415;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5711;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shape style="position:absolute;left:6937;top:21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期末账面金额</w:t>
                      </w:r>
                    </w:p>
                  </w:txbxContent>
                </v:textbox>
                <w10:wrap type="none"/>
              </v:shape>
              <v:shape style="position:absolute;left:132;top:622;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一、账面原值合计：</w:t>
                      </w:r>
                    </w:p>
                  </w:txbxContent>
                </v:textbox>
                <w10:wrap type="none"/>
              </v:shape>
              <v:shape style="position:absolute;left:2972;top:64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1,462,818,682</w:t>
                      </w:r>
                    </w:p>
                  </w:txbxContent>
                </v:textbox>
                <w10:wrap type="none"/>
              </v:shape>
              <v:shape style="position:absolute;left:4424;top:64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459,173,855</w:t>
                      </w:r>
                    </w:p>
                  </w:txbxContent>
                </v:textbox>
                <w10:wrap type="none"/>
              </v:shape>
              <v:shape style="position:absolute;left:5789;top:64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78,084,410</w:t>
                      </w:r>
                    </w:p>
                  </w:txbxContent>
                </v:textbox>
                <w10:wrap type="none"/>
              </v:shape>
              <v:shape style="position:absolute;left:7104;top:64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1,843,908,127</w:t>
                      </w:r>
                    </w:p>
                  </w:txbxContent>
                </v:textbox>
                <w10:wrap type="none"/>
              </v:shape>
              <v:shape style="position:absolute;left:132;top:1031;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其中：房屋及建筑物</w:t>
                      </w:r>
                    </w:p>
                  </w:txbxContent>
                </v:textbox>
                <w10:wrap type="none"/>
              </v:shape>
              <v:shape style="position:absolute;left:2972;top:105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1,037,134,320</w:t>
                      </w:r>
                    </w:p>
                  </w:txbxContent>
                </v:textbox>
                <w10:wrap type="none"/>
              </v:shape>
              <v:shape style="position:absolute;left:4424;top:105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387,582,085</w:t>
                      </w:r>
                    </w:p>
                  </w:txbxContent>
                </v:textbox>
                <w10:wrap type="none"/>
              </v:shape>
              <v:shape style="position:absolute;left:5789;top:105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55,215,168</w:t>
                      </w:r>
                    </w:p>
                  </w:txbxContent>
                </v:textbox>
                <w10:wrap type="none"/>
              </v:shape>
              <v:shape style="position:absolute;left:7104;top:105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1,369,501,237</w:t>
                      </w:r>
                    </w:p>
                  </w:txbxContent>
                </v:textbox>
                <w10:wrap type="none"/>
              </v:shape>
              <v:shape style="position:absolute;left:672;top:144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电子设备</w:t>
                      </w:r>
                    </w:p>
                  </w:txbxContent>
                </v:textbox>
                <w10:wrap type="none"/>
              </v:shape>
              <v:shape style="position:absolute;left:3114;top:1461;width:89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286,511,294</w:t>
                      </w:r>
                    </w:p>
                  </w:txbxContent>
                </v:textbox>
                <w10:wrap type="none"/>
              </v:shape>
              <v:shape style="position:absolute;left:4514;top:146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31,515,235</w:t>
                      </w:r>
                    </w:p>
                  </w:txbxContent>
                </v:textbox>
                <w10:wrap type="none"/>
              </v:shape>
              <v:shape style="position:absolute;left:5789;top:146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17,822,459</w:t>
                      </w:r>
                    </w:p>
                  </w:txbxContent>
                </v:textbox>
                <w10:wrap type="none"/>
              </v:shape>
              <v:shape style="position:absolute;left:7238;top:146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300,204,070</w:t>
                      </w:r>
                    </w:p>
                  </w:txbxContent>
                </v:textbox>
                <w10:wrap type="none"/>
              </v:shape>
              <v:shape style="position:absolute;left:672;top:18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运输设备</w:t>
                      </w:r>
                    </w:p>
                  </w:txbxContent>
                </v:textbox>
                <w10:wrap type="none"/>
              </v:shape>
              <v:shape style="position:absolute;left:3197;top:187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13,065,816</w:t>
                      </w:r>
                    </w:p>
                  </w:txbxContent>
                </v:textbox>
                <w10:wrap type="none"/>
              </v:shape>
              <v:shape style="position:absolute;left:4604;top:187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1,572,904</w:t>
                      </w:r>
                    </w:p>
                  </w:txbxContent>
                </v:textbox>
                <w10:wrap type="none"/>
              </v:shape>
              <v:shape style="position:absolute;left:5879;top:187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2,107,120</w:t>
                      </w:r>
                    </w:p>
                  </w:txbxContent>
                </v:textbox>
                <w10:wrap type="none"/>
              </v:shape>
              <v:shape style="position:absolute;left:7328;top:187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12,531,600</w:t>
                      </w:r>
                    </w:p>
                  </w:txbxContent>
                </v:textbox>
                <w10:wrap type="none"/>
              </v:shape>
              <v:shape style="position:absolute;left:672;top:226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其他设备</w:t>
                      </w:r>
                    </w:p>
                  </w:txbxContent>
                </v:textbox>
                <w10:wrap type="none"/>
              </v:shape>
              <v:shape style="position:absolute;left:3107;top:228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126,107,252</w:t>
                      </w:r>
                    </w:p>
                  </w:txbxContent>
                </v:textbox>
                <w10:wrap type="none"/>
              </v:shape>
              <v:shape style="position:absolute;left:4514;top:228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38,503,631</w:t>
                      </w:r>
                    </w:p>
                  </w:txbxContent>
                </v:textbox>
                <w10:wrap type="none"/>
              </v:shape>
              <v:shape style="position:absolute;left:5879;top:2280;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2,939,663</w:t>
                      </w:r>
                    </w:p>
                  </w:txbxContent>
                </v:textbox>
                <w10:wrap type="none"/>
              </v:shape>
              <v:shape style="position:absolute;left:7238;top:228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161,671,220</w:t>
                      </w:r>
                    </w:p>
                  </w:txbxContent>
                </v:textbox>
                <w10:wrap type="none"/>
              </v:shape>
              <v:shape style="position:absolute;left:132;top:2671;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二、累计折旧合计：</w:t>
                      </w:r>
                    </w:p>
                  </w:txbxContent>
                </v:textbox>
                <w10:wrap type="none"/>
              </v:shape>
              <v:shape style="position:absolute;left:3107;top:269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297,365,467</w:t>
                      </w:r>
                    </w:p>
                  </w:txbxContent>
                </v:textbox>
                <w10:wrap type="none"/>
              </v:shape>
              <v:shape style="position:absolute;left:4514;top:269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96,043,999</w:t>
                      </w:r>
                    </w:p>
                  </w:txbxContent>
                </v:textbox>
                <w10:wrap type="none"/>
              </v:shape>
              <v:shape style="position:absolute;left:5789;top:269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27,938,713</w:t>
                      </w:r>
                    </w:p>
                  </w:txbxContent>
                </v:textbox>
                <w10:wrap type="none"/>
              </v:shape>
              <v:shape style="position:absolute;left:7238;top:269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365,470,753</w:t>
                      </w:r>
                    </w:p>
                  </w:txbxContent>
                </v:textbox>
                <w10:wrap type="none"/>
              </v:shape>
              <v:shape style="position:absolute;left:132;top:3082;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其中：房屋及建筑物</w:t>
                      </w:r>
                    </w:p>
                  </w:txbxContent>
                </v:textbox>
                <w10:wrap type="none"/>
              </v:shape>
              <v:shape style="position:absolute;left:3197;top:310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85,945,360</w:t>
                      </w:r>
                    </w:p>
                  </w:txbxContent>
                </v:textbox>
                <w10:wrap type="none"/>
              </v:shape>
              <v:shape style="position:absolute;left:4514;top:310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32,247,022</w:t>
                      </w:r>
                    </w:p>
                  </w:txbxContent>
                </v:textbox>
                <w10:wrap type="none"/>
              </v:shape>
              <v:shape style="position:absolute;left:5796;top:3101;width:80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11,571,318</w:t>
                      </w:r>
                    </w:p>
                  </w:txbxContent>
                </v:textbox>
                <w10:wrap type="none"/>
              </v:shape>
              <v:shape style="position:absolute;left:7238;top:310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106,621,064</w:t>
                      </w:r>
                    </w:p>
                  </w:txbxContent>
                </v:textbox>
                <w10:wrap type="none"/>
              </v:shape>
              <v:shape style="position:absolute;left:672;top:349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电子设备</w:t>
                      </w:r>
                    </w:p>
                  </w:txbxContent>
                </v:textbox>
                <w10:wrap type="none"/>
              </v:shape>
              <v:shape style="position:absolute;left:3107;top:351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154,189,152</w:t>
                      </w:r>
                    </w:p>
                  </w:txbxContent>
                </v:textbox>
                <w10:wrap type="none"/>
              </v:shape>
              <v:shape style="position:absolute;left:4514;top:351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46,200,350</w:t>
                      </w:r>
                    </w:p>
                  </w:txbxContent>
                </v:textbox>
                <w10:wrap type="none"/>
              </v:shape>
              <v:shape style="position:absolute;left:5789;top:351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12,353,213</w:t>
                      </w:r>
                    </w:p>
                  </w:txbxContent>
                </v:textbox>
                <w10:wrap type="none"/>
              </v:shape>
              <v:shape style="position:absolute;left:7238;top:351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188,036,289</w:t>
                      </w:r>
                    </w:p>
                  </w:txbxContent>
                </v:textbox>
                <w10:wrap type="none"/>
              </v:shape>
            </v:group>
          </v:group>
        </w:pict>
      </w:r>
      <w:r>
        <w:rPr>
          <w:rFonts w:ascii="宋体" w:hAnsi="宋体" w:cs="宋体" w:eastAsia="宋体" w:hint="default"/>
          <w:position w:val="-73"/>
          <w:sz w:val="20"/>
          <w:szCs w:val="20"/>
        </w:rPr>
      </w:r>
    </w:p>
    <w:p>
      <w:pPr>
        <w:spacing w:after="0" w:line="3720" w:lineRule="exact"/>
        <w:rPr>
          <w:rFonts w:ascii="宋体" w:hAnsi="宋体" w:cs="宋体" w:eastAsia="宋体" w:hint="default"/>
          <w:sz w:val="20"/>
          <w:szCs w:val="20"/>
        </w:rPr>
        <w:sectPr>
          <w:headerReference w:type="default" r:id="rId74"/>
          <w:footerReference w:type="default" r:id="rId75"/>
          <w:pgSz w:w="11900" w:h="16840"/>
          <w:pgMar w:header="883" w:footer="1003" w:top="1540" w:bottom="1200" w:left="0" w:right="1140"/>
          <w:pgNumType w:start="39"/>
        </w:sectPr>
      </w:pPr>
    </w:p>
    <w:p>
      <w:pPr>
        <w:spacing w:line="240" w:lineRule="auto" w:before="12"/>
        <w:rPr>
          <w:rFonts w:ascii="宋体" w:hAnsi="宋体" w:cs="宋体" w:eastAsia="宋体" w:hint="default"/>
          <w:sz w:val="12"/>
          <w:szCs w:val="12"/>
        </w:rPr>
      </w:pPr>
    </w:p>
    <w:tbl>
      <w:tblPr>
        <w:tblW w:w="0" w:type="auto"/>
        <w:jc w:val="left"/>
        <w:tblInd w:w="735" w:type="dxa"/>
        <w:tblLayout w:type="fixed"/>
        <w:tblCellMar>
          <w:top w:w="0" w:type="dxa"/>
          <w:left w:w="0" w:type="dxa"/>
          <w:bottom w:w="0" w:type="dxa"/>
          <w:right w:w="0" w:type="dxa"/>
        </w:tblCellMar>
        <w:tblLook w:val="01E0"/>
      </w:tblPr>
      <w:tblGrid>
        <w:gridCol w:w="2563"/>
        <w:gridCol w:w="1639"/>
        <w:gridCol w:w="1301"/>
        <w:gridCol w:w="1257"/>
        <w:gridCol w:w="1480"/>
      </w:tblGrid>
      <w:tr>
        <w:trPr>
          <w:trHeight w:val="814" w:hRule="exact"/>
        </w:trPr>
        <w:tc>
          <w:tcPr>
            <w:tcW w:w="2563" w:type="dxa"/>
            <w:tcBorders>
              <w:top w:val="nil" w:sz="6" w:space="0" w:color="auto"/>
              <w:left w:val="nil" w:sz="6" w:space="0" w:color="auto"/>
              <w:bottom w:val="nil" w:sz="6" w:space="0" w:color="auto"/>
              <w:right w:val="nil" w:sz="6" w:space="0" w:color="auto"/>
            </w:tcBorders>
          </w:tcPr>
          <w:p>
            <w:pPr>
              <w:pStyle w:val="TableParagraph"/>
              <w:spacing w:line="417" w:lineRule="auto" w:before="44"/>
              <w:ind w:left="662" w:right="773" w:firstLine="315"/>
              <w:jc w:val="left"/>
              <w:rPr>
                <w:rFonts w:ascii="宋体" w:hAnsi="宋体" w:cs="宋体" w:eastAsia="宋体" w:hint="default"/>
                <w:sz w:val="18"/>
                <w:szCs w:val="18"/>
              </w:rPr>
            </w:pPr>
            <w:r>
              <w:rPr>
                <w:rFonts w:ascii="宋体" w:hAnsi="宋体" w:cs="宋体" w:eastAsia="宋体" w:hint="default"/>
                <w:sz w:val="18"/>
                <w:szCs w:val="18"/>
              </w:rPr>
              <w:t>项 目 运输设备</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80" w:right="0"/>
              <w:jc w:val="left"/>
              <w:rPr>
                <w:rFonts w:ascii="宋体" w:hAnsi="宋体" w:cs="宋体" w:eastAsia="宋体" w:hint="default"/>
                <w:sz w:val="18"/>
                <w:szCs w:val="18"/>
              </w:rPr>
            </w:pPr>
            <w:r>
              <w:rPr>
                <w:rFonts w:ascii="宋体" w:hAnsi="宋体" w:cs="宋体" w:eastAsia="宋体" w:hint="default"/>
                <w:sz w:val="18"/>
                <w:szCs w:val="18"/>
              </w:rPr>
              <w:t>期初账面金额</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713" w:right="0"/>
              <w:jc w:val="left"/>
              <w:rPr>
                <w:rFonts w:ascii="Times New Roman" w:hAnsi="Times New Roman" w:cs="Times New Roman" w:eastAsia="Times New Roman" w:hint="default"/>
                <w:sz w:val="18"/>
                <w:szCs w:val="18"/>
              </w:rPr>
            </w:pPr>
            <w:r>
              <w:rPr>
                <w:rFonts w:ascii="Times New Roman"/>
                <w:sz w:val="18"/>
              </w:rPr>
              <w:t>7,451,483</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03" w:right="0"/>
              <w:jc w:val="left"/>
              <w:rPr>
                <w:rFonts w:ascii="宋体" w:hAnsi="宋体" w:cs="宋体" w:eastAsia="宋体" w:hint="default"/>
                <w:sz w:val="18"/>
                <w:szCs w:val="18"/>
              </w:rPr>
            </w:pPr>
            <w:r>
              <w:rPr>
                <w:rFonts w:ascii="宋体" w:hAnsi="宋体" w:cs="宋体" w:eastAsia="宋体" w:hint="default"/>
                <w:sz w:val="18"/>
                <w:szCs w:val="18"/>
              </w:rPr>
              <w:t>本期增加</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392" w:right="0"/>
              <w:jc w:val="left"/>
              <w:rPr>
                <w:rFonts w:ascii="Times New Roman" w:hAnsi="Times New Roman" w:cs="Times New Roman" w:eastAsia="Times New Roman" w:hint="default"/>
                <w:sz w:val="18"/>
                <w:szCs w:val="18"/>
              </w:rPr>
            </w:pPr>
            <w:r>
              <w:rPr>
                <w:rFonts w:ascii="Times New Roman"/>
                <w:sz w:val="18"/>
              </w:rPr>
              <w:t>1,163,939</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8" w:right="0"/>
              <w:jc w:val="left"/>
              <w:rPr>
                <w:rFonts w:ascii="宋体" w:hAnsi="宋体" w:cs="宋体" w:eastAsia="宋体" w:hint="default"/>
                <w:sz w:val="18"/>
                <w:szCs w:val="18"/>
              </w:rPr>
            </w:pPr>
            <w:r>
              <w:rPr>
                <w:rFonts w:ascii="宋体" w:hAnsi="宋体" w:cs="宋体" w:eastAsia="宋体" w:hint="default"/>
                <w:sz w:val="18"/>
                <w:szCs w:val="18"/>
              </w:rPr>
              <w:t>本期减少</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366" w:right="0"/>
              <w:jc w:val="left"/>
              <w:rPr>
                <w:rFonts w:ascii="Times New Roman" w:hAnsi="Times New Roman" w:cs="Times New Roman" w:eastAsia="Times New Roman" w:hint="default"/>
                <w:sz w:val="18"/>
                <w:szCs w:val="18"/>
              </w:rPr>
            </w:pPr>
            <w:r>
              <w:rPr>
                <w:rFonts w:ascii="Times New Roman"/>
                <w:sz w:val="18"/>
              </w:rPr>
              <w:t>1,172,639</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68" w:right="0"/>
              <w:jc w:val="left"/>
              <w:rPr>
                <w:rFonts w:ascii="宋体" w:hAnsi="宋体" w:cs="宋体" w:eastAsia="宋体" w:hint="default"/>
                <w:sz w:val="18"/>
                <w:szCs w:val="18"/>
              </w:rPr>
            </w:pPr>
            <w:r>
              <w:rPr>
                <w:rFonts w:ascii="宋体" w:hAnsi="宋体" w:cs="宋体" w:eastAsia="宋体" w:hint="default"/>
                <w:sz w:val="18"/>
                <w:szCs w:val="18"/>
              </w:rPr>
              <w:t>期末账面金额</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649" w:right="0"/>
              <w:jc w:val="left"/>
              <w:rPr>
                <w:rFonts w:ascii="Times New Roman" w:hAnsi="Times New Roman" w:cs="Times New Roman" w:eastAsia="Times New Roman" w:hint="default"/>
                <w:sz w:val="18"/>
                <w:szCs w:val="18"/>
              </w:rPr>
            </w:pPr>
            <w:r>
              <w:rPr>
                <w:rFonts w:ascii="Times New Roman"/>
                <w:sz w:val="18"/>
              </w:rPr>
              <w:t>7,442,783</w:t>
            </w:r>
          </w:p>
        </w:tc>
      </w:tr>
      <w:tr>
        <w:trPr>
          <w:trHeight w:val="410" w:hRule="exact"/>
        </w:trPr>
        <w:tc>
          <w:tcPr>
            <w:tcW w:w="256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6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1"/>
              <w:jc w:val="right"/>
              <w:rPr>
                <w:rFonts w:ascii="Times New Roman" w:hAnsi="Times New Roman" w:cs="Times New Roman" w:eastAsia="Times New Roman" w:hint="default"/>
                <w:sz w:val="18"/>
                <w:szCs w:val="18"/>
              </w:rPr>
            </w:pPr>
            <w:r>
              <w:rPr>
                <w:rFonts w:ascii="Times New Roman"/>
                <w:sz w:val="18"/>
              </w:rPr>
              <w:t>49,779,472</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15" w:right="0"/>
              <w:jc w:val="center"/>
              <w:rPr>
                <w:rFonts w:ascii="Times New Roman" w:hAnsi="Times New Roman" w:cs="Times New Roman" w:eastAsia="Times New Roman" w:hint="default"/>
                <w:sz w:val="18"/>
                <w:szCs w:val="18"/>
              </w:rPr>
            </w:pPr>
            <w:r>
              <w:rPr>
                <w:rFonts w:ascii="Times New Roman"/>
                <w:sz w:val="18"/>
              </w:rPr>
              <w:t>16,432,688</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2,841,543</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63,370,617</w:t>
            </w:r>
          </w:p>
        </w:tc>
      </w:tr>
      <w:tr>
        <w:trPr>
          <w:trHeight w:val="410" w:hRule="exact"/>
        </w:trPr>
        <w:tc>
          <w:tcPr>
            <w:tcW w:w="256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三、固定资产账面净值合计</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1"/>
              <w:jc w:val="right"/>
              <w:rPr>
                <w:rFonts w:ascii="Times New Roman" w:hAnsi="Times New Roman" w:cs="Times New Roman" w:eastAsia="Times New Roman" w:hint="default"/>
                <w:sz w:val="18"/>
                <w:szCs w:val="18"/>
              </w:rPr>
            </w:pPr>
            <w:r>
              <w:rPr>
                <w:rFonts w:ascii="Times New Roman"/>
                <w:spacing w:val="-1"/>
                <w:sz w:val="18"/>
              </w:rPr>
              <w:t>1,165,453,215</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25" w:right="0"/>
              <w:jc w:val="center"/>
              <w:rPr>
                <w:rFonts w:ascii="Times New Roman" w:hAnsi="Times New Roman" w:cs="Times New Roman" w:eastAsia="Times New Roman" w:hint="default"/>
                <w:sz w:val="18"/>
                <w:szCs w:val="18"/>
              </w:rPr>
            </w:pPr>
            <w:r>
              <w:rPr>
                <w:rFonts w:ascii="Times New Roman"/>
                <w:sz w:val="18"/>
              </w:rPr>
              <w:t>459,173,855</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146,189,696</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pacing w:val="-1"/>
                <w:sz w:val="18"/>
              </w:rPr>
              <w:t>1,478,437,374</w:t>
            </w:r>
          </w:p>
        </w:tc>
      </w:tr>
      <w:tr>
        <w:trPr>
          <w:trHeight w:val="410" w:hRule="exact"/>
        </w:trPr>
        <w:tc>
          <w:tcPr>
            <w:tcW w:w="256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1"/>
              <w:jc w:val="right"/>
              <w:rPr>
                <w:rFonts w:ascii="Times New Roman" w:hAnsi="Times New Roman" w:cs="Times New Roman" w:eastAsia="Times New Roman" w:hint="default"/>
                <w:sz w:val="18"/>
                <w:szCs w:val="18"/>
              </w:rPr>
            </w:pPr>
            <w:r>
              <w:rPr>
                <w:rFonts w:ascii="Times New Roman"/>
                <w:sz w:val="18"/>
              </w:rPr>
              <w:t>951,188,960</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25" w:right="0"/>
              <w:jc w:val="center"/>
              <w:rPr>
                <w:rFonts w:ascii="Times New Roman" w:hAnsi="Times New Roman" w:cs="Times New Roman" w:eastAsia="Times New Roman" w:hint="default"/>
                <w:sz w:val="18"/>
                <w:szCs w:val="18"/>
              </w:rPr>
            </w:pPr>
            <w:r>
              <w:rPr>
                <w:rFonts w:ascii="Times New Roman"/>
                <w:sz w:val="18"/>
              </w:rPr>
              <w:t>387,582,085</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75,890,872</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pacing w:val="-1"/>
                <w:sz w:val="18"/>
              </w:rPr>
              <w:t>1,262,880,173</w:t>
            </w:r>
          </w:p>
        </w:tc>
      </w:tr>
      <w:tr>
        <w:trPr>
          <w:trHeight w:val="410" w:hRule="exact"/>
        </w:trPr>
        <w:tc>
          <w:tcPr>
            <w:tcW w:w="256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62"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1"/>
              <w:jc w:val="right"/>
              <w:rPr>
                <w:rFonts w:ascii="Times New Roman" w:hAnsi="Times New Roman" w:cs="Times New Roman" w:eastAsia="Times New Roman" w:hint="default"/>
                <w:sz w:val="18"/>
                <w:szCs w:val="18"/>
              </w:rPr>
            </w:pPr>
            <w:r>
              <w:rPr>
                <w:rFonts w:ascii="Times New Roman"/>
                <w:sz w:val="18"/>
              </w:rPr>
              <w:t>132,322,142</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15" w:right="0"/>
              <w:jc w:val="center"/>
              <w:rPr>
                <w:rFonts w:ascii="Times New Roman" w:hAnsi="Times New Roman" w:cs="Times New Roman" w:eastAsia="Times New Roman" w:hint="default"/>
                <w:sz w:val="18"/>
                <w:szCs w:val="18"/>
              </w:rPr>
            </w:pPr>
            <w:r>
              <w:rPr>
                <w:rFonts w:ascii="Times New Roman"/>
                <w:sz w:val="18"/>
              </w:rPr>
              <w:t>31,515,235</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51,669,596</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pacing w:val="-1"/>
                <w:sz w:val="18"/>
              </w:rPr>
              <w:t>112,167,781</w:t>
            </w:r>
          </w:p>
        </w:tc>
      </w:tr>
      <w:tr>
        <w:trPr>
          <w:trHeight w:val="410" w:hRule="exact"/>
        </w:trPr>
        <w:tc>
          <w:tcPr>
            <w:tcW w:w="256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6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1"/>
              <w:jc w:val="right"/>
              <w:rPr>
                <w:rFonts w:ascii="Times New Roman" w:hAnsi="Times New Roman" w:cs="Times New Roman" w:eastAsia="Times New Roman" w:hint="default"/>
                <w:sz w:val="18"/>
                <w:szCs w:val="18"/>
              </w:rPr>
            </w:pPr>
            <w:r>
              <w:rPr>
                <w:rFonts w:ascii="Times New Roman"/>
                <w:sz w:val="18"/>
              </w:rPr>
              <w:t>5,614,333</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205" w:right="0"/>
              <w:jc w:val="center"/>
              <w:rPr>
                <w:rFonts w:ascii="Times New Roman" w:hAnsi="Times New Roman" w:cs="Times New Roman" w:eastAsia="Times New Roman" w:hint="default"/>
                <w:sz w:val="18"/>
                <w:szCs w:val="18"/>
              </w:rPr>
            </w:pPr>
            <w:r>
              <w:rPr>
                <w:rFonts w:ascii="Times New Roman"/>
                <w:sz w:val="18"/>
              </w:rPr>
              <w:t>1,572,904</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2,098,420</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5,088,817</w:t>
            </w:r>
          </w:p>
        </w:tc>
      </w:tr>
      <w:tr>
        <w:trPr>
          <w:trHeight w:val="410" w:hRule="exact"/>
        </w:trPr>
        <w:tc>
          <w:tcPr>
            <w:tcW w:w="256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66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1"/>
              <w:jc w:val="right"/>
              <w:rPr>
                <w:rFonts w:ascii="Times New Roman" w:hAnsi="Times New Roman" w:cs="Times New Roman" w:eastAsia="Times New Roman" w:hint="default"/>
                <w:sz w:val="18"/>
                <w:szCs w:val="18"/>
              </w:rPr>
            </w:pPr>
            <w:r>
              <w:rPr>
                <w:rFonts w:ascii="Times New Roman"/>
                <w:sz w:val="18"/>
              </w:rPr>
              <w:t>76,327,780</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16" w:right="0"/>
              <w:jc w:val="center"/>
              <w:rPr>
                <w:rFonts w:ascii="Times New Roman" w:hAnsi="Times New Roman" w:cs="Times New Roman" w:eastAsia="Times New Roman" w:hint="default"/>
                <w:sz w:val="18"/>
                <w:szCs w:val="18"/>
              </w:rPr>
            </w:pPr>
            <w:r>
              <w:rPr>
                <w:rFonts w:ascii="Times New Roman"/>
                <w:sz w:val="18"/>
              </w:rPr>
              <w:t>38,503,631</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16,530,808</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98,300,603</w:t>
            </w:r>
          </w:p>
        </w:tc>
      </w:tr>
      <w:tr>
        <w:trPr>
          <w:trHeight w:val="810" w:hRule="exact"/>
        </w:trPr>
        <w:tc>
          <w:tcPr>
            <w:tcW w:w="2563" w:type="dxa"/>
            <w:tcBorders>
              <w:top w:val="nil" w:sz="6" w:space="0" w:color="auto"/>
              <w:left w:val="nil" w:sz="6" w:space="0" w:color="auto"/>
              <w:bottom w:val="nil" w:sz="6" w:space="0" w:color="auto"/>
              <w:right w:val="nil" w:sz="6" w:space="0" w:color="auto"/>
            </w:tcBorders>
          </w:tcPr>
          <w:p>
            <w:pPr>
              <w:pStyle w:val="TableParagraph"/>
              <w:spacing w:line="417" w:lineRule="auto" w:before="50"/>
              <w:ind w:left="122" w:right="818"/>
              <w:jc w:val="left"/>
              <w:rPr>
                <w:rFonts w:ascii="宋体" w:hAnsi="宋体" w:cs="宋体" w:eastAsia="宋体" w:hint="default"/>
                <w:sz w:val="18"/>
                <w:szCs w:val="18"/>
              </w:rPr>
            </w:pPr>
            <w:r>
              <w:rPr>
                <w:rFonts w:ascii="宋体" w:hAnsi="宋体" w:cs="宋体" w:eastAsia="宋体" w:hint="default"/>
                <w:sz w:val="18"/>
                <w:szCs w:val="18"/>
              </w:rPr>
              <w:t>四、减值准备合计 其中：房屋及建筑物</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1"/>
              <w:jc w:val="right"/>
              <w:rPr>
                <w:rFonts w:ascii="Times New Roman" w:hAnsi="Times New Roman" w:cs="Times New Roman" w:eastAsia="Times New Roman" w:hint="default"/>
                <w:sz w:val="18"/>
                <w:szCs w:val="18"/>
              </w:rPr>
            </w:pPr>
            <w:r>
              <w:rPr>
                <w:rFonts w:ascii="Times New Roman"/>
                <w:sz w:val="18"/>
              </w:rPr>
              <w:t>3,089,172</w:t>
            </w:r>
          </w:p>
        </w:tc>
        <w:tc>
          <w:tcPr>
            <w:tcW w:w="1301"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485,284</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2,603,888</w:t>
            </w:r>
          </w:p>
        </w:tc>
      </w:tr>
      <w:tr>
        <w:trPr>
          <w:trHeight w:val="820" w:hRule="exact"/>
        </w:trPr>
        <w:tc>
          <w:tcPr>
            <w:tcW w:w="2563" w:type="dxa"/>
            <w:tcBorders>
              <w:top w:val="nil" w:sz="6" w:space="0" w:color="auto"/>
              <w:left w:val="nil" w:sz="6" w:space="0" w:color="auto"/>
              <w:bottom w:val="nil" w:sz="6" w:space="0" w:color="auto"/>
              <w:right w:val="nil" w:sz="6" w:space="0" w:color="auto"/>
            </w:tcBorders>
          </w:tcPr>
          <w:p>
            <w:pPr>
              <w:pStyle w:val="TableParagraph"/>
              <w:spacing w:line="417" w:lineRule="auto" w:before="59"/>
              <w:ind w:left="662" w:right="1178"/>
              <w:jc w:val="left"/>
              <w:rPr>
                <w:rFonts w:ascii="宋体" w:hAnsi="宋体" w:cs="宋体" w:eastAsia="宋体" w:hint="default"/>
                <w:sz w:val="18"/>
                <w:szCs w:val="18"/>
              </w:rPr>
            </w:pPr>
            <w:r>
              <w:rPr>
                <w:rFonts w:ascii="宋体" w:hAnsi="宋体" w:cs="宋体" w:eastAsia="宋体" w:hint="default"/>
                <w:sz w:val="18"/>
                <w:szCs w:val="18"/>
              </w:rPr>
              <w:t>电子设备 运输设备</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01"/>
              <w:jc w:val="right"/>
              <w:rPr>
                <w:rFonts w:ascii="Times New Roman" w:hAnsi="Times New Roman" w:cs="Times New Roman" w:eastAsia="Times New Roman" w:hint="default"/>
                <w:sz w:val="18"/>
                <w:szCs w:val="18"/>
              </w:rPr>
            </w:pPr>
            <w:r>
              <w:rPr>
                <w:rFonts w:ascii="Times New Roman"/>
                <w:sz w:val="18"/>
              </w:rPr>
              <w:t>3,052,976</w:t>
            </w:r>
          </w:p>
        </w:tc>
        <w:tc>
          <w:tcPr>
            <w:tcW w:w="1301"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66"/>
              <w:jc w:val="right"/>
              <w:rPr>
                <w:rFonts w:ascii="Times New Roman" w:hAnsi="Times New Roman" w:cs="Times New Roman" w:eastAsia="Times New Roman" w:hint="default"/>
                <w:sz w:val="18"/>
                <w:szCs w:val="18"/>
              </w:rPr>
            </w:pPr>
            <w:r>
              <w:rPr>
                <w:rFonts w:ascii="Times New Roman"/>
                <w:sz w:val="18"/>
              </w:rPr>
              <w:t>479,984</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7"/>
              <w:jc w:val="right"/>
              <w:rPr>
                <w:rFonts w:ascii="Times New Roman" w:hAnsi="Times New Roman" w:cs="Times New Roman" w:eastAsia="Times New Roman" w:hint="default"/>
                <w:sz w:val="18"/>
                <w:szCs w:val="18"/>
              </w:rPr>
            </w:pPr>
            <w:r>
              <w:rPr>
                <w:rFonts w:ascii="Times New Roman"/>
                <w:sz w:val="18"/>
              </w:rPr>
              <w:t>2,572,992</w:t>
            </w:r>
          </w:p>
        </w:tc>
      </w:tr>
      <w:tr>
        <w:trPr>
          <w:trHeight w:val="420" w:hRule="exact"/>
        </w:trPr>
        <w:tc>
          <w:tcPr>
            <w:tcW w:w="256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66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01"/>
              <w:jc w:val="right"/>
              <w:rPr>
                <w:rFonts w:ascii="Times New Roman" w:hAnsi="Times New Roman" w:cs="Times New Roman" w:eastAsia="Times New Roman" w:hint="default"/>
                <w:sz w:val="18"/>
                <w:szCs w:val="18"/>
              </w:rPr>
            </w:pPr>
            <w:r>
              <w:rPr>
                <w:rFonts w:ascii="Times New Roman"/>
                <w:sz w:val="18"/>
              </w:rPr>
              <w:t>36,196</w:t>
            </w:r>
          </w:p>
        </w:tc>
        <w:tc>
          <w:tcPr>
            <w:tcW w:w="1301"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66"/>
              <w:jc w:val="right"/>
              <w:rPr>
                <w:rFonts w:ascii="Times New Roman" w:hAnsi="Times New Roman" w:cs="Times New Roman" w:eastAsia="Times New Roman" w:hint="default"/>
                <w:sz w:val="18"/>
                <w:szCs w:val="18"/>
              </w:rPr>
            </w:pPr>
            <w:r>
              <w:rPr>
                <w:rFonts w:ascii="Times New Roman"/>
                <w:sz w:val="18"/>
              </w:rPr>
              <w:t>5,300</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7"/>
              <w:jc w:val="right"/>
              <w:rPr>
                <w:rFonts w:ascii="Times New Roman" w:hAnsi="Times New Roman" w:cs="Times New Roman" w:eastAsia="Times New Roman" w:hint="default"/>
                <w:sz w:val="18"/>
                <w:szCs w:val="18"/>
              </w:rPr>
            </w:pPr>
            <w:r>
              <w:rPr>
                <w:rFonts w:ascii="Times New Roman"/>
                <w:sz w:val="18"/>
              </w:rPr>
              <w:t>30,896</w:t>
            </w:r>
          </w:p>
        </w:tc>
      </w:tr>
      <w:tr>
        <w:trPr>
          <w:trHeight w:val="410" w:hRule="exact"/>
        </w:trPr>
        <w:tc>
          <w:tcPr>
            <w:tcW w:w="256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五、固定资产账面价值合计</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1"/>
              <w:jc w:val="right"/>
              <w:rPr>
                <w:rFonts w:ascii="Times New Roman" w:hAnsi="Times New Roman" w:cs="Times New Roman" w:eastAsia="Times New Roman" w:hint="default"/>
                <w:sz w:val="18"/>
                <w:szCs w:val="18"/>
              </w:rPr>
            </w:pPr>
            <w:r>
              <w:rPr>
                <w:rFonts w:ascii="Times New Roman"/>
                <w:spacing w:val="-1"/>
                <w:sz w:val="18"/>
              </w:rPr>
              <w:t>1,162,364,043</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25" w:right="0"/>
              <w:jc w:val="center"/>
              <w:rPr>
                <w:rFonts w:ascii="Times New Roman" w:hAnsi="Times New Roman" w:cs="Times New Roman" w:eastAsia="Times New Roman" w:hint="default"/>
                <w:sz w:val="18"/>
                <w:szCs w:val="18"/>
              </w:rPr>
            </w:pPr>
            <w:r>
              <w:rPr>
                <w:rFonts w:ascii="Times New Roman"/>
                <w:sz w:val="18"/>
              </w:rPr>
              <w:t>459,173,855</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145,704,412</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pacing w:val="-1"/>
                <w:sz w:val="18"/>
              </w:rPr>
              <w:t>1,475,833,486</w:t>
            </w:r>
          </w:p>
        </w:tc>
      </w:tr>
      <w:tr>
        <w:trPr>
          <w:trHeight w:val="410" w:hRule="exact"/>
        </w:trPr>
        <w:tc>
          <w:tcPr>
            <w:tcW w:w="256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1"/>
              <w:jc w:val="right"/>
              <w:rPr>
                <w:rFonts w:ascii="Times New Roman" w:hAnsi="Times New Roman" w:cs="Times New Roman" w:eastAsia="Times New Roman" w:hint="default"/>
                <w:sz w:val="18"/>
                <w:szCs w:val="18"/>
              </w:rPr>
            </w:pPr>
            <w:r>
              <w:rPr>
                <w:rFonts w:ascii="Times New Roman"/>
                <w:sz w:val="18"/>
              </w:rPr>
              <w:t>951,188,960</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25" w:right="0"/>
              <w:jc w:val="center"/>
              <w:rPr>
                <w:rFonts w:ascii="Times New Roman" w:hAnsi="Times New Roman" w:cs="Times New Roman" w:eastAsia="Times New Roman" w:hint="default"/>
                <w:sz w:val="18"/>
                <w:szCs w:val="18"/>
              </w:rPr>
            </w:pPr>
            <w:r>
              <w:rPr>
                <w:rFonts w:ascii="Times New Roman"/>
                <w:sz w:val="18"/>
              </w:rPr>
              <w:t>387,582,085</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75,890,872</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pacing w:val="-1"/>
                <w:sz w:val="18"/>
              </w:rPr>
              <w:t>1,262,880,173</w:t>
            </w:r>
          </w:p>
        </w:tc>
      </w:tr>
      <w:tr>
        <w:trPr>
          <w:trHeight w:val="410" w:hRule="exact"/>
        </w:trPr>
        <w:tc>
          <w:tcPr>
            <w:tcW w:w="256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62"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1"/>
              <w:jc w:val="right"/>
              <w:rPr>
                <w:rFonts w:ascii="Times New Roman" w:hAnsi="Times New Roman" w:cs="Times New Roman" w:eastAsia="Times New Roman" w:hint="default"/>
                <w:sz w:val="18"/>
                <w:szCs w:val="18"/>
              </w:rPr>
            </w:pPr>
            <w:r>
              <w:rPr>
                <w:rFonts w:ascii="Times New Roman"/>
                <w:sz w:val="18"/>
              </w:rPr>
              <w:t>129,269,166</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16" w:right="0"/>
              <w:jc w:val="center"/>
              <w:rPr>
                <w:rFonts w:ascii="Times New Roman" w:hAnsi="Times New Roman" w:cs="Times New Roman" w:eastAsia="Times New Roman" w:hint="default"/>
                <w:sz w:val="18"/>
                <w:szCs w:val="18"/>
              </w:rPr>
            </w:pPr>
            <w:r>
              <w:rPr>
                <w:rFonts w:ascii="Times New Roman"/>
                <w:sz w:val="18"/>
              </w:rPr>
              <w:t>31,515,235</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51,189,612</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109,594,789</w:t>
            </w:r>
          </w:p>
        </w:tc>
      </w:tr>
      <w:tr>
        <w:trPr>
          <w:trHeight w:val="410" w:hRule="exact"/>
        </w:trPr>
        <w:tc>
          <w:tcPr>
            <w:tcW w:w="256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66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1"/>
              <w:jc w:val="right"/>
              <w:rPr>
                <w:rFonts w:ascii="Times New Roman" w:hAnsi="Times New Roman" w:cs="Times New Roman" w:eastAsia="Times New Roman" w:hint="default"/>
                <w:sz w:val="18"/>
                <w:szCs w:val="18"/>
              </w:rPr>
            </w:pPr>
            <w:r>
              <w:rPr>
                <w:rFonts w:ascii="Times New Roman"/>
                <w:sz w:val="18"/>
              </w:rPr>
              <w:t>5,614,333</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206" w:right="0"/>
              <w:jc w:val="center"/>
              <w:rPr>
                <w:rFonts w:ascii="Times New Roman" w:hAnsi="Times New Roman" w:cs="Times New Roman" w:eastAsia="Times New Roman" w:hint="default"/>
                <w:sz w:val="18"/>
                <w:szCs w:val="18"/>
              </w:rPr>
            </w:pPr>
            <w:r>
              <w:rPr>
                <w:rFonts w:ascii="Times New Roman"/>
                <w:sz w:val="18"/>
              </w:rPr>
              <w:t>1,572,904</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2,098,420</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5,088,817</w:t>
            </w:r>
          </w:p>
        </w:tc>
      </w:tr>
      <w:tr>
        <w:trPr>
          <w:trHeight w:val="324" w:hRule="exact"/>
        </w:trPr>
        <w:tc>
          <w:tcPr>
            <w:tcW w:w="2563" w:type="dxa"/>
            <w:tcBorders>
              <w:top w:val="nil" w:sz="6" w:space="0" w:color="auto"/>
              <w:left w:val="nil" w:sz="6" w:space="0" w:color="auto"/>
              <w:bottom w:val="single" w:sz="8" w:space="0" w:color="000000"/>
              <w:right w:val="nil" w:sz="6" w:space="0" w:color="auto"/>
            </w:tcBorders>
          </w:tcPr>
          <w:p>
            <w:pPr>
              <w:pStyle w:val="TableParagraph"/>
              <w:spacing w:line="240" w:lineRule="auto" w:before="50"/>
              <w:ind w:left="66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639"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201"/>
              <w:jc w:val="right"/>
              <w:rPr>
                <w:rFonts w:ascii="Times New Roman" w:hAnsi="Times New Roman" w:cs="Times New Roman" w:eastAsia="Times New Roman" w:hint="default"/>
                <w:sz w:val="18"/>
                <w:szCs w:val="18"/>
              </w:rPr>
            </w:pPr>
            <w:r>
              <w:rPr>
                <w:rFonts w:ascii="Times New Roman"/>
                <w:sz w:val="18"/>
              </w:rPr>
              <w:t>76,291,584</w:t>
            </w:r>
          </w:p>
        </w:tc>
        <w:tc>
          <w:tcPr>
            <w:tcW w:w="1301"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left="115" w:right="0"/>
              <w:jc w:val="center"/>
              <w:rPr>
                <w:rFonts w:ascii="Times New Roman" w:hAnsi="Times New Roman" w:cs="Times New Roman" w:eastAsia="Times New Roman" w:hint="default"/>
                <w:sz w:val="18"/>
                <w:szCs w:val="18"/>
              </w:rPr>
            </w:pPr>
            <w:r>
              <w:rPr>
                <w:rFonts w:ascii="Times New Roman"/>
                <w:sz w:val="18"/>
              </w:rPr>
              <w:t>38,503,631</w:t>
            </w:r>
          </w:p>
        </w:tc>
        <w:tc>
          <w:tcPr>
            <w:tcW w:w="1257"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16,525,508</w:t>
            </w:r>
          </w:p>
        </w:tc>
        <w:tc>
          <w:tcPr>
            <w:tcW w:w="1480"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98,269,707</w:t>
            </w:r>
          </w:p>
        </w:tc>
      </w:tr>
    </w:tbl>
    <w:p>
      <w:pPr>
        <w:spacing w:before="83"/>
        <w:ind w:left="857" w:right="0" w:firstLine="0"/>
        <w:jc w:val="left"/>
        <w:rPr>
          <w:rFonts w:ascii="宋体" w:hAnsi="宋体" w:cs="宋体" w:eastAsia="宋体" w:hint="default"/>
          <w:sz w:val="21"/>
          <w:szCs w:val="21"/>
        </w:rPr>
      </w:pPr>
      <w:r>
        <w:rPr/>
        <w:pict>
          <v:group style="position:absolute;margin-left:88.26001pt;margin-top:-371.485992pt;width:444.1pt;height:370.05pt;mso-position-horizontal-relative:page;mso-position-vertical-relative:paragraph;z-index:-987376" coordorigin="1765,-7430" coordsize="8882,7401">
            <v:group style="position:absolute;left:1770;top:-7425;width:8872;height:2" coordorigin="1770,-7425" coordsize="8872,2">
              <v:shape style="position:absolute;left:1770;top:-7425;width:8872;height:2" coordorigin="1770,-7425" coordsize="8872,0" path="m1770,-7425l10642,-7425e" filled="false" stroked="true" strokeweight=".47998pt" strokecolor="#000000">
                <v:path arrowok="t"/>
              </v:shape>
            </v:group>
            <v:group style="position:absolute;left:2410;top:-7411;width:2644;height:2" coordorigin="2410,-7411" coordsize="2644,2">
              <v:shape style="position:absolute;left:2410;top:-7411;width:2644;height:2" coordorigin="2410,-7411" coordsize="2644,0" path="m2410,-7411l5053,-7411e" filled="false" stroked="true" strokeweight=".96002pt" strokecolor="#000000">
                <v:path arrowok="t"/>
              </v:shape>
            </v:group>
            <v:group style="position:absolute;left:5053;top:-7411;width:1444;height:2" coordorigin="5053,-7411" coordsize="1444,2">
              <v:shape style="position:absolute;left:5053;top:-7411;width:1444;height:2" coordorigin="5053,-7411" coordsize="1444,0" path="m5053,-7411l6497,-7411e" filled="false" stroked="true" strokeweight=".96002pt" strokecolor="#000000">
                <v:path arrowok="t"/>
              </v:shape>
            </v:group>
            <v:group style="position:absolute;left:6497;top:-7411;width:1318;height:2" coordorigin="6497,-7411" coordsize="1318,2">
              <v:shape style="position:absolute;left:6497;top:-7411;width:1318;height:2" coordorigin="6497,-7411" coordsize="1318,0" path="m6497,-7411l7814,-7411e" filled="false" stroked="true" strokeweight=".96002pt" strokecolor="#000000">
                <v:path arrowok="t"/>
              </v:shape>
            </v:group>
            <v:group style="position:absolute;left:7814;top:-7411;width:1275;height:2" coordorigin="7814,-7411" coordsize="1275,2">
              <v:shape style="position:absolute;left:7814;top:-7411;width:1275;height:2" coordorigin="7814,-7411" coordsize="1275,0" path="m7814,-7411l9089,-7411e" filled="false" stroked="true" strokeweight=".96002pt" strokecolor="#000000">
                <v:path arrowok="t"/>
              </v:shape>
            </v:group>
            <v:group style="position:absolute;left:9089;top:-7411;width:1539;height:2" coordorigin="9089,-7411" coordsize="1539,2">
              <v:shape style="position:absolute;left:9089;top:-7411;width:1539;height:2" coordorigin="9089,-7411" coordsize="1539,0" path="m9089,-7411l10627,-7411e" filled="false" stroked="true" strokeweight=".96002pt" strokecolor="#000000">
                <v:path arrowok="t"/>
              </v:shape>
              <v:shape style="position:absolute;left:2410;top:-7401;width:8220;height:7372" type="#_x0000_t75" stroked="false">
                <v:imagedata r:id="rId78" o:title=""/>
              </v:shape>
            </v:group>
            <w10:wrap type="none"/>
          </v:group>
        </w:pict>
      </w:r>
      <w:r>
        <w:rPr>
          <w:rFonts w:ascii="宋体" w:hAnsi="宋体" w:cs="宋体" w:eastAsia="宋体" w:hint="default"/>
          <w:sz w:val="21"/>
          <w:szCs w:val="21"/>
        </w:rPr>
        <w:t>本期计提固定资产折旧</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96,043,999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before="110"/>
        <w:ind w:left="857" w:right="0" w:firstLine="0"/>
        <w:jc w:val="left"/>
        <w:rPr>
          <w:rFonts w:ascii="宋体" w:hAnsi="宋体" w:cs="宋体" w:eastAsia="宋体" w:hint="default"/>
          <w:sz w:val="21"/>
          <w:szCs w:val="21"/>
        </w:rPr>
      </w:pPr>
      <w:r>
        <w:rPr>
          <w:rFonts w:ascii="宋体" w:hAnsi="宋体" w:cs="宋体" w:eastAsia="宋体" w:hint="default"/>
          <w:sz w:val="21"/>
          <w:szCs w:val="21"/>
        </w:rPr>
        <w:t>本期由在建工程转入固定资产原值为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298,824,174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before="109"/>
        <w:ind w:left="857" w:right="0" w:firstLine="0"/>
        <w:jc w:val="left"/>
        <w:rPr>
          <w:rFonts w:ascii="宋体" w:hAnsi="宋体" w:cs="宋体" w:eastAsia="宋体" w:hint="default"/>
          <w:sz w:val="21"/>
          <w:szCs w:val="21"/>
        </w:rPr>
      </w:pPr>
      <w:r>
        <w:rPr>
          <w:rFonts w:ascii="宋体" w:hAnsi="宋体" w:cs="宋体" w:eastAsia="宋体" w:hint="default"/>
          <w:sz w:val="21"/>
          <w:szCs w:val="21"/>
        </w:rPr>
        <w:t>截止至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00</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2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3</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日，抵押、担保情况参见附注五（三十</w:t>
      </w:r>
      <w:r>
        <w:rPr>
          <w:rFonts w:ascii="宋体" w:hAnsi="宋体" w:cs="宋体" w:eastAsia="宋体" w:hint="default"/>
          <w:spacing w:val="-105"/>
          <w:sz w:val="21"/>
          <w:szCs w:val="21"/>
        </w:rPr>
        <w:t>）</w:t>
      </w:r>
      <w:r>
        <w:rPr>
          <w:rFonts w:ascii="宋体" w:hAnsi="宋体" w:cs="宋体" w:eastAsia="宋体" w:hint="default"/>
          <w:sz w:val="21"/>
          <w:szCs w:val="21"/>
        </w:rPr>
        <w:t>。</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413"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期末无暂时闲置的固定资产；</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1413"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本期无通过融资租赁租入的固定资产；</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396"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tab/>
        <w:t>本期无通过经营租赁租出的固定资产；</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396"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sz w:val="21"/>
          <w:szCs w:val="21"/>
        </w:rPr>
        <w:t>、</w:t>
        <w:tab/>
        <w:t>期末无持有待售的固定资产情况；</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1396"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sz w:val="21"/>
          <w:szCs w:val="21"/>
        </w:rPr>
        <w:t>、</w:t>
        <w:tab/>
        <w:t>期末未办妥产权证书的固定资产：</w:t>
      </w:r>
    </w:p>
    <w:p>
      <w:pPr>
        <w:spacing w:line="884" w:lineRule="exact"/>
        <w:ind w:left="725"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13.2pt;height:44.25pt;mso-position-horizontal-relative:char;mso-position-vertical-relative:line" coordorigin="0,0" coordsize="8264,885">
            <v:group style="position:absolute;left:24;top:10;width:1468;height:2" coordorigin="24,10" coordsize="1468,2">
              <v:shape style="position:absolute;left:24;top:10;width:1468;height:2" coordorigin="24,10" coordsize="1468,0" path="m24,10l1492,10e" filled="false" stroked="true" strokeweight=".96002pt" strokecolor="#000000">
                <v:path arrowok="t"/>
              </v:shape>
            </v:group>
            <v:group style="position:absolute;left:1492;top:10;width:1322;height:2" coordorigin="1492,10" coordsize="1322,2">
              <v:shape style="position:absolute;left:1492;top:10;width:1322;height:2" coordorigin="1492,10" coordsize="1322,0" path="m1492,10l2813,10e" filled="false" stroked="true" strokeweight=".96002pt" strokecolor="#000000">
                <v:path arrowok="t"/>
              </v:shape>
            </v:group>
            <v:group style="position:absolute;left:2813;top:10;width:2159;height:2" coordorigin="2813,10" coordsize="2159,2">
              <v:shape style="position:absolute;left:2813;top:10;width:2159;height:2" coordorigin="2813,10" coordsize="2159,0" path="m2813,10l4972,10e" filled="false" stroked="true" strokeweight=".96002pt" strokecolor="#000000">
                <v:path arrowok="t"/>
              </v:shape>
            </v:group>
            <v:group style="position:absolute;left:4972;top:10;width:3275;height:2" coordorigin="4972,10" coordsize="3275,2">
              <v:shape style="position:absolute;left:4972;top:10;width:3275;height:2" coordorigin="4972,10" coordsize="3275,0" path="m4972,10l8246,10e" filled="false" stroked="true" strokeweight=".96002pt" strokecolor="#000000">
                <v:path arrowok="t"/>
              </v:shape>
            </v:group>
            <v:group style="position:absolute;left:10;top:875;width:1482;height:2" coordorigin="10,875" coordsize="1482,2">
              <v:shape style="position:absolute;left:10;top:875;width:1482;height:2" coordorigin="10,875" coordsize="1482,0" path="m10,875l1492,875e" filled="false" stroked="true" strokeweight=".95999pt" strokecolor="#000000">
                <v:path arrowok="t"/>
              </v:shape>
            </v:group>
            <v:group style="position:absolute;left:1492;top:875;width:1322;height:2" coordorigin="1492,875" coordsize="1322,2">
              <v:shape style="position:absolute;left:1492;top:875;width:1322;height:2" coordorigin="1492,875" coordsize="1322,0" path="m1492,875l2813,875e" filled="false" stroked="true" strokeweight=".95999pt" strokecolor="#000000">
                <v:path arrowok="t"/>
              </v:shape>
            </v:group>
            <v:group style="position:absolute;left:2813;top:875;width:2159;height:2" coordorigin="2813,875" coordsize="2159,2">
              <v:shape style="position:absolute;left:2813;top:875;width:2159;height:2" coordorigin="2813,875" coordsize="2159,0" path="m2813,875l4972,875e" filled="false" stroked="true" strokeweight=".95999pt" strokecolor="#000000">
                <v:path arrowok="t"/>
              </v:shape>
              <v:shape style="position:absolute;left:24;top:19;width:8231;height:846" type="#_x0000_t75" stroked="false">
                <v:imagedata r:id="rId79" o:title=""/>
              </v:shape>
            </v:group>
            <v:group style="position:absolute;left:4972;top:875;width:3282;height:2" coordorigin="4972,875" coordsize="3282,2">
              <v:shape style="position:absolute;left:4972;top:875;width:3282;height:2" coordorigin="4972,875" coordsize="3282,0" path="m4972,875l8254,875e" filled="false" stroked="true" strokeweight=".95999pt" strokecolor="#000000">
                <v:path arrowok="t"/>
              </v:shape>
              <v:shape style="position:absolute;left:490;top:22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1796;top:229;width:3000;height:180" type="#_x0000_t202" filled="false" stroked="false">
                <v:textbox inset="0,0,0,0">
                  <w:txbxContent>
                    <w:p>
                      <w:pPr>
                        <w:tabs>
                          <w:tab w:pos="119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tab/>
                        <w:t>未办妥产权证书的原因</w:t>
                      </w:r>
                    </w:p>
                  </w:txbxContent>
                </v:textbox>
                <w10:wrap type="none"/>
              </v:shape>
              <v:shape style="position:absolute;left:5714;top:229;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预计办结产权证书时间</w:t>
                      </w:r>
                    </w:p>
                  </w:txbxContent>
                </v:textbox>
                <w10:wrap type="none"/>
              </v:shape>
              <v:shape style="position:absolute;left:132;top:65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房屋及建筑物</w:t>
                      </w:r>
                    </w:p>
                  </w:txbxContent>
                </v:textbox>
                <w10:wrap type="none"/>
              </v:shape>
              <v:shape style="position:absolute;left:1810;top:657;width:2916;height:200" type="#_x0000_t202" filled="false" stroked="false">
                <v:textbox inset="0,0,0,0">
                  <w:txbxContent>
                    <w:p>
                      <w:pPr>
                        <w:tabs>
                          <w:tab w:pos="111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322,247,847</w:t>
                        <w:tab/>
                      </w:r>
                      <w:r>
                        <w:rPr>
                          <w:rFonts w:ascii="宋体" w:hAnsi="宋体" w:cs="宋体" w:eastAsia="宋体" w:hint="default"/>
                          <w:position w:val="1"/>
                          <w:sz w:val="18"/>
                          <w:szCs w:val="18"/>
                        </w:rPr>
                        <w:t>相关手续准备、办理中</w:t>
                      </w:r>
                      <w:r>
                        <w:rPr>
                          <w:rFonts w:ascii="宋体" w:hAnsi="宋体" w:cs="宋体" w:eastAsia="宋体" w:hint="default"/>
                          <w:sz w:val="18"/>
                          <w:szCs w:val="18"/>
                        </w:rPr>
                      </w:r>
                    </w:p>
                  </w:txbxContent>
                </v:textbox>
                <w10:wrap type="none"/>
              </v:shape>
              <v:shape style="position:absolute;left:5086;top:657;width:30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待相关手续准备齐备后可取得产权证书</w:t>
                      </w:r>
                    </w:p>
                  </w:txbxContent>
                </v:textbox>
                <w10:wrap type="none"/>
              </v:shape>
            </v:group>
          </v:group>
        </w:pict>
      </w:r>
      <w:r>
        <w:rPr>
          <w:rFonts w:ascii="宋体" w:hAnsi="宋体" w:cs="宋体" w:eastAsia="宋体" w:hint="default"/>
          <w:position w:val="-17"/>
          <w:sz w:val="20"/>
          <w:szCs w:val="20"/>
        </w:rPr>
      </w:r>
    </w:p>
    <w:p>
      <w:pPr>
        <w:spacing w:after="0" w:line="884" w:lineRule="exact"/>
        <w:rPr>
          <w:rFonts w:ascii="宋体" w:hAnsi="宋体" w:cs="宋体" w:eastAsia="宋体" w:hint="default"/>
          <w:sz w:val="20"/>
          <w:szCs w:val="20"/>
        </w:rPr>
        <w:sectPr>
          <w:pgSz w:w="11900" w:h="16840"/>
          <w:pgMar w:header="883" w:footer="1003" w:top="1540" w:bottom="1200" w:left="1660" w:right="114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44.1pt;height:.5pt;mso-position-horizontal-relative:char;mso-position-vertical-relative:line" coordorigin="0,0" coordsize="8882,10">
            <v:group style="position:absolute;left:5;top:5;width:8872;height:2" coordorigin="5,5" coordsize="8872,2">
              <v:shape style="position:absolute;left:5;top:5;width:8872;height:2" coordorigin="5,5" coordsize="8872,0" path="m5,5l8876,5e" filled="false" stroked="true" strokeweight=".47998pt" strokecolor="#000000">
                <v:path arrowok="t"/>
              </v:shape>
            </v:group>
          </v:group>
        </w:pict>
      </w:r>
      <w:r>
        <w:rPr>
          <w:rFonts w:ascii="宋体" w:hAnsi="宋体" w:cs="宋体" w:eastAsia="宋体" w:hint="default"/>
          <w:sz w:val="2"/>
          <w:szCs w:val="2"/>
        </w:rPr>
      </w:r>
    </w:p>
    <w:p>
      <w:pPr>
        <w:spacing w:before="82"/>
        <w:ind w:left="125" w:right="0" w:firstLine="0"/>
        <w:jc w:val="left"/>
        <w:rPr>
          <w:rFonts w:ascii="宋体" w:hAnsi="宋体" w:cs="宋体" w:eastAsia="宋体" w:hint="default"/>
          <w:sz w:val="21"/>
          <w:szCs w:val="21"/>
        </w:rPr>
      </w:pPr>
      <w:r>
        <w:rPr/>
        <w:pict>
          <v:shape style="position:absolute;margin-left:120.480003pt;margin-top:60.403648pt;width:410.519981pt;height:286.62pt;mso-position-horizontal-relative:page;mso-position-vertical-relative:paragraph;z-index:-987328" type="#_x0000_t75" stroked="false">
            <v:imagedata r:id="rId80" o:title=""/>
          </v:shape>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12"/>
          <w:sz w:val="21"/>
          <w:szCs w:val="21"/>
        </w:rPr>
        <w:t> </w:t>
      </w:r>
      <w:r>
        <w:rPr>
          <w:rFonts w:ascii="宋体" w:hAnsi="宋体" w:cs="宋体" w:eastAsia="宋体" w:hint="default"/>
          <w:sz w:val="21"/>
          <w:szCs w:val="21"/>
        </w:rPr>
        <w:t>在建工程</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tbl>
      <w:tblPr>
        <w:tblW w:w="0" w:type="auto"/>
        <w:jc w:val="left"/>
        <w:tblInd w:w="756" w:type="dxa"/>
        <w:tblLayout w:type="fixed"/>
        <w:tblCellMar>
          <w:top w:w="0" w:type="dxa"/>
          <w:left w:w="0" w:type="dxa"/>
          <w:bottom w:w="0" w:type="dxa"/>
          <w:right w:w="0" w:type="dxa"/>
        </w:tblCellMar>
        <w:tblLook w:val="01E0"/>
      </w:tblPr>
      <w:tblGrid>
        <w:gridCol w:w="2207"/>
        <w:gridCol w:w="925"/>
        <w:gridCol w:w="951"/>
        <w:gridCol w:w="938"/>
        <w:gridCol w:w="1117"/>
        <w:gridCol w:w="940"/>
        <w:gridCol w:w="1111"/>
      </w:tblGrid>
      <w:tr>
        <w:trPr>
          <w:trHeight w:val="351" w:hRule="exact"/>
        </w:trPr>
        <w:tc>
          <w:tcPr>
            <w:tcW w:w="2207" w:type="dxa"/>
            <w:tcBorders>
              <w:top w:val="nil" w:sz="6" w:space="0" w:color="auto"/>
              <w:left w:val="nil" w:sz="6" w:space="0" w:color="auto"/>
              <w:bottom w:val="single" w:sz="8" w:space="0" w:color="000000"/>
              <w:right w:val="nil" w:sz="6" w:space="0" w:color="auto"/>
            </w:tcBorders>
          </w:tcPr>
          <w:p>
            <w:pPr>
              <w:pStyle w:val="TableParagraph"/>
              <w:tabs>
                <w:tab w:pos="639" w:val="left" w:leader="none"/>
              </w:tabs>
              <w:spacing w:line="240" w:lineRule="auto" w:before="35"/>
              <w:ind w:left="100"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在建工程明细</w:t>
            </w:r>
          </w:p>
        </w:tc>
        <w:tc>
          <w:tcPr>
            <w:tcW w:w="5983" w:type="dxa"/>
            <w:gridSpan w:val="6"/>
            <w:tcBorders>
              <w:top w:val="nil" w:sz="6" w:space="0" w:color="auto"/>
              <w:left w:val="nil" w:sz="6" w:space="0" w:color="auto"/>
              <w:bottom w:val="single" w:sz="8" w:space="0" w:color="000000"/>
              <w:right w:val="nil" w:sz="6" w:space="0" w:color="auto"/>
            </w:tcBorders>
          </w:tcPr>
          <w:p>
            <w:pPr/>
          </w:p>
        </w:tc>
      </w:tr>
      <w:tr>
        <w:trPr>
          <w:trHeight w:val="595" w:hRule="exact"/>
        </w:trPr>
        <w:tc>
          <w:tcPr>
            <w:tcW w:w="2207" w:type="dxa"/>
            <w:tcBorders>
              <w:top w:val="single" w:sz="8"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57"/>
              <w:jc w:val="center"/>
              <w:rPr>
                <w:rFonts w:ascii="宋体" w:hAnsi="宋体" w:cs="宋体" w:eastAsia="宋体" w:hint="default"/>
                <w:sz w:val="18"/>
                <w:szCs w:val="18"/>
              </w:rPr>
            </w:pPr>
            <w:r>
              <w:rPr>
                <w:rFonts w:ascii="宋体" w:hAnsi="宋体" w:cs="宋体" w:eastAsia="宋体" w:hint="default"/>
                <w:sz w:val="18"/>
                <w:szCs w:val="18"/>
              </w:rPr>
              <w:t>项  目</w:t>
            </w:r>
          </w:p>
        </w:tc>
        <w:tc>
          <w:tcPr>
            <w:tcW w:w="925" w:type="dxa"/>
            <w:tcBorders>
              <w:top w:val="single" w:sz="8" w:space="0" w:color="000000"/>
              <w:left w:val="nil" w:sz="6" w:space="0" w:color="auto"/>
              <w:bottom w:val="nil" w:sz="6" w:space="0" w:color="auto"/>
              <w:right w:val="nil" w:sz="6" w:space="0" w:color="auto"/>
            </w:tcBorders>
          </w:tcPr>
          <w:p>
            <w:pPr/>
          </w:p>
        </w:tc>
        <w:tc>
          <w:tcPr>
            <w:tcW w:w="951"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right="132"/>
              <w:jc w:val="right"/>
              <w:rPr>
                <w:rFonts w:ascii="宋体" w:hAnsi="宋体" w:cs="宋体" w:eastAsia="宋体" w:hint="default"/>
                <w:sz w:val="18"/>
                <w:szCs w:val="18"/>
              </w:rPr>
            </w:pPr>
            <w:r>
              <w:rPr>
                <w:rFonts w:ascii="宋体" w:hAnsi="宋体" w:cs="宋体" w:eastAsia="宋体" w:hint="default"/>
                <w:sz w:val="18"/>
                <w:szCs w:val="18"/>
              </w:rPr>
              <w:t>期末金额</w:t>
            </w:r>
          </w:p>
        </w:tc>
        <w:tc>
          <w:tcPr>
            <w:tcW w:w="938" w:type="dxa"/>
            <w:tcBorders>
              <w:top w:val="single" w:sz="8" w:space="0" w:color="000000"/>
              <w:left w:val="nil" w:sz="6" w:space="0" w:color="auto"/>
              <w:bottom w:val="nil" w:sz="6" w:space="0" w:color="auto"/>
              <w:right w:val="nil" w:sz="6" w:space="0" w:color="auto"/>
            </w:tcBorders>
          </w:tcPr>
          <w:p>
            <w:pPr/>
          </w:p>
        </w:tc>
        <w:tc>
          <w:tcPr>
            <w:tcW w:w="1117" w:type="dxa"/>
            <w:tcBorders>
              <w:top w:val="single" w:sz="8" w:space="0" w:color="000000"/>
              <w:left w:val="nil" w:sz="6" w:space="0" w:color="auto"/>
              <w:bottom w:val="nil" w:sz="6" w:space="0" w:color="auto"/>
              <w:right w:val="nil" w:sz="6" w:space="0" w:color="auto"/>
            </w:tcBorders>
          </w:tcPr>
          <w:p>
            <w:pPr/>
          </w:p>
        </w:tc>
        <w:tc>
          <w:tcPr>
            <w:tcW w:w="940"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left="110" w:right="0"/>
              <w:jc w:val="left"/>
              <w:rPr>
                <w:rFonts w:ascii="宋体" w:hAnsi="宋体" w:cs="宋体" w:eastAsia="宋体" w:hint="default"/>
                <w:sz w:val="18"/>
                <w:szCs w:val="18"/>
              </w:rPr>
            </w:pPr>
            <w:r>
              <w:rPr>
                <w:rFonts w:ascii="宋体" w:hAnsi="宋体" w:cs="宋体" w:eastAsia="宋体" w:hint="default"/>
                <w:sz w:val="18"/>
                <w:szCs w:val="18"/>
              </w:rPr>
              <w:t>期初金额</w:t>
            </w:r>
          </w:p>
        </w:tc>
        <w:tc>
          <w:tcPr>
            <w:tcW w:w="1111" w:type="dxa"/>
            <w:tcBorders>
              <w:top w:val="single" w:sz="8" w:space="0" w:color="000000"/>
              <w:left w:val="nil" w:sz="6" w:space="0" w:color="auto"/>
              <w:bottom w:val="nil" w:sz="6" w:space="0" w:color="auto"/>
              <w:right w:val="nil" w:sz="6" w:space="0" w:color="auto"/>
            </w:tcBorders>
          </w:tcPr>
          <w:p>
            <w:pPr/>
          </w:p>
        </w:tc>
      </w:tr>
      <w:tr>
        <w:trPr>
          <w:trHeight w:val="313" w:hRule="exact"/>
        </w:trPr>
        <w:tc>
          <w:tcPr>
            <w:tcW w:w="2207"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Style w:val="TableParagraph"/>
              <w:spacing w:line="197" w:lineRule="exact"/>
              <w:ind w:right="38"/>
              <w:jc w:val="center"/>
              <w:rPr>
                <w:rFonts w:ascii="宋体" w:hAnsi="宋体" w:cs="宋体" w:eastAsia="宋体" w:hint="default"/>
                <w:sz w:val="18"/>
                <w:szCs w:val="18"/>
              </w:rPr>
            </w:pPr>
            <w:r>
              <w:rPr>
                <w:rFonts w:ascii="宋体" w:hAnsi="宋体" w:cs="宋体" w:eastAsia="宋体" w:hint="default"/>
                <w:sz w:val="18"/>
                <w:szCs w:val="18"/>
              </w:rPr>
              <w:t>账面金额</w:t>
            </w:r>
          </w:p>
        </w:tc>
        <w:tc>
          <w:tcPr>
            <w:tcW w:w="951" w:type="dxa"/>
            <w:tcBorders>
              <w:top w:val="nil" w:sz="6" w:space="0" w:color="auto"/>
              <w:left w:val="nil" w:sz="6" w:space="0" w:color="auto"/>
              <w:bottom w:val="nil" w:sz="6" w:space="0" w:color="auto"/>
              <w:right w:val="nil" w:sz="6" w:space="0" w:color="auto"/>
            </w:tcBorders>
          </w:tcPr>
          <w:p>
            <w:pPr>
              <w:pStyle w:val="TableParagraph"/>
              <w:spacing w:line="197" w:lineRule="exact"/>
              <w:ind w:right="107"/>
              <w:jc w:val="right"/>
              <w:rPr>
                <w:rFonts w:ascii="宋体" w:hAnsi="宋体" w:cs="宋体" w:eastAsia="宋体" w:hint="default"/>
                <w:sz w:val="18"/>
                <w:szCs w:val="18"/>
              </w:rPr>
            </w:pPr>
            <w:r>
              <w:rPr>
                <w:rFonts w:ascii="宋体" w:hAnsi="宋体" w:cs="宋体" w:eastAsia="宋体" w:hint="default"/>
                <w:sz w:val="18"/>
                <w:szCs w:val="18"/>
              </w:rPr>
              <w:t>减值准备</w:t>
            </w:r>
          </w:p>
        </w:tc>
        <w:tc>
          <w:tcPr>
            <w:tcW w:w="938" w:type="dxa"/>
            <w:tcBorders>
              <w:top w:val="nil" w:sz="6" w:space="0" w:color="auto"/>
              <w:left w:val="nil" w:sz="6" w:space="0" w:color="auto"/>
              <w:bottom w:val="nil" w:sz="6" w:space="0" w:color="auto"/>
              <w:right w:val="nil" w:sz="6" w:space="0" w:color="auto"/>
            </w:tcBorders>
          </w:tcPr>
          <w:p>
            <w:pPr>
              <w:pStyle w:val="TableParagraph"/>
              <w:spacing w:line="197" w:lineRule="exact"/>
              <w:ind w:right="106"/>
              <w:jc w:val="right"/>
              <w:rPr>
                <w:rFonts w:ascii="宋体" w:hAnsi="宋体" w:cs="宋体" w:eastAsia="宋体" w:hint="default"/>
                <w:sz w:val="18"/>
                <w:szCs w:val="18"/>
              </w:rPr>
            </w:pPr>
            <w:r>
              <w:rPr>
                <w:rFonts w:ascii="宋体" w:hAnsi="宋体" w:cs="宋体" w:eastAsia="宋体" w:hint="default"/>
                <w:sz w:val="18"/>
                <w:szCs w:val="18"/>
              </w:rPr>
              <w:t>账面价值</w:t>
            </w:r>
          </w:p>
        </w:tc>
        <w:tc>
          <w:tcPr>
            <w:tcW w:w="1117" w:type="dxa"/>
            <w:tcBorders>
              <w:top w:val="nil" w:sz="6" w:space="0" w:color="auto"/>
              <w:left w:val="nil" w:sz="6" w:space="0" w:color="auto"/>
              <w:bottom w:val="nil" w:sz="6" w:space="0" w:color="auto"/>
              <w:right w:val="nil" w:sz="6" w:space="0" w:color="auto"/>
            </w:tcBorders>
          </w:tcPr>
          <w:p>
            <w:pPr>
              <w:pStyle w:val="TableParagraph"/>
              <w:spacing w:line="197" w:lineRule="exact"/>
              <w:ind w:left="198"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940" w:type="dxa"/>
            <w:tcBorders>
              <w:top w:val="nil" w:sz="6" w:space="0" w:color="auto"/>
              <w:left w:val="nil" w:sz="6" w:space="0" w:color="auto"/>
              <w:bottom w:val="nil" w:sz="6" w:space="0" w:color="auto"/>
              <w:right w:val="nil" w:sz="6" w:space="0" w:color="auto"/>
            </w:tcBorders>
          </w:tcPr>
          <w:p>
            <w:pPr>
              <w:pStyle w:val="TableParagraph"/>
              <w:spacing w:line="197" w:lineRule="exact"/>
              <w:ind w:left="10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11" w:type="dxa"/>
            <w:tcBorders>
              <w:top w:val="nil" w:sz="6" w:space="0" w:color="auto"/>
              <w:left w:val="nil" w:sz="6" w:space="0" w:color="auto"/>
              <w:bottom w:val="nil" w:sz="6" w:space="0" w:color="auto"/>
              <w:right w:val="nil" w:sz="6" w:space="0" w:color="auto"/>
            </w:tcBorders>
          </w:tcPr>
          <w:p>
            <w:pPr>
              <w:pStyle w:val="TableParagraph"/>
              <w:spacing w:line="197" w:lineRule="exact"/>
              <w:ind w:left="196"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20" w:hRule="exact"/>
        </w:trPr>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0" w:right="0"/>
              <w:jc w:val="left"/>
              <w:rPr>
                <w:rFonts w:ascii="宋体" w:hAnsi="宋体" w:cs="宋体" w:eastAsia="宋体" w:hint="default"/>
                <w:sz w:val="18"/>
                <w:szCs w:val="18"/>
              </w:rPr>
            </w:pPr>
            <w:r>
              <w:rPr>
                <w:rFonts w:ascii="宋体" w:hAnsi="宋体" w:cs="宋体" w:eastAsia="宋体" w:hint="default"/>
                <w:sz w:val="18"/>
                <w:szCs w:val="18"/>
              </w:rPr>
              <w:t>南京研发中心</w:t>
            </w:r>
          </w:p>
        </w:tc>
        <w:tc>
          <w:tcPr>
            <w:tcW w:w="925"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
        </w:tc>
        <w:tc>
          <w:tcPr>
            <w:tcW w:w="938"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6"/>
              <w:jc w:val="right"/>
              <w:rPr>
                <w:rFonts w:ascii="Times New Roman" w:hAnsi="Times New Roman" w:cs="Times New Roman" w:eastAsia="Times New Roman" w:hint="default"/>
                <w:sz w:val="18"/>
                <w:szCs w:val="18"/>
              </w:rPr>
            </w:pPr>
            <w:r>
              <w:rPr>
                <w:rFonts w:ascii="Times New Roman"/>
                <w:sz w:val="18"/>
              </w:rPr>
              <w:t>64,023,398</w:t>
            </w:r>
          </w:p>
        </w:tc>
        <w:tc>
          <w:tcPr>
            <w:tcW w:w="940"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99"/>
              <w:jc w:val="right"/>
              <w:rPr>
                <w:rFonts w:ascii="Times New Roman" w:hAnsi="Times New Roman" w:cs="Times New Roman" w:eastAsia="Times New Roman" w:hint="default"/>
                <w:sz w:val="18"/>
                <w:szCs w:val="18"/>
              </w:rPr>
            </w:pPr>
            <w:r>
              <w:rPr>
                <w:rFonts w:ascii="Times New Roman"/>
                <w:sz w:val="18"/>
              </w:rPr>
              <w:t>64,023,398</w:t>
            </w:r>
          </w:p>
        </w:tc>
      </w:tr>
      <w:tr>
        <w:trPr>
          <w:trHeight w:val="410" w:hRule="exact"/>
        </w:trPr>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0" w:right="0"/>
              <w:jc w:val="left"/>
              <w:rPr>
                <w:rFonts w:ascii="宋体" w:hAnsi="宋体" w:cs="宋体" w:eastAsia="宋体" w:hint="default"/>
                <w:sz w:val="18"/>
                <w:szCs w:val="18"/>
              </w:rPr>
            </w:pPr>
            <w:r>
              <w:rPr>
                <w:rFonts w:ascii="宋体" w:hAnsi="宋体" w:cs="宋体" w:eastAsia="宋体" w:hint="default"/>
                <w:sz w:val="18"/>
                <w:szCs w:val="18"/>
              </w:rPr>
              <w:t>沈阳实训基地附属</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楼</w:t>
            </w:r>
          </w:p>
        </w:tc>
        <w:tc>
          <w:tcPr>
            <w:tcW w:w="925"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
        </w:tc>
        <w:tc>
          <w:tcPr>
            <w:tcW w:w="938"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879,453</w:t>
            </w:r>
          </w:p>
        </w:tc>
        <w:tc>
          <w:tcPr>
            <w:tcW w:w="940"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z w:val="18"/>
              </w:rPr>
              <w:t>879,453</w:t>
            </w:r>
          </w:p>
        </w:tc>
      </w:tr>
      <w:tr>
        <w:trPr>
          <w:trHeight w:val="410" w:hRule="exact"/>
        </w:trPr>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沈阳实训与研发楼</w:t>
            </w:r>
          </w:p>
        </w:tc>
        <w:tc>
          <w:tcPr>
            <w:tcW w:w="925"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
        </w:tc>
        <w:tc>
          <w:tcPr>
            <w:tcW w:w="938"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65,758,024</w:t>
            </w:r>
          </w:p>
        </w:tc>
        <w:tc>
          <w:tcPr>
            <w:tcW w:w="940"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z w:val="18"/>
              </w:rPr>
              <w:t>65,758,024</w:t>
            </w:r>
          </w:p>
        </w:tc>
      </w:tr>
      <w:tr>
        <w:trPr>
          <w:trHeight w:val="410" w:hRule="exact"/>
        </w:trPr>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0" w:right="0"/>
              <w:jc w:val="left"/>
              <w:rPr>
                <w:rFonts w:ascii="宋体" w:hAnsi="宋体" w:cs="宋体" w:eastAsia="宋体" w:hint="default"/>
                <w:sz w:val="18"/>
                <w:szCs w:val="18"/>
              </w:rPr>
            </w:pPr>
            <w:r>
              <w:rPr>
                <w:rFonts w:ascii="宋体" w:hAnsi="宋体" w:cs="宋体" w:eastAsia="宋体" w:hint="default"/>
                <w:sz w:val="18"/>
                <w:szCs w:val="18"/>
              </w:rPr>
              <w:t>沈阳园区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办公楼</w:t>
            </w:r>
          </w:p>
        </w:tc>
        <w:tc>
          <w:tcPr>
            <w:tcW w:w="925"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
        </w:tc>
        <w:tc>
          <w:tcPr>
            <w:tcW w:w="938"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16,990,750</w:t>
            </w:r>
          </w:p>
        </w:tc>
        <w:tc>
          <w:tcPr>
            <w:tcW w:w="940"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z w:val="18"/>
              </w:rPr>
              <w:t>16,990,750</w:t>
            </w:r>
          </w:p>
        </w:tc>
      </w:tr>
      <w:tr>
        <w:trPr>
          <w:trHeight w:val="410" w:hRule="exact"/>
        </w:trPr>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0" w:right="0"/>
              <w:jc w:val="left"/>
              <w:rPr>
                <w:rFonts w:ascii="宋体" w:hAnsi="宋体" w:cs="宋体" w:eastAsia="宋体" w:hint="default"/>
                <w:sz w:val="18"/>
                <w:szCs w:val="18"/>
              </w:rPr>
            </w:pPr>
            <w:r>
              <w:rPr>
                <w:rFonts w:ascii="宋体" w:hAnsi="宋体" w:cs="宋体" w:eastAsia="宋体" w:hint="default"/>
                <w:sz w:val="18"/>
                <w:szCs w:val="18"/>
              </w:rPr>
              <w:t>沈阳园区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办公楼</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8" w:right="0"/>
              <w:jc w:val="center"/>
              <w:rPr>
                <w:rFonts w:ascii="Times New Roman" w:hAnsi="Times New Roman" w:cs="Times New Roman" w:eastAsia="Times New Roman" w:hint="default"/>
                <w:sz w:val="18"/>
                <w:szCs w:val="18"/>
              </w:rPr>
            </w:pPr>
            <w:r>
              <w:rPr>
                <w:rFonts w:ascii="Times New Roman"/>
                <w:sz w:val="18"/>
              </w:rPr>
              <w:t>1,313,679</w:t>
            </w:r>
          </w:p>
        </w:tc>
        <w:tc>
          <w:tcPr>
            <w:tcW w:w="951" w:type="dxa"/>
            <w:tcBorders>
              <w:top w:val="nil" w:sz="6" w:space="0" w:color="auto"/>
              <w:left w:val="nil" w:sz="6" w:space="0" w:color="auto"/>
              <w:bottom w:val="nil" w:sz="6" w:space="0" w:color="auto"/>
              <w:right w:val="nil" w:sz="6" w:space="0" w:color="auto"/>
            </w:tcBorders>
          </w:tcPr>
          <w:p>
            <w:pPr/>
          </w:p>
        </w:tc>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1,313,679</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829,964</w:t>
            </w:r>
          </w:p>
        </w:tc>
        <w:tc>
          <w:tcPr>
            <w:tcW w:w="940"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z w:val="18"/>
              </w:rPr>
              <w:t>829,964</w:t>
            </w:r>
          </w:p>
        </w:tc>
      </w:tr>
      <w:tr>
        <w:trPr>
          <w:trHeight w:val="410" w:hRule="exact"/>
        </w:trPr>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大连开发培训楼</w:t>
            </w:r>
          </w:p>
        </w:tc>
        <w:tc>
          <w:tcPr>
            <w:tcW w:w="925"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
        </w:tc>
        <w:tc>
          <w:tcPr>
            <w:tcW w:w="938"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3,224,162</w:t>
            </w:r>
          </w:p>
        </w:tc>
        <w:tc>
          <w:tcPr>
            <w:tcW w:w="940"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z w:val="18"/>
              </w:rPr>
              <w:t>3,224,162</w:t>
            </w:r>
          </w:p>
        </w:tc>
      </w:tr>
      <w:tr>
        <w:trPr>
          <w:trHeight w:val="410" w:hRule="exact"/>
        </w:trPr>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0" w:right="0"/>
              <w:jc w:val="left"/>
              <w:rPr>
                <w:rFonts w:ascii="宋体" w:hAnsi="宋体" w:cs="宋体" w:eastAsia="宋体" w:hint="default"/>
                <w:sz w:val="18"/>
                <w:szCs w:val="18"/>
              </w:rPr>
            </w:pPr>
            <w:r>
              <w:rPr>
                <w:rFonts w:ascii="宋体" w:hAnsi="宋体" w:cs="宋体" w:eastAsia="宋体" w:hint="default"/>
                <w:sz w:val="18"/>
                <w:szCs w:val="18"/>
              </w:rPr>
              <w:t>广州软件园（一期）</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8" w:right="0"/>
              <w:jc w:val="center"/>
              <w:rPr>
                <w:rFonts w:ascii="Times New Roman" w:hAnsi="Times New Roman" w:cs="Times New Roman" w:eastAsia="Times New Roman" w:hint="default"/>
                <w:sz w:val="18"/>
                <w:szCs w:val="18"/>
              </w:rPr>
            </w:pPr>
            <w:r>
              <w:rPr>
                <w:rFonts w:ascii="Times New Roman"/>
                <w:sz w:val="18"/>
              </w:rPr>
              <w:t>3,626,982</w:t>
            </w:r>
          </w:p>
        </w:tc>
        <w:tc>
          <w:tcPr>
            <w:tcW w:w="951" w:type="dxa"/>
            <w:tcBorders>
              <w:top w:val="nil" w:sz="6" w:space="0" w:color="auto"/>
              <w:left w:val="nil" w:sz="6" w:space="0" w:color="auto"/>
              <w:bottom w:val="nil" w:sz="6" w:space="0" w:color="auto"/>
              <w:right w:val="nil" w:sz="6" w:space="0" w:color="auto"/>
            </w:tcBorders>
          </w:tcPr>
          <w:p>
            <w:pPr/>
          </w:p>
        </w:tc>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3,626,982</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18,792</w:t>
            </w:r>
          </w:p>
        </w:tc>
        <w:tc>
          <w:tcPr>
            <w:tcW w:w="940"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z w:val="18"/>
              </w:rPr>
              <w:t>18,792</w:t>
            </w:r>
          </w:p>
        </w:tc>
      </w:tr>
      <w:tr>
        <w:trPr>
          <w:trHeight w:val="410" w:hRule="exact"/>
        </w:trPr>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0" w:right="0"/>
              <w:jc w:val="left"/>
              <w:rPr>
                <w:rFonts w:ascii="宋体" w:hAnsi="宋体" w:cs="宋体" w:eastAsia="宋体" w:hint="default"/>
                <w:sz w:val="18"/>
                <w:szCs w:val="18"/>
              </w:rPr>
            </w:pPr>
            <w:r>
              <w:rPr>
                <w:rFonts w:ascii="宋体" w:hAnsi="宋体" w:cs="宋体" w:eastAsia="宋体" w:hint="default"/>
                <w:sz w:val="18"/>
                <w:szCs w:val="18"/>
              </w:rPr>
              <w:t>上海软件园</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8" w:right="0"/>
              <w:jc w:val="center"/>
              <w:rPr>
                <w:rFonts w:ascii="Times New Roman" w:hAnsi="Times New Roman" w:cs="Times New Roman" w:eastAsia="Times New Roman" w:hint="default"/>
                <w:sz w:val="18"/>
                <w:szCs w:val="18"/>
              </w:rPr>
            </w:pPr>
            <w:r>
              <w:rPr>
                <w:rFonts w:ascii="Times New Roman"/>
                <w:sz w:val="18"/>
              </w:rPr>
              <w:t>1,803,284</w:t>
            </w:r>
          </w:p>
        </w:tc>
        <w:tc>
          <w:tcPr>
            <w:tcW w:w="951" w:type="dxa"/>
            <w:tcBorders>
              <w:top w:val="nil" w:sz="6" w:space="0" w:color="auto"/>
              <w:left w:val="nil" w:sz="6" w:space="0" w:color="auto"/>
              <w:bottom w:val="nil" w:sz="6" w:space="0" w:color="auto"/>
              <w:right w:val="nil" w:sz="6" w:space="0" w:color="auto"/>
            </w:tcBorders>
          </w:tcPr>
          <w:p>
            <w:pPr/>
          </w:p>
        </w:tc>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1,803,284</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4,302,568</w:t>
            </w:r>
          </w:p>
        </w:tc>
        <w:tc>
          <w:tcPr>
            <w:tcW w:w="940"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z w:val="18"/>
              </w:rPr>
              <w:t>4,302,568</w:t>
            </w:r>
          </w:p>
        </w:tc>
      </w:tr>
      <w:tr>
        <w:trPr>
          <w:trHeight w:val="410" w:hRule="exact"/>
        </w:trPr>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沈阳实训基地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附属楼</w:t>
            </w:r>
          </w:p>
        </w:tc>
        <w:tc>
          <w:tcPr>
            <w:tcW w:w="925"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
        </w:tc>
        <w:tc>
          <w:tcPr>
            <w:tcW w:w="938"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67,191,350</w:t>
            </w:r>
          </w:p>
        </w:tc>
        <w:tc>
          <w:tcPr>
            <w:tcW w:w="940"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z w:val="18"/>
              </w:rPr>
              <w:t>67,191,350</w:t>
            </w:r>
          </w:p>
        </w:tc>
      </w:tr>
      <w:tr>
        <w:trPr>
          <w:trHeight w:val="410" w:hRule="exact"/>
        </w:trPr>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0" w:right="0"/>
              <w:jc w:val="left"/>
              <w:rPr>
                <w:rFonts w:ascii="宋体" w:hAnsi="宋体" w:cs="宋体" w:eastAsia="宋体" w:hint="default"/>
                <w:sz w:val="18"/>
                <w:szCs w:val="18"/>
              </w:rPr>
            </w:pPr>
            <w:r>
              <w:rPr>
                <w:rFonts w:ascii="宋体" w:hAnsi="宋体" w:cs="宋体" w:eastAsia="宋体" w:hint="default"/>
                <w:sz w:val="18"/>
                <w:szCs w:val="18"/>
              </w:rPr>
              <w:t>医疗核磁屏蔽间</w:t>
            </w:r>
          </w:p>
        </w:tc>
        <w:tc>
          <w:tcPr>
            <w:tcW w:w="925"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
        </w:tc>
        <w:tc>
          <w:tcPr>
            <w:tcW w:w="938"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49,729</w:t>
            </w:r>
          </w:p>
        </w:tc>
        <w:tc>
          <w:tcPr>
            <w:tcW w:w="940"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z w:val="18"/>
              </w:rPr>
              <w:t>49,729</w:t>
            </w:r>
          </w:p>
        </w:tc>
      </w:tr>
      <w:tr>
        <w:trPr>
          <w:trHeight w:val="400" w:hRule="exact"/>
        </w:trPr>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0" w:right="0"/>
              <w:jc w:val="left"/>
              <w:rPr>
                <w:rFonts w:ascii="宋体" w:hAnsi="宋体" w:cs="宋体" w:eastAsia="宋体" w:hint="default"/>
                <w:sz w:val="18"/>
                <w:szCs w:val="18"/>
              </w:rPr>
            </w:pPr>
            <w:r>
              <w:rPr>
                <w:rFonts w:ascii="宋体" w:hAnsi="宋体" w:cs="宋体" w:eastAsia="宋体" w:hint="default"/>
                <w:sz w:val="18"/>
                <w:szCs w:val="18"/>
              </w:rPr>
              <w:t>成都软件园三期资产</w:t>
            </w:r>
          </w:p>
        </w:tc>
        <w:tc>
          <w:tcPr>
            <w:tcW w:w="925"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
        </w:tc>
        <w:tc>
          <w:tcPr>
            <w:tcW w:w="938"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
        </w:tc>
        <w:tc>
          <w:tcPr>
            <w:tcW w:w="940"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34" w:hRule="exact"/>
        </w:trPr>
        <w:tc>
          <w:tcPr>
            <w:tcW w:w="2207" w:type="dxa"/>
            <w:tcBorders>
              <w:top w:val="nil" w:sz="6" w:space="0" w:color="auto"/>
              <w:left w:val="nil" w:sz="6" w:space="0" w:color="auto"/>
              <w:bottom w:val="single" w:sz="8" w:space="0" w:color="000000"/>
              <w:right w:val="nil" w:sz="6" w:space="0" w:color="auto"/>
            </w:tcBorders>
          </w:tcPr>
          <w:p>
            <w:pPr>
              <w:pStyle w:val="TableParagraph"/>
              <w:spacing w:line="240" w:lineRule="auto" w:before="59"/>
              <w:ind w:right="57"/>
              <w:jc w:val="center"/>
              <w:rPr>
                <w:rFonts w:ascii="宋体" w:hAnsi="宋体" w:cs="宋体" w:eastAsia="宋体" w:hint="default"/>
                <w:sz w:val="18"/>
                <w:szCs w:val="18"/>
              </w:rPr>
            </w:pPr>
            <w:r>
              <w:rPr>
                <w:rFonts w:ascii="宋体" w:hAnsi="宋体" w:cs="宋体" w:eastAsia="宋体" w:hint="default"/>
                <w:sz w:val="18"/>
                <w:szCs w:val="18"/>
              </w:rPr>
              <w:t>合  计</w:t>
            </w:r>
          </w:p>
        </w:tc>
        <w:tc>
          <w:tcPr>
            <w:tcW w:w="925"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left="8" w:right="0"/>
              <w:jc w:val="center"/>
              <w:rPr>
                <w:rFonts w:ascii="Times New Roman" w:hAnsi="Times New Roman" w:cs="Times New Roman" w:eastAsia="Times New Roman" w:hint="default"/>
                <w:sz w:val="18"/>
                <w:szCs w:val="18"/>
              </w:rPr>
            </w:pPr>
            <w:r>
              <w:rPr>
                <w:rFonts w:ascii="Times New Roman"/>
                <w:sz w:val="18"/>
              </w:rPr>
              <w:t>6,743,945</w:t>
            </w:r>
          </w:p>
        </w:tc>
        <w:tc>
          <w:tcPr>
            <w:tcW w:w="951" w:type="dxa"/>
            <w:tcBorders>
              <w:top w:val="nil" w:sz="6" w:space="0" w:color="auto"/>
              <w:left w:val="nil" w:sz="6" w:space="0" w:color="auto"/>
              <w:bottom w:val="single" w:sz="8" w:space="0" w:color="000000"/>
              <w:right w:val="nil" w:sz="6" w:space="0" w:color="auto"/>
            </w:tcBorders>
          </w:tcPr>
          <w:p>
            <w:pPr/>
          </w:p>
        </w:tc>
        <w:tc>
          <w:tcPr>
            <w:tcW w:w="938"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right="106"/>
              <w:jc w:val="right"/>
              <w:rPr>
                <w:rFonts w:ascii="Times New Roman" w:hAnsi="Times New Roman" w:cs="Times New Roman" w:eastAsia="Times New Roman" w:hint="default"/>
                <w:sz w:val="18"/>
                <w:szCs w:val="18"/>
              </w:rPr>
            </w:pPr>
            <w:r>
              <w:rPr>
                <w:rFonts w:ascii="Times New Roman"/>
                <w:sz w:val="18"/>
              </w:rPr>
              <w:t>6,743,945</w:t>
            </w:r>
          </w:p>
        </w:tc>
        <w:tc>
          <w:tcPr>
            <w:tcW w:w="1117"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right="105"/>
              <w:jc w:val="right"/>
              <w:rPr>
                <w:rFonts w:ascii="Times New Roman" w:hAnsi="Times New Roman" w:cs="Times New Roman" w:eastAsia="Times New Roman" w:hint="default"/>
                <w:sz w:val="18"/>
                <w:szCs w:val="18"/>
              </w:rPr>
            </w:pPr>
            <w:r>
              <w:rPr>
                <w:rFonts w:ascii="Times New Roman"/>
                <w:sz w:val="18"/>
              </w:rPr>
              <w:t>223,268,190</w:t>
            </w:r>
          </w:p>
        </w:tc>
        <w:tc>
          <w:tcPr>
            <w:tcW w:w="940" w:type="dxa"/>
            <w:tcBorders>
              <w:top w:val="nil" w:sz="6" w:space="0" w:color="auto"/>
              <w:left w:val="nil" w:sz="6" w:space="0" w:color="auto"/>
              <w:bottom w:val="single" w:sz="8" w:space="0" w:color="000000"/>
              <w:right w:val="nil" w:sz="6" w:space="0" w:color="auto"/>
            </w:tcBorders>
          </w:tcPr>
          <w:p>
            <w:pPr/>
          </w:p>
        </w:tc>
        <w:tc>
          <w:tcPr>
            <w:tcW w:w="1111"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right="98"/>
              <w:jc w:val="right"/>
              <w:rPr>
                <w:rFonts w:ascii="Times New Roman" w:hAnsi="Times New Roman" w:cs="Times New Roman" w:eastAsia="Times New Roman" w:hint="default"/>
                <w:sz w:val="18"/>
                <w:szCs w:val="18"/>
              </w:rPr>
            </w:pPr>
            <w:r>
              <w:rPr>
                <w:rFonts w:ascii="Times New Roman"/>
                <w:sz w:val="18"/>
              </w:rPr>
              <w:t>223,268,190</w:t>
            </w:r>
          </w:p>
        </w:tc>
      </w:tr>
    </w:tbl>
    <w:p>
      <w:pPr>
        <w:spacing w:after="0" w:line="240" w:lineRule="auto"/>
        <w:jc w:val="right"/>
        <w:rPr>
          <w:rFonts w:ascii="Times New Roman" w:hAnsi="Times New Roman" w:cs="Times New Roman" w:eastAsia="Times New Roman" w:hint="default"/>
          <w:sz w:val="18"/>
          <w:szCs w:val="18"/>
        </w:rPr>
        <w:sectPr>
          <w:pgSz w:w="11900" w:h="16840"/>
          <w:pgMar w:header="883" w:footer="1003" w:top="1540" w:bottom="1200" w:left="1660" w:right="1140"/>
        </w:sectPr>
      </w:pPr>
    </w:p>
    <w:p>
      <w:pPr>
        <w:spacing w:line="237" w:lineRule="auto" w:before="30"/>
        <w:ind w:left="139" w:right="12281"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 </w:t>
      </w:r>
    </w:p>
    <w:p>
      <w:pPr>
        <w:spacing w:line="240" w:lineRule="auto" w:before="8"/>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4pt;height:.5pt;mso-position-horizontal-relative:char;mso-position-vertical-relative:line" coordorigin="0,0" coordsize="14028,10">
            <v:group style="position:absolute;left:5;top:5;width:14019;height:2" coordorigin="5,5" coordsize="14019,2">
              <v:shape style="position:absolute;left:5;top:5;width:14019;height:2" coordorigin="5,5" coordsize="14019,0" path="m5,5l14023,5e" filled="false" stroked="true" strokeweight=".48001pt" strokecolor="#000000">
                <v:path arrowok="t"/>
              </v:shape>
            </v:group>
          </v:group>
        </w:pict>
      </w:r>
      <w:r>
        <w:rPr>
          <w:rFonts w:ascii="宋体" w:hAnsi="宋体" w:cs="宋体" w:eastAsia="宋体" w:hint="default"/>
          <w:sz w:val="2"/>
          <w:szCs w:val="2"/>
        </w:rPr>
      </w:r>
    </w:p>
    <w:p>
      <w:pPr>
        <w:spacing w:line="240" w:lineRule="auto" w:before="9"/>
        <w:rPr>
          <w:rFonts w:ascii="宋体" w:hAnsi="宋体" w:cs="宋体" w:eastAsia="宋体" w:hint="default"/>
          <w:sz w:val="18"/>
          <w:szCs w:val="18"/>
        </w:rPr>
      </w:pPr>
    </w:p>
    <w:p>
      <w:pPr>
        <w:tabs>
          <w:tab w:pos="1396" w:val="left" w:leader="none"/>
        </w:tabs>
        <w:spacing w:before="35"/>
        <w:ind w:left="857" w:right="0" w:firstLine="0"/>
        <w:jc w:val="left"/>
        <w:rPr>
          <w:rFonts w:ascii="宋体" w:hAnsi="宋体" w:cs="宋体" w:eastAsia="宋体" w:hint="default"/>
          <w:sz w:val="21"/>
          <w:szCs w:val="21"/>
        </w:rPr>
      </w:pPr>
      <w:r>
        <w:rPr/>
        <w:pict>
          <v:group style="position:absolute;margin-left:101.271004pt;margin-top:17.073685pt;width:669.75pt;height:270.1pt;mso-position-horizontal-relative:page;mso-position-vertical-relative:paragraph;z-index:-987280" coordorigin="2025,341" coordsize="13395,5402">
            <v:group style="position:absolute;left:2049;top:351;width:1767;height:2" coordorigin="2049,351" coordsize="1767,2">
              <v:shape style="position:absolute;left:2049;top:351;width:1767;height:2" coordorigin="2049,351" coordsize="1767,0" path="m2049,351l3816,351e" filled="false" stroked="true" strokeweight=".96001pt" strokecolor="#000000">
                <v:path arrowok="t"/>
              </v:shape>
            </v:group>
            <v:group style="position:absolute;left:3816;top:351;width:867;height:2" coordorigin="3816,351" coordsize="867,2">
              <v:shape style="position:absolute;left:3816;top:351;width:867;height:2" coordorigin="3816,351" coordsize="867,0" path="m3816,351l4682,351e" filled="false" stroked="true" strokeweight=".96001pt" strokecolor="#000000">
                <v:path arrowok="t"/>
              </v:shape>
            </v:group>
            <v:group style="position:absolute;left:4682;top:351;width:896;height:2" coordorigin="4682,351" coordsize="896,2">
              <v:shape style="position:absolute;left:4682;top:351;width:896;height:2" coordorigin="4682,351" coordsize="896,0" path="m4682,351l5577,351e" filled="false" stroked="true" strokeweight=".96001pt" strokecolor="#000000">
                <v:path arrowok="t"/>
              </v:shape>
            </v:group>
            <v:group style="position:absolute;left:5577;top:351;width:954;height:2" coordorigin="5577,351" coordsize="954,2">
              <v:shape style="position:absolute;left:5577;top:351;width:954;height:2" coordorigin="5577,351" coordsize="954,0" path="m5577,351l6531,351e" filled="false" stroked="true" strokeweight=".96001pt" strokecolor="#000000">
                <v:path arrowok="t"/>
              </v:shape>
            </v:group>
            <v:group style="position:absolute;left:6531;top:351;width:1061;height:2" coordorigin="6531,351" coordsize="1061,2">
              <v:shape style="position:absolute;left:6531;top:351;width:1061;height:2" coordorigin="6531,351" coordsize="1061,0" path="m6531,351l7592,351e" filled="false" stroked="true" strokeweight=".96001pt" strokecolor="#000000">
                <v:path arrowok="t"/>
              </v:shape>
            </v:group>
            <v:group style="position:absolute;left:7592;top:351;width:824;height:2" coordorigin="7592,351" coordsize="824,2">
              <v:shape style="position:absolute;left:7592;top:351;width:824;height:2" coordorigin="7592,351" coordsize="824,0" path="m7592,351l8415,351e" filled="false" stroked="true" strokeweight=".96001pt" strokecolor="#000000">
                <v:path arrowok="t"/>
              </v:shape>
            </v:group>
            <v:group style="position:absolute;left:8415;top:351;width:842;height:2" coordorigin="8415,351" coordsize="842,2">
              <v:shape style="position:absolute;left:8415;top:351;width:842;height:2" coordorigin="8415,351" coordsize="842,0" path="m8415,351l9257,351e" filled="false" stroked="true" strokeweight=".96001pt" strokecolor="#000000">
                <v:path arrowok="t"/>
              </v:shape>
            </v:group>
            <v:group style="position:absolute;left:9257;top:351;width:749;height:2" coordorigin="9257,351" coordsize="749,2">
              <v:shape style="position:absolute;left:9257;top:351;width:749;height:2" coordorigin="9257,351" coordsize="749,0" path="m9257,351l10005,351e" filled="false" stroked="true" strokeweight=".96001pt" strokecolor="#000000">
                <v:path arrowok="t"/>
              </v:shape>
            </v:group>
            <v:group style="position:absolute;left:10005;top:351;width:824;height:2" coordorigin="10005,351" coordsize="824,2">
              <v:shape style="position:absolute;left:10005;top:351;width:824;height:2" coordorigin="10005,351" coordsize="824,0" path="m10005,351l10829,351e" filled="false" stroked="true" strokeweight=".96001pt" strokecolor="#000000">
                <v:path arrowok="t"/>
              </v:shape>
            </v:group>
            <v:group style="position:absolute;left:10829;top:351;width:918;height:2" coordorigin="10829,351" coordsize="918,2">
              <v:shape style="position:absolute;left:10829;top:351;width:918;height:2" coordorigin="10829,351" coordsize="918,0" path="m10829,351l11747,351e" filled="false" stroked="true" strokeweight=".96001pt" strokecolor="#000000">
                <v:path arrowok="t"/>
              </v:shape>
            </v:group>
            <v:group style="position:absolute;left:11747;top:351;width:780;height:2" coordorigin="11747,351" coordsize="780,2">
              <v:shape style="position:absolute;left:11747;top:351;width:780;height:2" coordorigin="11747,351" coordsize="780,0" path="m11747,351l12527,351e" filled="false" stroked="true" strokeweight=".96001pt" strokecolor="#000000">
                <v:path arrowok="t"/>
              </v:shape>
            </v:group>
            <v:group style="position:absolute;left:12527;top:351;width:2128;height:2" coordorigin="12527,351" coordsize="2128,2">
              <v:shape style="position:absolute;left:12527;top:351;width:2128;height:2" coordorigin="12527,351" coordsize="2128,0" path="m12527,351l14654,351e" filled="false" stroked="true" strokeweight=".96001pt" strokecolor="#000000">
                <v:path arrowok="t"/>
              </v:shape>
            </v:group>
            <v:group style="position:absolute;left:14654;top:351;width:749;height:2" coordorigin="14654,351" coordsize="749,2">
              <v:shape style="position:absolute;left:14654;top:351;width:749;height:2" coordorigin="14654,351" coordsize="749,0" path="m14654,351l15403,351e" filled="false" stroked="true" strokeweight=".96001pt" strokecolor="#000000">
                <v:path arrowok="t"/>
              </v:shape>
            </v:group>
            <v:group style="position:absolute;left:2035;top:5733;width:1781;height:2" coordorigin="2035,5733" coordsize="1781,2">
              <v:shape style="position:absolute;left:2035;top:5733;width:1781;height:2" coordorigin="2035,5733" coordsize="1781,0" path="m2035,5733l3816,5733e" filled="false" stroked="true" strokeweight=".95999pt" strokecolor="#000000">
                <v:path arrowok="t"/>
              </v:shape>
            </v:group>
            <v:group style="position:absolute;left:3816;top:5733;width:867;height:2" coordorigin="3816,5733" coordsize="867,2">
              <v:shape style="position:absolute;left:3816;top:5733;width:867;height:2" coordorigin="3816,5733" coordsize="867,0" path="m3816,5733l4682,5733e" filled="false" stroked="true" strokeweight=".95999pt" strokecolor="#000000">
                <v:path arrowok="t"/>
              </v:shape>
            </v:group>
            <v:group style="position:absolute;left:4682;top:5733;width:896;height:2" coordorigin="4682,5733" coordsize="896,2">
              <v:shape style="position:absolute;left:4682;top:5733;width:896;height:2" coordorigin="4682,5733" coordsize="896,0" path="m4682,5733l5577,5733e" filled="false" stroked="true" strokeweight=".95999pt" strokecolor="#000000">
                <v:path arrowok="t"/>
              </v:shape>
            </v:group>
            <v:group style="position:absolute;left:5577;top:5733;width:954;height:2" coordorigin="5577,5733" coordsize="954,2">
              <v:shape style="position:absolute;left:5577;top:5733;width:954;height:2" coordorigin="5577,5733" coordsize="954,0" path="m5577,5733l6531,5733e" filled="false" stroked="true" strokeweight=".95999pt" strokecolor="#000000">
                <v:path arrowok="t"/>
              </v:shape>
            </v:group>
            <v:group style="position:absolute;left:6531;top:5733;width:1061;height:2" coordorigin="6531,5733" coordsize="1061,2">
              <v:shape style="position:absolute;left:6531;top:5733;width:1061;height:2" coordorigin="6531,5733" coordsize="1061,0" path="m6531,5733l7592,5733e" filled="false" stroked="true" strokeweight=".95999pt" strokecolor="#000000">
                <v:path arrowok="t"/>
              </v:shape>
            </v:group>
            <v:group style="position:absolute;left:7592;top:5733;width:824;height:2" coordorigin="7592,5733" coordsize="824,2">
              <v:shape style="position:absolute;left:7592;top:5733;width:824;height:2" coordorigin="7592,5733" coordsize="824,0" path="m7592,5733l8415,5733e" filled="false" stroked="true" strokeweight=".95999pt" strokecolor="#000000">
                <v:path arrowok="t"/>
              </v:shape>
            </v:group>
            <v:group style="position:absolute;left:8415;top:5733;width:842;height:2" coordorigin="8415,5733" coordsize="842,2">
              <v:shape style="position:absolute;left:8415;top:5733;width:842;height:2" coordorigin="8415,5733" coordsize="842,0" path="m8415,5733l9257,5733e" filled="false" stroked="true" strokeweight=".95999pt" strokecolor="#000000">
                <v:path arrowok="t"/>
              </v:shape>
            </v:group>
            <v:group style="position:absolute;left:9257;top:5733;width:749;height:2" coordorigin="9257,5733" coordsize="749,2">
              <v:shape style="position:absolute;left:9257;top:5733;width:749;height:2" coordorigin="9257,5733" coordsize="749,0" path="m9257,5733l10005,5733e" filled="false" stroked="true" strokeweight=".95999pt" strokecolor="#000000">
                <v:path arrowok="t"/>
              </v:shape>
            </v:group>
            <v:group style="position:absolute;left:10005;top:5733;width:824;height:2" coordorigin="10005,5733" coordsize="824,2">
              <v:shape style="position:absolute;left:10005;top:5733;width:824;height:2" coordorigin="10005,5733" coordsize="824,0" path="m10005,5733l10829,5733e" filled="false" stroked="true" strokeweight=".95999pt" strokecolor="#000000">
                <v:path arrowok="t"/>
              </v:shape>
            </v:group>
            <v:group style="position:absolute;left:10829;top:5733;width:918;height:2" coordorigin="10829,5733" coordsize="918,2">
              <v:shape style="position:absolute;left:10829;top:5733;width:918;height:2" coordorigin="10829,5733" coordsize="918,0" path="m10829,5733l11747,5733e" filled="false" stroked="true" strokeweight=".95999pt" strokecolor="#000000">
                <v:path arrowok="t"/>
              </v:shape>
            </v:group>
            <v:group style="position:absolute;left:11747;top:5733;width:780;height:2" coordorigin="11747,5733" coordsize="780,2">
              <v:shape style="position:absolute;left:11747;top:5733;width:780;height:2" coordorigin="11747,5733" coordsize="780,0" path="m11747,5733l12527,5733e" filled="false" stroked="true" strokeweight=".95999pt" strokecolor="#000000">
                <v:path arrowok="t"/>
              </v:shape>
            </v:group>
            <v:group style="position:absolute;left:12527;top:5733;width:2128;height:2" coordorigin="12527,5733" coordsize="2128,2">
              <v:shape style="position:absolute;left:12527;top:5733;width:2128;height:2" coordorigin="12527,5733" coordsize="2128,0" path="m12527,5733l14654,5733e" filled="false" stroked="true" strokeweight=".95999pt" strokecolor="#000000">
                <v:path arrowok="t"/>
              </v:shape>
              <v:shape style="position:absolute;left:2049;top:361;width:13358;height:5363" type="#_x0000_t75" stroked="false">
                <v:imagedata r:id="rId83" o:title=""/>
              </v:shape>
            </v:group>
            <v:group style="position:absolute;left:14654;top:5733;width:756;height:2" coordorigin="14654,5733" coordsize="756,2">
              <v:shape style="position:absolute;left:14654;top:5733;width:756;height:2" coordorigin="14654,5733" coordsize="756,0" path="m14654,5733l15410,5733e" filled="false" stroked="true" strokeweight=".95999pt" strokecolor="#000000">
                <v:path arrowok="t"/>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重大在建工程项目变动情况</w:t>
      </w:r>
    </w:p>
    <w:p>
      <w:pPr>
        <w:spacing w:line="240" w:lineRule="auto" w:before="5"/>
        <w:rPr>
          <w:rFonts w:ascii="宋体" w:hAnsi="宋体" w:cs="宋体" w:eastAsia="宋体" w:hint="default"/>
          <w:sz w:val="4"/>
          <w:szCs w:val="4"/>
        </w:rPr>
      </w:pPr>
    </w:p>
    <w:tbl>
      <w:tblPr>
        <w:tblW w:w="0" w:type="auto"/>
        <w:jc w:val="left"/>
        <w:tblInd w:w="822" w:type="dxa"/>
        <w:tblLayout w:type="fixed"/>
        <w:tblCellMar>
          <w:top w:w="0" w:type="dxa"/>
          <w:left w:w="0" w:type="dxa"/>
          <w:bottom w:w="0" w:type="dxa"/>
          <w:right w:w="0" w:type="dxa"/>
        </w:tblCellMar>
        <w:tblLook w:val="01E0"/>
      </w:tblPr>
      <w:tblGrid>
        <w:gridCol w:w="1652"/>
        <w:gridCol w:w="928"/>
        <w:gridCol w:w="925"/>
        <w:gridCol w:w="926"/>
        <w:gridCol w:w="1057"/>
        <w:gridCol w:w="789"/>
        <w:gridCol w:w="889"/>
        <w:gridCol w:w="712"/>
        <w:gridCol w:w="826"/>
        <w:gridCol w:w="925"/>
        <w:gridCol w:w="803"/>
        <w:gridCol w:w="2108"/>
        <w:gridCol w:w="677"/>
      </w:tblGrid>
      <w:tr>
        <w:trPr>
          <w:trHeight w:val="734" w:hRule="exact"/>
        </w:trPr>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left="422" w:right="0"/>
              <w:jc w:val="left"/>
              <w:rPr>
                <w:rFonts w:ascii="宋体" w:hAnsi="宋体" w:cs="宋体" w:eastAsia="宋体" w:hint="default"/>
                <w:sz w:val="13"/>
                <w:szCs w:val="13"/>
              </w:rPr>
            </w:pPr>
            <w:r>
              <w:rPr>
                <w:rFonts w:ascii="宋体" w:hAnsi="宋体" w:cs="宋体" w:eastAsia="宋体" w:hint="default"/>
                <w:sz w:val="13"/>
                <w:szCs w:val="13"/>
              </w:rPr>
              <w:t>工程项目名称</w:t>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left="284" w:right="0"/>
              <w:jc w:val="left"/>
              <w:rPr>
                <w:rFonts w:ascii="宋体" w:hAnsi="宋体" w:cs="宋体" w:eastAsia="宋体" w:hint="default"/>
                <w:sz w:val="13"/>
                <w:szCs w:val="13"/>
              </w:rPr>
            </w:pPr>
            <w:r>
              <w:rPr>
                <w:rFonts w:ascii="宋体" w:hAnsi="宋体" w:cs="宋体" w:eastAsia="宋体" w:hint="default"/>
                <w:sz w:val="13"/>
                <w:szCs w:val="13"/>
              </w:rPr>
              <w:t>预算数</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left="173" w:right="0"/>
              <w:jc w:val="left"/>
              <w:rPr>
                <w:rFonts w:ascii="宋体" w:hAnsi="宋体" w:cs="宋体" w:eastAsia="宋体" w:hint="default"/>
                <w:sz w:val="13"/>
                <w:szCs w:val="13"/>
              </w:rPr>
            </w:pPr>
            <w:r>
              <w:rPr>
                <w:rFonts w:ascii="宋体" w:hAnsi="宋体" w:cs="宋体" w:eastAsia="宋体" w:hint="default"/>
                <w:sz w:val="13"/>
                <w:szCs w:val="13"/>
              </w:rPr>
              <w:t>期初金额</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left="172" w:right="0"/>
              <w:jc w:val="left"/>
              <w:rPr>
                <w:rFonts w:ascii="宋体" w:hAnsi="宋体" w:cs="宋体" w:eastAsia="宋体" w:hint="default"/>
                <w:sz w:val="13"/>
                <w:szCs w:val="13"/>
              </w:rPr>
            </w:pPr>
            <w:r>
              <w:rPr>
                <w:rFonts w:ascii="宋体" w:hAnsi="宋体" w:cs="宋体" w:eastAsia="宋体" w:hint="default"/>
                <w:sz w:val="13"/>
                <w:szCs w:val="13"/>
              </w:rPr>
              <w:t>本期增加</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right="151"/>
              <w:jc w:val="right"/>
              <w:rPr>
                <w:rFonts w:ascii="宋体" w:hAnsi="宋体" w:cs="宋体" w:eastAsia="宋体" w:hint="default"/>
                <w:sz w:val="13"/>
                <w:szCs w:val="13"/>
              </w:rPr>
            </w:pPr>
            <w:r>
              <w:rPr>
                <w:rFonts w:ascii="宋体" w:hAnsi="宋体" w:cs="宋体" w:eastAsia="宋体" w:hint="default"/>
                <w:w w:val="95"/>
                <w:sz w:val="13"/>
                <w:szCs w:val="13"/>
              </w:rPr>
              <w:t>转入固定资产</w:t>
            </w:r>
            <w:r>
              <w:rPr>
                <w:rFonts w:ascii="宋体" w:hAnsi="宋体" w:cs="宋体" w:eastAsia="宋体" w:hint="default"/>
                <w:sz w:val="13"/>
                <w:szCs w:val="13"/>
              </w:rPr>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left="10" w:right="0"/>
              <w:jc w:val="center"/>
              <w:rPr>
                <w:rFonts w:ascii="宋体" w:hAnsi="宋体" w:cs="宋体" w:eastAsia="宋体" w:hint="default"/>
                <w:sz w:val="13"/>
                <w:szCs w:val="13"/>
              </w:rPr>
            </w:pPr>
            <w:r>
              <w:rPr>
                <w:rFonts w:ascii="宋体" w:hAnsi="宋体" w:cs="宋体" w:eastAsia="宋体" w:hint="default"/>
                <w:sz w:val="13"/>
                <w:szCs w:val="13"/>
              </w:rPr>
              <w:t>其他减少</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5" w:right="0" w:firstLine="32"/>
              <w:jc w:val="left"/>
              <w:rPr>
                <w:rFonts w:ascii="宋体" w:hAnsi="宋体" w:cs="宋体" w:eastAsia="宋体" w:hint="default"/>
                <w:sz w:val="13"/>
                <w:szCs w:val="13"/>
              </w:rPr>
            </w:pPr>
            <w:r>
              <w:rPr>
                <w:rFonts w:ascii="宋体" w:hAnsi="宋体" w:cs="宋体" w:eastAsia="宋体" w:hint="default"/>
                <w:sz w:val="13"/>
                <w:szCs w:val="13"/>
              </w:rPr>
              <w:t>工程投入占</w:t>
            </w: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85" w:right="0"/>
              <w:jc w:val="left"/>
              <w:rPr>
                <w:rFonts w:ascii="Times New Roman" w:hAnsi="Times New Roman" w:cs="Times New Roman" w:eastAsia="Times New Roman" w:hint="default"/>
                <w:sz w:val="13"/>
                <w:szCs w:val="13"/>
              </w:rPr>
            </w:pPr>
            <w:r>
              <w:rPr>
                <w:rFonts w:ascii="宋体" w:hAnsi="宋体" w:cs="宋体" w:eastAsia="宋体" w:hint="default"/>
                <w:sz w:val="13"/>
                <w:szCs w:val="13"/>
              </w:rPr>
              <w:t>预算比例</w:t>
            </w:r>
            <w:r>
              <w:rPr>
                <w:rFonts w:ascii="Times New Roman" w:hAnsi="Times New Roman" w:cs="Times New Roman" w:eastAsia="Times New Roman" w:hint="default"/>
                <w:sz w:val="13"/>
                <w:szCs w:val="13"/>
              </w:rPr>
              <w:t>(%)</w:t>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4"/>
              <w:jc w:val="center"/>
              <w:rPr>
                <w:rFonts w:ascii="宋体" w:hAnsi="宋体" w:cs="宋体" w:eastAsia="宋体" w:hint="default"/>
                <w:sz w:val="13"/>
                <w:szCs w:val="13"/>
              </w:rPr>
            </w:pPr>
            <w:r>
              <w:rPr>
                <w:rFonts w:ascii="宋体" w:hAnsi="宋体" w:cs="宋体" w:eastAsia="宋体" w:hint="default"/>
                <w:sz w:val="13"/>
                <w:szCs w:val="13"/>
              </w:rPr>
              <w:t>工程进度</w:t>
            </w: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1"/>
              <w:jc w:val="center"/>
              <w:rPr>
                <w:rFonts w:ascii="Times New Roman" w:hAnsi="Times New Roman" w:cs="Times New Roman" w:eastAsia="Times New Roman" w:hint="default"/>
                <w:sz w:val="13"/>
                <w:szCs w:val="13"/>
              </w:rPr>
            </w:pPr>
            <w:r>
              <w:rPr>
                <w:rFonts w:ascii="Times New Roman"/>
                <w:sz w:val="13"/>
              </w:rPr>
              <w:t>(%)</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63" w:right="0" w:hanging="66"/>
              <w:jc w:val="left"/>
              <w:rPr>
                <w:rFonts w:ascii="宋体" w:hAnsi="宋体" w:cs="宋体" w:eastAsia="宋体" w:hint="default"/>
                <w:sz w:val="13"/>
                <w:szCs w:val="13"/>
              </w:rPr>
            </w:pPr>
            <w:r>
              <w:rPr>
                <w:rFonts w:ascii="宋体" w:hAnsi="宋体" w:cs="宋体" w:eastAsia="宋体" w:hint="default"/>
                <w:sz w:val="13"/>
                <w:szCs w:val="13"/>
              </w:rPr>
              <w:t>利息资本化</w:t>
            </w: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3"/>
                <w:szCs w:val="13"/>
              </w:rPr>
            </w:pPr>
            <w:r>
              <w:rPr>
                <w:rFonts w:ascii="宋体" w:hAnsi="宋体" w:cs="宋体" w:eastAsia="宋体" w:hint="default"/>
                <w:sz w:val="13"/>
                <w:szCs w:val="13"/>
              </w:rPr>
              <w:t>累计金额</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8" w:right="0"/>
              <w:jc w:val="left"/>
              <w:rPr>
                <w:rFonts w:ascii="宋体" w:hAnsi="宋体" w:cs="宋体" w:eastAsia="宋体" w:hint="default"/>
                <w:sz w:val="13"/>
                <w:szCs w:val="13"/>
              </w:rPr>
            </w:pPr>
            <w:r>
              <w:rPr>
                <w:rFonts w:ascii="宋体" w:hAnsi="宋体" w:cs="宋体" w:eastAsia="宋体" w:hint="default"/>
                <w:sz w:val="13"/>
                <w:szCs w:val="13"/>
              </w:rPr>
              <w:t>其中：本期利</w:t>
            </w: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78" w:right="0"/>
              <w:jc w:val="left"/>
              <w:rPr>
                <w:rFonts w:ascii="宋体" w:hAnsi="宋体" w:cs="宋体" w:eastAsia="宋体" w:hint="default"/>
                <w:sz w:val="13"/>
                <w:szCs w:val="13"/>
              </w:rPr>
            </w:pPr>
            <w:r>
              <w:rPr>
                <w:rFonts w:ascii="宋体" w:hAnsi="宋体" w:cs="宋体" w:eastAsia="宋体" w:hint="default"/>
                <w:sz w:val="13"/>
                <w:szCs w:val="13"/>
              </w:rPr>
              <w:t>息资本化金额</w:t>
            </w:r>
          </w:p>
        </w:tc>
        <w:tc>
          <w:tcPr>
            <w:tcW w:w="80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0" w:right="0" w:hanging="34"/>
              <w:jc w:val="left"/>
              <w:rPr>
                <w:rFonts w:ascii="宋体" w:hAnsi="宋体" w:cs="宋体" w:eastAsia="宋体" w:hint="default"/>
                <w:sz w:val="13"/>
                <w:szCs w:val="13"/>
              </w:rPr>
            </w:pPr>
            <w:r>
              <w:rPr>
                <w:rFonts w:ascii="宋体" w:hAnsi="宋体" w:cs="宋体" w:eastAsia="宋体" w:hint="default"/>
                <w:sz w:val="13"/>
                <w:szCs w:val="13"/>
              </w:rPr>
              <w:t>本期利息资</w:t>
            </w: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00" w:right="0"/>
              <w:jc w:val="left"/>
              <w:rPr>
                <w:rFonts w:ascii="Times New Roman" w:hAnsi="Times New Roman" w:cs="Times New Roman" w:eastAsia="Times New Roman" w:hint="default"/>
                <w:sz w:val="13"/>
                <w:szCs w:val="13"/>
              </w:rPr>
            </w:pPr>
            <w:r>
              <w:rPr>
                <w:rFonts w:ascii="宋体" w:hAnsi="宋体" w:cs="宋体" w:eastAsia="宋体" w:hint="default"/>
                <w:sz w:val="13"/>
                <w:szCs w:val="13"/>
              </w:rPr>
              <w:t>本化率</w:t>
            </w:r>
            <w:r>
              <w:rPr>
                <w:rFonts w:ascii="Times New Roman" w:hAnsi="Times New Roman" w:cs="Times New Roman" w:eastAsia="Times New Roman" w:hint="default"/>
                <w:sz w:val="13"/>
                <w:szCs w:val="13"/>
              </w:rPr>
              <w:t>(%)</w:t>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right="21"/>
              <w:jc w:val="center"/>
              <w:rPr>
                <w:rFonts w:ascii="宋体" w:hAnsi="宋体" w:cs="宋体" w:eastAsia="宋体" w:hint="default"/>
                <w:sz w:val="13"/>
                <w:szCs w:val="13"/>
              </w:rPr>
            </w:pPr>
            <w:r>
              <w:rPr>
                <w:rFonts w:ascii="宋体" w:hAnsi="宋体" w:cs="宋体" w:eastAsia="宋体" w:hint="default"/>
                <w:sz w:val="13"/>
                <w:szCs w:val="13"/>
              </w:rPr>
              <w:t>资金来源</w:t>
            </w:r>
          </w:p>
        </w:tc>
        <w:tc>
          <w:tcPr>
            <w:tcW w:w="67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9"/>
              <w:ind w:right="41"/>
              <w:jc w:val="right"/>
              <w:rPr>
                <w:rFonts w:ascii="宋体" w:hAnsi="宋体" w:cs="宋体" w:eastAsia="宋体" w:hint="default"/>
                <w:sz w:val="13"/>
                <w:szCs w:val="13"/>
              </w:rPr>
            </w:pPr>
            <w:r>
              <w:rPr>
                <w:rFonts w:ascii="宋体" w:hAnsi="宋体" w:cs="宋体" w:eastAsia="宋体" w:hint="default"/>
                <w:w w:val="95"/>
                <w:sz w:val="13"/>
                <w:szCs w:val="13"/>
              </w:rPr>
              <w:t>期末金额</w:t>
            </w:r>
            <w:r>
              <w:rPr>
                <w:rFonts w:ascii="宋体" w:hAnsi="宋体" w:cs="宋体" w:eastAsia="宋体" w:hint="default"/>
                <w:sz w:val="13"/>
                <w:szCs w:val="13"/>
              </w:rPr>
            </w:r>
          </w:p>
        </w:tc>
      </w:tr>
      <w:tr>
        <w:trPr>
          <w:trHeight w:val="384" w:hRule="exact"/>
        </w:trPr>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5" w:right="0"/>
              <w:jc w:val="left"/>
              <w:rPr>
                <w:rFonts w:ascii="宋体" w:hAnsi="宋体" w:cs="宋体" w:eastAsia="宋体" w:hint="default"/>
                <w:sz w:val="13"/>
                <w:szCs w:val="13"/>
              </w:rPr>
            </w:pPr>
            <w:r>
              <w:rPr>
                <w:rFonts w:ascii="宋体" w:hAnsi="宋体" w:cs="宋体" w:eastAsia="宋体" w:hint="default"/>
                <w:sz w:val="13"/>
                <w:szCs w:val="13"/>
              </w:rPr>
              <w:t>南京研发中心</w:t>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right="121"/>
              <w:jc w:val="right"/>
              <w:rPr>
                <w:rFonts w:ascii="Times New Roman" w:hAnsi="Times New Roman" w:cs="Times New Roman" w:eastAsia="Times New Roman" w:hint="default"/>
                <w:sz w:val="13"/>
                <w:szCs w:val="13"/>
              </w:rPr>
            </w:pPr>
            <w:r>
              <w:rPr>
                <w:rFonts w:ascii="Times New Roman"/>
                <w:w w:val="95"/>
                <w:sz w:val="13"/>
              </w:rPr>
              <w:t>75,000,000</w:t>
            </w:r>
            <w:r>
              <w:rPr>
                <w:rFonts w:ascii="Times New Roman"/>
                <w:sz w:val="13"/>
              </w:rPr>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right="151"/>
              <w:jc w:val="right"/>
              <w:rPr>
                <w:rFonts w:ascii="Times New Roman" w:hAnsi="Times New Roman" w:cs="Times New Roman" w:eastAsia="Times New Roman" w:hint="default"/>
                <w:sz w:val="13"/>
                <w:szCs w:val="13"/>
              </w:rPr>
            </w:pPr>
            <w:r>
              <w:rPr>
                <w:rFonts w:ascii="Times New Roman"/>
                <w:w w:val="95"/>
                <w:sz w:val="13"/>
              </w:rPr>
              <w:t>64,023,398</w:t>
            </w:r>
            <w:r>
              <w:rPr>
                <w:rFonts w:ascii="Times New Roman"/>
                <w:sz w:val="13"/>
              </w:rPr>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spacing w:val="-1"/>
                <w:sz w:val="13"/>
              </w:rPr>
              <w:t>6,936,119</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right="118"/>
              <w:jc w:val="right"/>
              <w:rPr>
                <w:rFonts w:ascii="Times New Roman" w:hAnsi="Times New Roman" w:cs="Times New Roman" w:eastAsia="Times New Roman" w:hint="default"/>
                <w:sz w:val="13"/>
                <w:szCs w:val="13"/>
              </w:rPr>
            </w:pPr>
            <w:r>
              <w:rPr>
                <w:rFonts w:ascii="Times New Roman"/>
                <w:spacing w:val="-1"/>
                <w:sz w:val="13"/>
              </w:rPr>
              <w:t>51,311,554</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left="34" w:right="0"/>
              <w:jc w:val="center"/>
              <w:rPr>
                <w:rFonts w:ascii="Times New Roman" w:hAnsi="Times New Roman" w:cs="Times New Roman" w:eastAsia="Times New Roman" w:hint="default"/>
                <w:sz w:val="13"/>
                <w:szCs w:val="13"/>
              </w:rPr>
            </w:pPr>
            <w:r>
              <w:rPr>
                <w:rFonts w:ascii="Times New Roman"/>
                <w:sz w:val="13"/>
              </w:rPr>
              <w:t>19,647,963</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right="129"/>
              <w:jc w:val="right"/>
              <w:rPr>
                <w:rFonts w:ascii="Times New Roman" w:hAnsi="Times New Roman" w:cs="Times New Roman" w:eastAsia="Times New Roman" w:hint="default"/>
                <w:sz w:val="13"/>
                <w:szCs w:val="13"/>
              </w:rPr>
            </w:pPr>
            <w:r>
              <w:rPr>
                <w:rFonts w:ascii="Times New Roman"/>
                <w:w w:val="95"/>
                <w:sz w:val="13"/>
              </w:rPr>
              <w:t>95</w:t>
            </w:r>
            <w:r>
              <w:rPr>
                <w:rFonts w:ascii="Times New Roman"/>
                <w:sz w:val="13"/>
              </w:rPr>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8"/>
                <w:szCs w:val="8"/>
              </w:rPr>
            </w:pPr>
          </w:p>
          <w:p>
            <w:pPr>
              <w:pStyle w:val="TableParagraph"/>
              <w:spacing w:line="240" w:lineRule="auto"/>
              <w:ind w:right="95"/>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8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803" w:type="dxa"/>
            <w:tcBorders>
              <w:top w:val="nil" w:sz="6" w:space="0" w:color="auto"/>
              <w:left w:val="nil" w:sz="6" w:space="0" w:color="auto"/>
              <w:bottom w:val="nil" w:sz="6" w:space="0" w:color="auto"/>
              <w:right w:val="nil" w:sz="6" w:space="0" w:color="auto"/>
            </w:tcBorders>
          </w:tcPr>
          <w:p>
            <w:pP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86" w:right="0"/>
              <w:jc w:val="left"/>
              <w:rPr>
                <w:rFonts w:ascii="宋体" w:hAnsi="宋体" w:cs="宋体" w:eastAsia="宋体" w:hint="default"/>
                <w:sz w:val="13"/>
                <w:szCs w:val="13"/>
              </w:rPr>
            </w:pPr>
            <w:r>
              <w:rPr>
                <w:rFonts w:ascii="宋体" w:hAnsi="宋体" w:cs="宋体" w:eastAsia="宋体" w:hint="default"/>
                <w:sz w:val="13"/>
                <w:szCs w:val="13"/>
              </w:rPr>
              <w:t>自有资金</w:t>
            </w:r>
          </w:p>
        </w:tc>
        <w:tc>
          <w:tcPr>
            <w:tcW w:w="677" w:type="dxa"/>
            <w:tcBorders>
              <w:top w:val="nil" w:sz="6" w:space="0" w:color="auto"/>
              <w:left w:val="nil" w:sz="6" w:space="0" w:color="auto"/>
              <w:bottom w:val="nil" w:sz="6" w:space="0" w:color="auto"/>
              <w:right w:val="nil" w:sz="6" w:space="0" w:color="auto"/>
            </w:tcBorders>
          </w:tcPr>
          <w:p>
            <w:pPr/>
          </w:p>
        </w:tc>
      </w:tr>
      <w:tr>
        <w:trPr>
          <w:trHeight w:val="385" w:hRule="exact"/>
        </w:trPr>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沈阳实训基地附属</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3#</w:t>
            </w:r>
            <w:r>
              <w:rPr>
                <w:rFonts w:ascii="宋体" w:hAnsi="宋体" w:cs="宋体" w:eastAsia="宋体" w:hint="default"/>
                <w:sz w:val="13"/>
                <w:szCs w:val="13"/>
              </w:rPr>
              <w:t>楼</w:t>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21"/>
              <w:jc w:val="right"/>
              <w:rPr>
                <w:rFonts w:ascii="Times New Roman" w:hAnsi="Times New Roman" w:cs="Times New Roman" w:eastAsia="Times New Roman" w:hint="default"/>
                <w:sz w:val="13"/>
                <w:szCs w:val="13"/>
              </w:rPr>
            </w:pPr>
            <w:r>
              <w:rPr>
                <w:rFonts w:ascii="Times New Roman"/>
                <w:w w:val="95"/>
                <w:sz w:val="13"/>
              </w:rPr>
              <w:t>3,780,000</w:t>
            </w:r>
            <w:r>
              <w:rPr>
                <w:rFonts w:ascii="Times New Roman"/>
                <w:sz w:val="13"/>
              </w:rPr>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879,453</w:t>
            </w:r>
            <w:r>
              <w:rPr>
                <w:rFonts w:ascii="Times New Roman"/>
                <w:sz w:val="13"/>
              </w:rPr>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1,425,751</w:t>
            </w:r>
            <w:r>
              <w:rPr>
                <w:rFonts w:ascii="Times New Roman"/>
                <w:sz w:val="13"/>
              </w:rPr>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18"/>
              <w:jc w:val="right"/>
              <w:rPr>
                <w:rFonts w:ascii="Times New Roman" w:hAnsi="Times New Roman" w:cs="Times New Roman" w:eastAsia="Times New Roman" w:hint="default"/>
                <w:sz w:val="13"/>
                <w:szCs w:val="13"/>
              </w:rPr>
            </w:pPr>
            <w:r>
              <w:rPr>
                <w:rFonts w:ascii="Times New Roman"/>
                <w:w w:val="95"/>
                <w:sz w:val="13"/>
              </w:rPr>
              <w:t>2,305,204</w:t>
            </w:r>
            <w:r>
              <w:rPr>
                <w:rFonts w:ascii="Times New Roman"/>
                <w:sz w:val="13"/>
              </w:rPr>
            </w:r>
          </w:p>
        </w:tc>
        <w:tc>
          <w:tcPr>
            <w:tcW w:w="789" w:type="dxa"/>
            <w:tcBorders>
              <w:top w:val="nil" w:sz="6" w:space="0" w:color="auto"/>
              <w:left w:val="nil" w:sz="6" w:space="0" w:color="auto"/>
              <w:bottom w:val="nil" w:sz="6" w:space="0" w:color="auto"/>
              <w:right w:val="nil" w:sz="6" w:space="0" w:color="auto"/>
            </w:tcBorders>
          </w:tcPr>
          <w:p>
            <w:pP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29"/>
              <w:jc w:val="right"/>
              <w:rPr>
                <w:rFonts w:ascii="Times New Roman" w:hAnsi="Times New Roman" w:cs="Times New Roman" w:eastAsia="Times New Roman" w:hint="default"/>
                <w:sz w:val="13"/>
                <w:szCs w:val="13"/>
              </w:rPr>
            </w:pPr>
            <w:r>
              <w:rPr>
                <w:rFonts w:ascii="Times New Roman"/>
                <w:w w:val="95"/>
                <w:sz w:val="13"/>
              </w:rPr>
              <w:t>61</w:t>
            </w:r>
            <w:r>
              <w:rPr>
                <w:rFonts w:ascii="Times New Roman"/>
                <w:sz w:val="13"/>
              </w:rPr>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95"/>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8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803" w:type="dxa"/>
            <w:tcBorders>
              <w:top w:val="nil" w:sz="6" w:space="0" w:color="auto"/>
              <w:left w:val="nil" w:sz="6" w:space="0" w:color="auto"/>
              <w:bottom w:val="nil" w:sz="6" w:space="0" w:color="auto"/>
              <w:right w:val="nil" w:sz="6" w:space="0" w:color="auto"/>
            </w:tcBorders>
          </w:tcPr>
          <w:p>
            <w:pP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86"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50%</w:t>
            </w:r>
            <w:r>
              <w:rPr>
                <w:rFonts w:ascii="宋体" w:hAnsi="宋体" w:cs="宋体" w:eastAsia="宋体" w:hint="default"/>
                <w:sz w:val="13"/>
                <w:szCs w:val="13"/>
              </w:rPr>
              <w:t>政府无息借款、</w:t>
            </w:r>
            <w:r>
              <w:rPr>
                <w:rFonts w:ascii="Times New Roman" w:hAnsi="Times New Roman" w:cs="Times New Roman" w:eastAsia="Times New Roman" w:hint="default"/>
                <w:sz w:val="13"/>
                <w:szCs w:val="13"/>
              </w:rPr>
              <w:t>50%</w:t>
            </w:r>
            <w:r>
              <w:rPr>
                <w:rFonts w:ascii="宋体" w:hAnsi="宋体" w:cs="宋体" w:eastAsia="宋体" w:hint="default"/>
                <w:sz w:val="13"/>
                <w:szCs w:val="13"/>
              </w:rPr>
              <w:t>自有资金</w:t>
            </w:r>
          </w:p>
        </w:tc>
        <w:tc>
          <w:tcPr>
            <w:tcW w:w="677" w:type="dxa"/>
            <w:tcBorders>
              <w:top w:val="nil" w:sz="6" w:space="0" w:color="auto"/>
              <w:left w:val="nil" w:sz="6" w:space="0" w:color="auto"/>
              <w:bottom w:val="nil" w:sz="6" w:space="0" w:color="auto"/>
              <w:right w:val="nil" w:sz="6" w:space="0" w:color="auto"/>
            </w:tcBorders>
          </w:tcPr>
          <w:p>
            <w:pPr/>
          </w:p>
        </w:tc>
      </w:tr>
      <w:tr>
        <w:trPr>
          <w:trHeight w:val="384" w:hRule="exact"/>
        </w:trPr>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沈阳实训与研发楼</w:t>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152,610,000</w:t>
            </w:r>
            <w:r>
              <w:rPr>
                <w:rFonts w:ascii="Times New Roman"/>
                <w:sz w:val="13"/>
              </w:rPr>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51"/>
              <w:jc w:val="right"/>
              <w:rPr>
                <w:rFonts w:ascii="Times New Roman" w:hAnsi="Times New Roman" w:cs="Times New Roman" w:eastAsia="Times New Roman" w:hint="default"/>
                <w:sz w:val="13"/>
                <w:szCs w:val="13"/>
              </w:rPr>
            </w:pPr>
            <w:r>
              <w:rPr>
                <w:rFonts w:ascii="Times New Roman"/>
                <w:w w:val="95"/>
                <w:sz w:val="13"/>
              </w:rPr>
              <w:t>65,758,024</w:t>
            </w:r>
            <w:r>
              <w:rPr>
                <w:rFonts w:ascii="Times New Roman"/>
                <w:sz w:val="13"/>
              </w:rPr>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49,714,196</w:t>
            </w:r>
            <w:r>
              <w:rPr>
                <w:rFonts w:ascii="Times New Roman"/>
                <w:sz w:val="13"/>
              </w:rPr>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19"/>
              <w:jc w:val="right"/>
              <w:rPr>
                <w:rFonts w:ascii="Times New Roman" w:hAnsi="Times New Roman" w:cs="Times New Roman" w:eastAsia="Times New Roman" w:hint="default"/>
                <w:sz w:val="13"/>
                <w:szCs w:val="13"/>
              </w:rPr>
            </w:pPr>
            <w:r>
              <w:rPr>
                <w:rFonts w:ascii="Times New Roman"/>
                <w:spacing w:val="-1"/>
                <w:sz w:val="13"/>
              </w:rPr>
              <w:t>115,472,220</w:t>
            </w:r>
          </w:p>
        </w:tc>
        <w:tc>
          <w:tcPr>
            <w:tcW w:w="789" w:type="dxa"/>
            <w:tcBorders>
              <w:top w:val="nil" w:sz="6" w:space="0" w:color="auto"/>
              <w:left w:val="nil" w:sz="6" w:space="0" w:color="auto"/>
              <w:bottom w:val="nil" w:sz="6" w:space="0" w:color="auto"/>
              <w:right w:val="nil" w:sz="6" w:space="0" w:color="auto"/>
            </w:tcBorders>
          </w:tcPr>
          <w:p>
            <w:pP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9"/>
              <w:jc w:val="right"/>
              <w:rPr>
                <w:rFonts w:ascii="Times New Roman" w:hAnsi="Times New Roman" w:cs="Times New Roman" w:eastAsia="Times New Roman" w:hint="default"/>
                <w:sz w:val="13"/>
                <w:szCs w:val="13"/>
              </w:rPr>
            </w:pPr>
            <w:r>
              <w:rPr>
                <w:rFonts w:ascii="Times New Roman"/>
                <w:w w:val="95"/>
                <w:sz w:val="13"/>
              </w:rPr>
              <w:t>76</w:t>
            </w:r>
            <w:r>
              <w:rPr>
                <w:rFonts w:ascii="Times New Roman"/>
                <w:sz w:val="13"/>
              </w:rPr>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95"/>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8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803" w:type="dxa"/>
            <w:tcBorders>
              <w:top w:val="nil" w:sz="6" w:space="0" w:color="auto"/>
              <w:left w:val="nil" w:sz="6" w:space="0" w:color="auto"/>
              <w:bottom w:val="nil" w:sz="6" w:space="0" w:color="auto"/>
              <w:right w:val="nil" w:sz="6" w:space="0" w:color="auto"/>
            </w:tcBorders>
          </w:tcPr>
          <w:p>
            <w:pP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8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50%</w:t>
            </w:r>
            <w:r>
              <w:rPr>
                <w:rFonts w:ascii="宋体" w:hAnsi="宋体" w:cs="宋体" w:eastAsia="宋体" w:hint="default"/>
                <w:sz w:val="13"/>
                <w:szCs w:val="13"/>
              </w:rPr>
              <w:t>政府无息借款、</w:t>
            </w:r>
            <w:r>
              <w:rPr>
                <w:rFonts w:ascii="Times New Roman" w:hAnsi="Times New Roman" w:cs="Times New Roman" w:eastAsia="Times New Roman" w:hint="default"/>
                <w:sz w:val="13"/>
                <w:szCs w:val="13"/>
              </w:rPr>
              <w:t>50%</w:t>
            </w:r>
            <w:r>
              <w:rPr>
                <w:rFonts w:ascii="宋体" w:hAnsi="宋体" w:cs="宋体" w:eastAsia="宋体" w:hint="default"/>
                <w:sz w:val="13"/>
                <w:szCs w:val="13"/>
              </w:rPr>
              <w:t>自有资金</w:t>
            </w:r>
          </w:p>
        </w:tc>
        <w:tc>
          <w:tcPr>
            <w:tcW w:w="677" w:type="dxa"/>
            <w:tcBorders>
              <w:top w:val="nil" w:sz="6" w:space="0" w:color="auto"/>
              <w:left w:val="nil" w:sz="6" w:space="0" w:color="auto"/>
              <w:bottom w:val="nil" w:sz="6" w:space="0" w:color="auto"/>
              <w:right w:val="nil" w:sz="6" w:space="0" w:color="auto"/>
            </w:tcBorders>
          </w:tcPr>
          <w:p>
            <w:pPr/>
          </w:p>
        </w:tc>
      </w:tr>
      <w:tr>
        <w:trPr>
          <w:trHeight w:val="385" w:hRule="exact"/>
        </w:trPr>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沈阳园区</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A1</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办公楼</w:t>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4,000,000</w:t>
            </w:r>
            <w:r>
              <w:rPr>
                <w:rFonts w:ascii="Times New Roman"/>
                <w:sz w:val="13"/>
              </w:rPr>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51"/>
              <w:jc w:val="right"/>
              <w:rPr>
                <w:rFonts w:ascii="Times New Roman" w:hAnsi="Times New Roman" w:cs="Times New Roman" w:eastAsia="Times New Roman" w:hint="default"/>
                <w:sz w:val="13"/>
                <w:szCs w:val="13"/>
              </w:rPr>
            </w:pPr>
            <w:r>
              <w:rPr>
                <w:rFonts w:ascii="Times New Roman"/>
                <w:w w:val="95"/>
                <w:sz w:val="13"/>
              </w:rPr>
              <w:t>16,990,750</w:t>
            </w:r>
            <w:r>
              <w:rPr>
                <w:rFonts w:ascii="Times New Roman"/>
                <w:sz w:val="13"/>
              </w:rPr>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610,000</w:t>
            </w:r>
            <w:r>
              <w:rPr>
                <w:rFonts w:ascii="Times New Roman"/>
                <w:sz w:val="13"/>
              </w:rPr>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19"/>
              <w:jc w:val="right"/>
              <w:rPr>
                <w:rFonts w:ascii="Times New Roman" w:hAnsi="Times New Roman" w:cs="Times New Roman" w:eastAsia="Times New Roman" w:hint="default"/>
                <w:sz w:val="13"/>
                <w:szCs w:val="13"/>
              </w:rPr>
            </w:pPr>
            <w:r>
              <w:rPr>
                <w:rFonts w:ascii="Times New Roman"/>
                <w:w w:val="95"/>
                <w:sz w:val="13"/>
              </w:rPr>
              <w:t>17,600,750</w:t>
            </w:r>
            <w:r>
              <w:rPr>
                <w:rFonts w:ascii="Times New Roman"/>
                <w:sz w:val="13"/>
              </w:rPr>
            </w:r>
          </w:p>
        </w:tc>
        <w:tc>
          <w:tcPr>
            <w:tcW w:w="789" w:type="dxa"/>
            <w:tcBorders>
              <w:top w:val="nil" w:sz="6" w:space="0" w:color="auto"/>
              <w:left w:val="nil" w:sz="6" w:space="0" w:color="auto"/>
              <w:bottom w:val="nil" w:sz="6" w:space="0" w:color="auto"/>
              <w:right w:val="nil" w:sz="6" w:space="0" w:color="auto"/>
            </w:tcBorders>
          </w:tcPr>
          <w:p>
            <w:pP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9"/>
              <w:jc w:val="right"/>
              <w:rPr>
                <w:rFonts w:ascii="Times New Roman" w:hAnsi="Times New Roman" w:cs="Times New Roman" w:eastAsia="Times New Roman" w:hint="default"/>
                <w:sz w:val="13"/>
                <w:szCs w:val="13"/>
              </w:rPr>
            </w:pPr>
            <w:r>
              <w:rPr>
                <w:rFonts w:ascii="Times New Roman"/>
                <w:w w:val="95"/>
                <w:sz w:val="13"/>
              </w:rPr>
              <w:t>96</w:t>
            </w:r>
            <w:r>
              <w:rPr>
                <w:rFonts w:ascii="Times New Roman"/>
                <w:sz w:val="13"/>
              </w:rPr>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95"/>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8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803" w:type="dxa"/>
            <w:tcBorders>
              <w:top w:val="nil" w:sz="6" w:space="0" w:color="auto"/>
              <w:left w:val="nil" w:sz="6" w:space="0" w:color="auto"/>
              <w:bottom w:val="nil" w:sz="6" w:space="0" w:color="auto"/>
              <w:right w:val="nil" w:sz="6" w:space="0" w:color="auto"/>
            </w:tcBorders>
          </w:tcPr>
          <w:p>
            <w:pP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86" w:right="0"/>
              <w:jc w:val="left"/>
              <w:rPr>
                <w:rFonts w:ascii="宋体" w:hAnsi="宋体" w:cs="宋体" w:eastAsia="宋体" w:hint="default"/>
                <w:sz w:val="13"/>
                <w:szCs w:val="13"/>
              </w:rPr>
            </w:pPr>
            <w:r>
              <w:rPr>
                <w:rFonts w:ascii="宋体" w:hAnsi="宋体" w:cs="宋体" w:eastAsia="宋体" w:hint="default"/>
                <w:sz w:val="13"/>
                <w:szCs w:val="13"/>
              </w:rPr>
              <w:t>自有资金</w:t>
            </w:r>
          </w:p>
        </w:tc>
        <w:tc>
          <w:tcPr>
            <w:tcW w:w="677" w:type="dxa"/>
            <w:tcBorders>
              <w:top w:val="nil" w:sz="6" w:space="0" w:color="auto"/>
              <w:left w:val="nil" w:sz="6" w:space="0" w:color="auto"/>
              <w:bottom w:val="nil" w:sz="6" w:space="0" w:color="auto"/>
              <w:right w:val="nil" w:sz="6" w:space="0" w:color="auto"/>
            </w:tcBorders>
          </w:tcPr>
          <w:p>
            <w:pPr/>
          </w:p>
        </w:tc>
      </w:tr>
      <w:tr>
        <w:trPr>
          <w:trHeight w:val="385" w:hRule="exact"/>
        </w:trPr>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沈阳园区</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A9</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办公楼</w:t>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6,200,000</w:t>
            </w:r>
            <w:r>
              <w:rPr>
                <w:rFonts w:ascii="Times New Roman"/>
                <w:sz w:val="13"/>
              </w:rPr>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829,964</w:t>
            </w:r>
            <w:r>
              <w:rPr>
                <w:rFonts w:ascii="Times New Roman"/>
                <w:sz w:val="13"/>
              </w:rPr>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483,715</w:t>
            </w:r>
            <w:r>
              <w:rPr>
                <w:rFonts w:ascii="Times New Roman"/>
                <w:sz w:val="13"/>
              </w:rPr>
            </w:r>
          </w:p>
        </w:tc>
        <w:tc>
          <w:tcPr>
            <w:tcW w:w="1057" w:type="dxa"/>
            <w:tcBorders>
              <w:top w:val="nil" w:sz="6" w:space="0" w:color="auto"/>
              <w:left w:val="nil" w:sz="6" w:space="0" w:color="auto"/>
              <w:bottom w:val="nil" w:sz="6" w:space="0" w:color="auto"/>
              <w:right w:val="nil" w:sz="6" w:space="0" w:color="auto"/>
            </w:tcBorders>
          </w:tcPr>
          <w:p>
            <w:pPr/>
          </w:p>
        </w:tc>
        <w:tc>
          <w:tcPr>
            <w:tcW w:w="789" w:type="dxa"/>
            <w:tcBorders>
              <w:top w:val="nil" w:sz="6" w:space="0" w:color="auto"/>
              <w:left w:val="nil" w:sz="6" w:space="0" w:color="auto"/>
              <w:bottom w:val="nil" w:sz="6" w:space="0" w:color="auto"/>
              <w:right w:val="nil" w:sz="6" w:space="0" w:color="auto"/>
            </w:tcBorders>
          </w:tcPr>
          <w:p>
            <w:pP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29"/>
              <w:jc w:val="right"/>
              <w:rPr>
                <w:rFonts w:ascii="Times New Roman" w:hAnsi="Times New Roman" w:cs="Times New Roman" w:eastAsia="Times New Roman" w:hint="default"/>
                <w:sz w:val="13"/>
                <w:szCs w:val="13"/>
              </w:rPr>
            </w:pPr>
            <w:r>
              <w:rPr>
                <w:rFonts w:ascii="Times New Roman"/>
                <w:w w:val="95"/>
                <w:sz w:val="13"/>
              </w:rPr>
              <w:t>21</w:t>
            </w:r>
            <w:r>
              <w:rPr>
                <w:rFonts w:ascii="Times New Roman"/>
                <w:sz w:val="13"/>
              </w:rPr>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95"/>
              <w:jc w:val="right"/>
              <w:rPr>
                <w:rFonts w:ascii="Times New Roman" w:hAnsi="Times New Roman" w:cs="Times New Roman" w:eastAsia="Times New Roman" w:hint="default"/>
                <w:sz w:val="13"/>
                <w:szCs w:val="13"/>
              </w:rPr>
            </w:pPr>
            <w:r>
              <w:rPr>
                <w:rFonts w:ascii="Times New Roman"/>
                <w:w w:val="95"/>
                <w:sz w:val="13"/>
              </w:rPr>
              <w:t>21</w:t>
            </w:r>
            <w:r>
              <w:rPr>
                <w:rFonts w:ascii="Times New Roman"/>
                <w:sz w:val="13"/>
              </w:rPr>
            </w:r>
          </w:p>
        </w:tc>
        <w:tc>
          <w:tcPr>
            <w:tcW w:w="8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803" w:type="dxa"/>
            <w:tcBorders>
              <w:top w:val="nil" w:sz="6" w:space="0" w:color="auto"/>
              <w:left w:val="nil" w:sz="6" w:space="0" w:color="auto"/>
              <w:bottom w:val="nil" w:sz="6" w:space="0" w:color="auto"/>
              <w:right w:val="nil" w:sz="6" w:space="0" w:color="auto"/>
            </w:tcBorders>
          </w:tcPr>
          <w:p>
            <w:pP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86" w:right="0"/>
              <w:jc w:val="left"/>
              <w:rPr>
                <w:rFonts w:ascii="宋体" w:hAnsi="宋体" w:cs="宋体" w:eastAsia="宋体" w:hint="default"/>
                <w:sz w:val="13"/>
                <w:szCs w:val="13"/>
              </w:rPr>
            </w:pPr>
            <w:r>
              <w:rPr>
                <w:rFonts w:ascii="宋体" w:hAnsi="宋体" w:cs="宋体" w:eastAsia="宋体" w:hint="default"/>
                <w:sz w:val="13"/>
                <w:szCs w:val="13"/>
              </w:rPr>
              <w:t>自有资金</w:t>
            </w:r>
          </w:p>
        </w:tc>
        <w:tc>
          <w:tcPr>
            <w:tcW w:w="67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1,313,679</w:t>
            </w:r>
            <w:r>
              <w:rPr>
                <w:rFonts w:ascii="Times New Roman"/>
                <w:sz w:val="13"/>
              </w:rPr>
            </w:r>
          </w:p>
        </w:tc>
      </w:tr>
      <w:tr>
        <w:trPr>
          <w:trHeight w:val="384" w:hRule="exact"/>
        </w:trPr>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大连开发培训楼</w:t>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1"/>
              <w:jc w:val="right"/>
              <w:rPr>
                <w:rFonts w:ascii="Times New Roman" w:hAnsi="Times New Roman" w:cs="Times New Roman" w:eastAsia="Times New Roman" w:hint="default"/>
                <w:sz w:val="13"/>
                <w:szCs w:val="13"/>
              </w:rPr>
            </w:pPr>
            <w:r>
              <w:rPr>
                <w:rFonts w:ascii="Times New Roman"/>
                <w:w w:val="95"/>
                <w:sz w:val="13"/>
              </w:rPr>
              <w:t>4,000,000</w:t>
            </w:r>
            <w:r>
              <w:rPr>
                <w:rFonts w:ascii="Times New Roman"/>
                <w:sz w:val="13"/>
              </w:rPr>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3,224,162</w:t>
            </w:r>
            <w:r>
              <w:rPr>
                <w:rFonts w:ascii="Times New Roman"/>
                <w:sz w:val="13"/>
              </w:rPr>
            </w:r>
          </w:p>
        </w:tc>
        <w:tc>
          <w:tcPr>
            <w:tcW w:w="926"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18"/>
              <w:jc w:val="right"/>
              <w:rPr>
                <w:rFonts w:ascii="Times New Roman" w:hAnsi="Times New Roman" w:cs="Times New Roman" w:eastAsia="Times New Roman" w:hint="default"/>
                <w:sz w:val="13"/>
                <w:szCs w:val="13"/>
              </w:rPr>
            </w:pPr>
            <w:r>
              <w:rPr>
                <w:rFonts w:ascii="Times New Roman"/>
                <w:w w:val="95"/>
                <w:sz w:val="13"/>
              </w:rPr>
              <w:t>3,224,162</w:t>
            </w:r>
            <w:r>
              <w:rPr>
                <w:rFonts w:ascii="Times New Roman"/>
                <w:sz w:val="13"/>
              </w:rPr>
            </w:r>
          </w:p>
        </w:tc>
        <w:tc>
          <w:tcPr>
            <w:tcW w:w="789" w:type="dxa"/>
            <w:tcBorders>
              <w:top w:val="nil" w:sz="6" w:space="0" w:color="auto"/>
              <w:left w:val="nil" w:sz="6" w:space="0" w:color="auto"/>
              <w:bottom w:val="nil" w:sz="6" w:space="0" w:color="auto"/>
              <w:right w:val="nil" w:sz="6" w:space="0" w:color="auto"/>
            </w:tcBorders>
          </w:tcPr>
          <w:p>
            <w:pP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9"/>
              <w:jc w:val="right"/>
              <w:rPr>
                <w:rFonts w:ascii="Times New Roman" w:hAnsi="Times New Roman" w:cs="Times New Roman" w:eastAsia="Times New Roman" w:hint="default"/>
                <w:sz w:val="13"/>
                <w:szCs w:val="13"/>
              </w:rPr>
            </w:pPr>
            <w:r>
              <w:rPr>
                <w:rFonts w:ascii="Times New Roman"/>
                <w:w w:val="95"/>
                <w:sz w:val="13"/>
              </w:rPr>
              <w:t>81</w:t>
            </w:r>
            <w:r>
              <w:rPr>
                <w:rFonts w:ascii="Times New Roman"/>
                <w:sz w:val="13"/>
              </w:rPr>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95"/>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8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803" w:type="dxa"/>
            <w:tcBorders>
              <w:top w:val="nil" w:sz="6" w:space="0" w:color="auto"/>
              <w:left w:val="nil" w:sz="6" w:space="0" w:color="auto"/>
              <w:bottom w:val="nil" w:sz="6" w:space="0" w:color="auto"/>
              <w:right w:val="nil" w:sz="6" w:space="0" w:color="auto"/>
            </w:tcBorders>
          </w:tcPr>
          <w:p>
            <w:pP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86" w:right="0"/>
              <w:jc w:val="left"/>
              <w:rPr>
                <w:rFonts w:ascii="宋体" w:hAnsi="宋体" w:cs="宋体" w:eastAsia="宋体" w:hint="default"/>
                <w:sz w:val="13"/>
                <w:szCs w:val="13"/>
              </w:rPr>
            </w:pPr>
            <w:r>
              <w:rPr>
                <w:rFonts w:ascii="宋体" w:hAnsi="宋体" w:cs="宋体" w:eastAsia="宋体" w:hint="default"/>
                <w:sz w:val="13"/>
                <w:szCs w:val="13"/>
              </w:rPr>
              <w:t>自有资金</w:t>
            </w:r>
          </w:p>
        </w:tc>
        <w:tc>
          <w:tcPr>
            <w:tcW w:w="677" w:type="dxa"/>
            <w:tcBorders>
              <w:top w:val="nil" w:sz="6" w:space="0" w:color="auto"/>
              <w:left w:val="nil" w:sz="6" w:space="0" w:color="auto"/>
              <w:bottom w:val="nil" w:sz="6" w:space="0" w:color="auto"/>
              <w:right w:val="nil" w:sz="6" w:space="0" w:color="auto"/>
            </w:tcBorders>
          </w:tcPr>
          <w:p>
            <w:pPr/>
          </w:p>
        </w:tc>
      </w:tr>
      <w:tr>
        <w:trPr>
          <w:trHeight w:val="385" w:hRule="exact"/>
        </w:trPr>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广州软件园（一期）</w:t>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108,304,000</w:t>
            </w:r>
            <w:r>
              <w:rPr>
                <w:rFonts w:ascii="Times New Roman"/>
                <w:sz w:val="13"/>
              </w:rPr>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18,792</w:t>
            </w:r>
            <w:r>
              <w:rPr>
                <w:rFonts w:ascii="Times New Roman"/>
                <w:sz w:val="13"/>
              </w:rPr>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3,608,190</w:t>
            </w:r>
            <w:r>
              <w:rPr>
                <w:rFonts w:ascii="Times New Roman"/>
                <w:sz w:val="13"/>
              </w:rPr>
            </w:r>
          </w:p>
        </w:tc>
        <w:tc>
          <w:tcPr>
            <w:tcW w:w="1057" w:type="dxa"/>
            <w:tcBorders>
              <w:top w:val="nil" w:sz="6" w:space="0" w:color="auto"/>
              <w:left w:val="nil" w:sz="6" w:space="0" w:color="auto"/>
              <w:bottom w:val="nil" w:sz="6" w:space="0" w:color="auto"/>
              <w:right w:val="nil" w:sz="6" w:space="0" w:color="auto"/>
            </w:tcBorders>
          </w:tcPr>
          <w:p>
            <w:pPr/>
          </w:p>
        </w:tc>
        <w:tc>
          <w:tcPr>
            <w:tcW w:w="789" w:type="dxa"/>
            <w:tcBorders>
              <w:top w:val="nil" w:sz="6" w:space="0" w:color="auto"/>
              <w:left w:val="nil" w:sz="6" w:space="0" w:color="auto"/>
              <w:bottom w:val="nil" w:sz="6" w:space="0" w:color="auto"/>
              <w:right w:val="nil" w:sz="6" w:space="0" w:color="auto"/>
            </w:tcBorders>
          </w:tcPr>
          <w:p>
            <w:pP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9"/>
              <w:jc w:val="right"/>
              <w:rPr>
                <w:rFonts w:ascii="Times New Roman" w:hAnsi="Times New Roman" w:cs="Times New Roman" w:eastAsia="Times New Roman" w:hint="default"/>
                <w:sz w:val="13"/>
                <w:szCs w:val="13"/>
              </w:rPr>
            </w:pPr>
            <w:r>
              <w:rPr>
                <w:rFonts w:ascii="Times New Roman"/>
                <w:w w:val="99"/>
                <w:sz w:val="13"/>
              </w:rPr>
              <w:t>3</w:t>
            </w:r>
            <w:r>
              <w:rPr>
                <w:rFonts w:ascii="Times New Roman"/>
                <w:sz w:val="13"/>
              </w:rPr>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95"/>
              <w:jc w:val="right"/>
              <w:rPr>
                <w:rFonts w:ascii="Times New Roman" w:hAnsi="Times New Roman" w:cs="Times New Roman" w:eastAsia="Times New Roman" w:hint="default"/>
                <w:sz w:val="13"/>
                <w:szCs w:val="13"/>
              </w:rPr>
            </w:pPr>
            <w:r>
              <w:rPr>
                <w:rFonts w:ascii="Times New Roman"/>
                <w:w w:val="99"/>
                <w:sz w:val="13"/>
              </w:rPr>
              <w:t>3</w:t>
            </w:r>
            <w:r>
              <w:rPr>
                <w:rFonts w:ascii="Times New Roman"/>
                <w:sz w:val="13"/>
              </w:rPr>
            </w:r>
          </w:p>
        </w:tc>
        <w:tc>
          <w:tcPr>
            <w:tcW w:w="8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803" w:type="dxa"/>
            <w:tcBorders>
              <w:top w:val="nil" w:sz="6" w:space="0" w:color="auto"/>
              <w:left w:val="nil" w:sz="6" w:space="0" w:color="auto"/>
              <w:bottom w:val="nil" w:sz="6" w:space="0" w:color="auto"/>
              <w:right w:val="nil" w:sz="6" w:space="0" w:color="auto"/>
            </w:tcBorders>
          </w:tcPr>
          <w:p>
            <w:pP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86" w:right="0"/>
              <w:jc w:val="left"/>
              <w:rPr>
                <w:rFonts w:ascii="宋体" w:hAnsi="宋体" w:cs="宋体" w:eastAsia="宋体" w:hint="default"/>
                <w:sz w:val="13"/>
                <w:szCs w:val="13"/>
              </w:rPr>
            </w:pPr>
            <w:r>
              <w:rPr>
                <w:rFonts w:ascii="宋体" w:hAnsi="宋体" w:cs="宋体" w:eastAsia="宋体" w:hint="default"/>
                <w:sz w:val="13"/>
                <w:szCs w:val="13"/>
              </w:rPr>
              <w:t>自有资金</w:t>
            </w:r>
          </w:p>
        </w:tc>
        <w:tc>
          <w:tcPr>
            <w:tcW w:w="6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3,626,982</w:t>
            </w:r>
            <w:r>
              <w:rPr>
                <w:rFonts w:ascii="Times New Roman"/>
                <w:sz w:val="13"/>
              </w:rPr>
            </w:r>
          </w:p>
        </w:tc>
      </w:tr>
      <w:tr>
        <w:trPr>
          <w:trHeight w:val="385" w:hRule="exact"/>
        </w:trPr>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上海软件园</w:t>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150,620,600</w:t>
            </w:r>
            <w:r>
              <w:rPr>
                <w:rFonts w:ascii="Times New Roman"/>
                <w:sz w:val="13"/>
              </w:rPr>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4,302,568</w:t>
            </w:r>
            <w:r>
              <w:rPr>
                <w:rFonts w:ascii="Times New Roman"/>
                <w:sz w:val="13"/>
              </w:rPr>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1,803,284</w:t>
            </w:r>
            <w:r>
              <w:rPr>
                <w:rFonts w:ascii="Times New Roman"/>
                <w:sz w:val="13"/>
              </w:rPr>
            </w:r>
          </w:p>
        </w:tc>
        <w:tc>
          <w:tcPr>
            <w:tcW w:w="1057" w:type="dxa"/>
            <w:tcBorders>
              <w:top w:val="nil" w:sz="6" w:space="0" w:color="auto"/>
              <w:left w:val="nil" w:sz="6" w:space="0" w:color="auto"/>
              <w:bottom w:val="nil" w:sz="6" w:space="0" w:color="auto"/>
              <w:right w:val="nil" w:sz="6" w:space="0" w:color="auto"/>
            </w:tcBorders>
          </w:tcPr>
          <w:p>
            <w:pP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left="98" w:right="0"/>
              <w:jc w:val="center"/>
              <w:rPr>
                <w:rFonts w:ascii="Times New Roman" w:hAnsi="Times New Roman" w:cs="Times New Roman" w:eastAsia="Times New Roman" w:hint="default"/>
                <w:sz w:val="13"/>
                <w:szCs w:val="13"/>
              </w:rPr>
            </w:pPr>
            <w:r>
              <w:rPr>
                <w:rFonts w:ascii="Times New Roman"/>
                <w:sz w:val="13"/>
              </w:rPr>
              <w:t>4,302,568</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29"/>
              <w:jc w:val="right"/>
              <w:rPr>
                <w:rFonts w:ascii="Times New Roman" w:hAnsi="Times New Roman" w:cs="Times New Roman" w:eastAsia="Times New Roman" w:hint="default"/>
                <w:sz w:val="13"/>
                <w:szCs w:val="13"/>
              </w:rPr>
            </w:pPr>
            <w:r>
              <w:rPr>
                <w:rFonts w:ascii="Times New Roman"/>
                <w:w w:val="99"/>
                <w:sz w:val="13"/>
              </w:rPr>
              <w:t>1</w:t>
            </w:r>
            <w:r>
              <w:rPr>
                <w:rFonts w:ascii="Times New Roman"/>
                <w:sz w:val="13"/>
              </w:rPr>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95"/>
              <w:jc w:val="right"/>
              <w:rPr>
                <w:rFonts w:ascii="Times New Roman" w:hAnsi="Times New Roman" w:cs="Times New Roman" w:eastAsia="Times New Roman" w:hint="default"/>
                <w:sz w:val="13"/>
                <w:szCs w:val="13"/>
              </w:rPr>
            </w:pPr>
            <w:r>
              <w:rPr>
                <w:rFonts w:ascii="Times New Roman"/>
                <w:w w:val="99"/>
                <w:sz w:val="13"/>
              </w:rPr>
              <w:t>1</w:t>
            </w:r>
            <w:r>
              <w:rPr>
                <w:rFonts w:ascii="Times New Roman"/>
                <w:sz w:val="13"/>
              </w:rPr>
            </w:r>
          </w:p>
        </w:tc>
        <w:tc>
          <w:tcPr>
            <w:tcW w:w="8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803" w:type="dxa"/>
            <w:tcBorders>
              <w:top w:val="nil" w:sz="6" w:space="0" w:color="auto"/>
              <w:left w:val="nil" w:sz="6" w:space="0" w:color="auto"/>
              <w:bottom w:val="nil" w:sz="6" w:space="0" w:color="auto"/>
              <w:right w:val="nil" w:sz="6" w:space="0" w:color="auto"/>
            </w:tcBorders>
          </w:tcPr>
          <w:p>
            <w:pP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86" w:right="0"/>
              <w:jc w:val="left"/>
              <w:rPr>
                <w:rFonts w:ascii="宋体" w:hAnsi="宋体" w:cs="宋体" w:eastAsia="宋体" w:hint="default"/>
                <w:sz w:val="13"/>
                <w:szCs w:val="13"/>
              </w:rPr>
            </w:pPr>
            <w:r>
              <w:rPr>
                <w:rFonts w:ascii="宋体" w:hAnsi="宋体" w:cs="宋体" w:eastAsia="宋体" w:hint="default"/>
                <w:sz w:val="13"/>
                <w:szCs w:val="13"/>
              </w:rPr>
              <w:t>自有资金</w:t>
            </w:r>
          </w:p>
        </w:tc>
        <w:tc>
          <w:tcPr>
            <w:tcW w:w="67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1,803,284</w:t>
            </w:r>
            <w:r>
              <w:rPr>
                <w:rFonts w:ascii="Times New Roman"/>
                <w:sz w:val="13"/>
              </w:rPr>
            </w:r>
          </w:p>
        </w:tc>
      </w:tr>
      <w:tr>
        <w:trPr>
          <w:trHeight w:val="384" w:hRule="exact"/>
        </w:trPr>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沈阳实训基地</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1#2#</w:t>
            </w:r>
            <w:r>
              <w:rPr>
                <w:rFonts w:ascii="宋体" w:hAnsi="宋体" w:cs="宋体" w:eastAsia="宋体" w:hint="default"/>
                <w:sz w:val="13"/>
                <w:szCs w:val="13"/>
              </w:rPr>
              <w:t>附属楼</w:t>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101,853,000</w:t>
            </w:r>
            <w:r>
              <w:rPr>
                <w:rFonts w:ascii="Times New Roman"/>
                <w:sz w:val="13"/>
              </w:rPr>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51"/>
              <w:jc w:val="right"/>
              <w:rPr>
                <w:rFonts w:ascii="Times New Roman" w:hAnsi="Times New Roman" w:cs="Times New Roman" w:eastAsia="Times New Roman" w:hint="default"/>
                <w:sz w:val="13"/>
                <w:szCs w:val="13"/>
              </w:rPr>
            </w:pPr>
            <w:r>
              <w:rPr>
                <w:rFonts w:ascii="Times New Roman"/>
                <w:w w:val="95"/>
                <w:sz w:val="13"/>
              </w:rPr>
              <w:t>67,191,350</w:t>
            </w:r>
            <w:r>
              <w:rPr>
                <w:rFonts w:ascii="Times New Roman"/>
                <w:sz w:val="13"/>
              </w:rPr>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32,871,074</w:t>
            </w:r>
            <w:r>
              <w:rPr>
                <w:rFonts w:ascii="Times New Roman"/>
                <w:sz w:val="13"/>
              </w:rPr>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19"/>
              <w:jc w:val="right"/>
              <w:rPr>
                <w:rFonts w:ascii="Times New Roman" w:hAnsi="Times New Roman" w:cs="Times New Roman" w:eastAsia="Times New Roman" w:hint="default"/>
                <w:sz w:val="13"/>
                <w:szCs w:val="13"/>
              </w:rPr>
            </w:pPr>
            <w:r>
              <w:rPr>
                <w:rFonts w:ascii="Times New Roman"/>
                <w:w w:val="95"/>
                <w:sz w:val="13"/>
              </w:rPr>
              <w:t>100,062,424</w:t>
            </w:r>
            <w:r>
              <w:rPr>
                <w:rFonts w:ascii="Times New Roman"/>
                <w:sz w:val="13"/>
              </w:rPr>
            </w:r>
          </w:p>
        </w:tc>
        <w:tc>
          <w:tcPr>
            <w:tcW w:w="789" w:type="dxa"/>
            <w:tcBorders>
              <w:top w:val="nil" w:sz="6" w:space="0" w:color="auto"/>
              <w:left w:val="nil" w:sz="6" w:space="0" w:color="auto"/>
              <w:bottom w:val="nil" w:sz="6" w:space="0" w:color="auto"/>
              <w:right w:val="nil" w:sz="6" w:space="0" w:color="auto"/>
            </w:tcBorders>
          </w:tcPr>
          <w:p>
            <w:pP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9"/>
              <w:jc w:val="right"/>
              <w:rPr>
                <w:rFonts w:ascii="Times New Roman" w:hAnsi="Times New Roman" w:cs="Times New Roman" w:eastAsia="Times New Roman" w:hint="default"/>
                <w:sz w:val="13"/>
                <w:szCs w:val="13"/>
              </w:rPr>
            </w:pPr>
            <w:r>
              <w:rPr>
                <w:rFonts w:ascii="Times New Roman"/>
                <w:w w:val="95"/>
                <w:sz w:val="13"/>
              </w:rPr>
              <w:t>98</w:t>
            </w:r>
            <w:r>
              <w:rPr>
                <w:rFonts w:ascii="Times New Roman"/>
                <w:sz w:val="13"/>
              </w:rPr>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95"/>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8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803" w:type="dxa"/>
            <w:tcBorders>
              <w:top w:val="nil" w:sz="6" w:space="0" w:color="auto"/>
              <w:left w:val="nil" w:sz="6" w:space="0" w:color="auto"/>
              <w:bottom w:val="nil" w:sz="6" w:space="0" w:color="auto"/>
              <w:right w:val="nil" w:sz="6" w:space="0" w:color="auto"/>
            </w:tcBorders>
          </w:tcPr>
          <w:p>
            <w:pP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87" w:right="0"/>
              <w:jc w:val="left"/>
              <w:rPr>
                <w:rFonts w:ascii="宋体" w:hAnsi="宋体" w:cs="宋体" w:eastAsia="宋体" w:hint="default"/>
                <w:sz w:val="13"/>
                <w:szCs w:val="13"/>
              </w:rPr>
            </w:pPr>
            <w:r>
              <w:rPr>
                <w:rFonts w:ascii="宋体" w:hAnsi="宋体" w:cs="宋体" w:eastAsia="宋体" w:hint="default"/>
                <w:sz w:val="13"/>
                <w:szCs w:val="13"/>
              </w:rPr>
              <w:t>自有资金</w:t>
            </w:r>
          </w:p>
        </w:tc>
        <w:tc>
          <w:tcPr>
            <w:tcW w:w="677" w:type="dxa"/>
            <w:tcBorders>
              <w:top w:val="nil" w:sz="6" w:space="0" w:color="auto"/>
              <w:left w:val="nil" w:sz="6" w:space="0" w:color="auto"/>
              <w:bottom w:val="nil" w:sz="6" w:space="0" w:color="auto"/>
              <w:right w:val="nil" w:sz="6" w:space="0" w:color="auto"/>
            </w:tcBorders>
          </w:tcPr>
          <w:p>
            <w:pPr/>
          </w:p>
        </w:tc>
      </w:tr>
      <w:tr>
        <w:trPr>
          <w:trHeight w:val="385" w:hRule="exact"/>
        </w:trPr>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医疗核磁屏蔽间</w:t>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1"/>
              <w:jc w:val="right"/>
              <w:rPr>
                <w:rFonts w:ascii="Times New Roman" w:hAnsi="Times New Roman" w:cs="Times New Roman" w:eastAsia="Times New Roman" w:hint="default"/>
                <w:sz w:val="13"/>
                <w:szCs w:val="13"/>
              </w:rPr>
            </w:pPr>
            <w:r>
              <w:rPr>
                <w:rFonts w:ascii="Times New Roman"/>
                <w:w w:val="95"/>
                <w:sz w:val="13"/>
              </w:rPr>
              <w:t>55,000</w:t>
            </w:r>
            <w:r>
              <w:rPr>
                <w:rFonts w:ascii="Times New Roman"/>
                <w:sz w:val="13"/>
              </w:rPr>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49,729</w:t>
            </w:r>
            <w:r>
              <w:rPr>
                <w:rFonts w:ascii="Times New Roman"/>
                <w:sz w:val="13"/>
              </w:rPr>
            </w:r>
          </w:p>
        </w:tc>
        <w:tc>
          <w:tcPr>
            <w:tcW w:w="926"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18"/>
              <w:jc w:val="right"/>
              <w:rPr>
                <w:rFonts w:ascii="Times New Roman" w:hAnsi="Times New Roman" w:cs="Times New Roman" w:eastAsia="Times New Roman" w:hint="default"/>
                <w:sz w:val="13"/>
                <w:szCs w:val="13"/>
              </w:rPr>
            </w:pPr>
            <w:r>
              <w:rPr>
                <w:rFonts w:ascii="Times New Roman"/>
                <w:w w:val="95"/>
                <w:sz w:val="13"/>
              </w:rPr>
              <w:t>49,729</w:t>
            </w:r>
            <w:r>
              <w:rPr>
                <w:rFonts w:ascii="Times New Roman"/>
                <w:sz w:val="13"/>
              </w:rPr>
            </w:r>
          </w:p>
        </w:tc>
        <w:tc>
          <w:tcPr>
            <w:tcW w:w="789" w:type="dxa"/>
            <w:tcBorders>
              <w:top w:val="nil" w:sz="6" w:space="0" w:color="auto"/>
              <w:left w:val="nil" w:sz="6" w:space="0" w:color="auto"/>
              <w:bottom w:val="nil" w:sz="6" w:space="0" w:color="auto"/>
              <w:right w:val="nil" w:sz="6" w:space="0" w:color="auto"/>
            </w:tcBorders>
          </w:tcPr>
          <w:p>
            <w:pP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9"/>
              <w:jc w:val="right"/>
              <w:rPr>
                <w:rFonts w:ascii="Times New Roman" w:hAnsi="Times New Roman" w:cs="Times New Roman" w:eastAsia="Times New Roman" w:hint="default"/>
                <w:sz w:val="13"/>
                <w:szCs w:val="13"/>
              </w:rPr>
            </w:pPr>
            <w:r>
              <w:rPr>
                <w:rFonts w:ascii="Times New Roman"/>
                <w:w w:val="95"/>
                <w:sz w:val="13"/>
              </w:rPr>
              <w:t>90</w:t>
            </w:r>
            <w:r>
              <w:rPr>
                <w:rFonts w:ascii="Times New Roman"/>
                <w:sz w:val="13"/>
              </w:rPr>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95"/>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8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803" w:type="dxa"/>
            <w:tcBorders>
              <w:top w:val="nil" w:sz="6" w:space="0" w:color="auto"/>
              <w:left w:val="nil" w:sz="6" w:space="0" w:color="auto"/>
              <w:bottom w:val="nil" w:sz="6" w:space="0" w:color="auto"/>
              <w:right w:val="nil" w:sz="6" w:space="0" w:color="auto"/>
            </w:tcBorders>
          </w:tcPr>
          <w:p>
            <w:pP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86" w:right="0"/>
              <w:jc w:val="left"/>
              <w:rPr>
                <w:rFonts w:ascii="宋体" w:hAnsi="宋体" w:cs="宋体" w:eastAsia="宋体" w:hint="default"/>
                <w:sz w:val="13"/>
                <w:szCs w:val="13"/>
              </w:rPr>
            </w:pPr>
            <w:r>
              <w:rPr>
                <w:rFonts w:ascii="宋体" w:hAnsi="宋体" w:cs="宋体" w:eastAsia="宋体" w:hint="default"/>
                <w:sz w:val="13"/>
                <w:szCs w:val="13"/>
              </w:rPr>
              <w:t>自有资金</w:t>
            </w:r>
          </w:p>
        </w:tc>
        <w:tc>
          <w:tcPr>
            <w:tcW w:w="677" w:type="dxa"/>
            <w:tcBorders>
              <w:top w:val="nil" w:sz="6" w:space="0" w:color="auto"/>
              <w:left w:val="nil" w:sz="6" w:space="0" w:color="auto"/>
              <w:bottom w:val="nil" w:sz="6" w:space="0" w:color="auto"/>
              <w:right w:val="nil" w:sz="6" w:space="0" w:color="auto"/>
            </w:tcBorders>
          </w:tcPr>
          <w:p>
            <w:pPr/>
          </w:p>
        </w:tc>
      </w:tr>
      <w:tr>
        <w:trPr>
          <w:trHeight w:val="385" w:hRule="exact"/>
        </w:trPr>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3"/>
                <w:szCs w:val="13"/>
              </w:rPr>
            </w:pPr>
            <w:r>
              <w:rPr>
                <w:rFonts w:ascii="宋体" w:hAnsi="宋体" w:cs="宋体" w:eastAsia="宋体" w:hint="default"/>
                <w:sz w:val="13"/>
                <w:szCs w:val="13"/>
              </w:rPr>
              <w:t>成都软件园三期资产</w:t>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21"/>
              <w:jc w:val="right"/>
              <w:rPr>
                <w:rFonts w:ascii="Times New Roman" w:hAnsi="Times New Roman" w:cs="Times New Roman" w:eastAsia="Times New Roman" w:hint="default"/>
                <w:sz w:val="13"/>
                <w:szCs w:val="13"/>
              </w:rPr>
            </w:pPr>
            <w:r>
              <w:rPr>
                <w:rFonts w:ascii="Times New Roman"/>
                <w:w w:val="95"/>
                <w:sz w:val="13"/>
              </w:rPr>
              <w:t>8,900,000</w:t>
            </w:r>
            <w:r>
              <w:rPr>
                <w:rFonts w:ascii="Times New Roman"/>
                <w:sz w:val="13"/>
              </w:rPr>
            </w:r>
          </w:p>
        </w:tc>
        <w:tc>
          <w:tcPr>
            <w:tcW w:w="925" w:type="dxa"/>
            <w:tcBorders>
              <w:top w:val="nil" w:sz="6" w:space="0" w:color="auto"/>
              <w:left w:val="nil" w:sz="6" w:space="0" w:color="auto"/>
              <w:bottom w:val="nil" w:sz="6" w:space="0" w:color="auto"/>
              <w:right w:val="nil" w:sz="6" w:space="0" w:color="auto"/>
            </w:tcBorders>
          </w:tcPr>
          <w:p>
            <w:pP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22"/>
              <w:jc w:val="right"/>
              <w:rPr>
                <w:rFonts w:ascii="Times New Roman" w:hAnsi="Times New Roman" w:cs="Times New Roman" w:eastAsia="Times New Roman" w:hint="default"/>
                <w:sz w:val="13"/>
                <w:szCs w:val="13"/>
              </w:rPr>
            </w:pPr>
            <w:r>
              <w:rPr>
                <w:rFonts w:ascii="Times New Roman"/>
                <w:w w:val="95"/>
                <w:sz w:val="13"/>
              </w:rPr>
              <w:t>8,798,131</w:t>
            </w:r>
            <w:r>
              <w:rPr>
                <w:rFonts w:ascii="Times New Roman"/>
                <w:sz w:val="13"/>
              </w:rPr>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18"/>
              <w:jc w:val="right"/>
              <w:rPr>
                <w:rFonts w:ascii="Times New Roman" w:hAnsi="Times New Roman" w:cs="Times New Roman" w:eastAsia="Times New Roman" w:hint="default"/>
                <w:sz w:val="13"/>
                <w:szCs w:val="13"/>
              </w:rPr>
            </w:pPr>
            <w:r>
              <w:rPr>
                <w:rFonts w:ascii="Times New Roman"/>
                <w:w w:val="95"/>
                <w:sz w:val="13"/>
              </w:rPr>
              <w:t>8,798,131</w:t>
            </w:r>
            <w:r>
              <w:rPr>
                <w:rFonts w:ascii="Times New Roman"/>
                <w:sz w:val="13"/>
              </w:rPr>
            </w:r>
          </w:p>
        </w:tc>
        <w:tc>
          <w:tcPr>
            <w:tcW w:w="789" w:type="dxa"/>
            <w:tcBorders>
              <w:top w:val="nil" w:sz="6" w:space="0" w:color="auto"/>
              <w:left w:val="nil" w:sz="6" w:space="0" w:color="auto"/>
              <w:bottom w:val="nil" w:sz="6" w:space="0" w:color="auto"/>
              <w:right w:val="nil" w:sz="6" w:space="0" w:color="auto"/>
            </w:tcBorders>
          </w:tcPr>
          <w:p>
            <w:pP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29"/>
              <w:jc w:val="right"/>
              <w:rPr>
                <w:rFonts w:ascii="Times New Roman" w:hAnsi="Times New Roman" w:cs="Times New Roman" w:eastAsia="Times New Roman" w:hint="default"/>
                <w:sz w:val="13"/>
                <w:szCs w:val="13"/>
              </w:rPr>
            </w:pPr>
            <w:r>
              <w:rPr>
                <w:rFonts w:ascii="Times New Roman"/>
                <w:w w:val="95"/>
                <w:sz w:val="13"/>
              </w:rPr>
              <w:t>99</w:t>
            </w:r>
            <w:r>
              <w:rPr>
                <w:rFonts w:ascii="Times New Roman"/>
                <w:sz w:val="13"/>
              </w:rPr>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95"/>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8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803" w:type="dxa"/>
            <w:tcBorders>
              <w:top w:val="nil" w:sz="6" w:space="0" w:color="auto"/>
              <w:left w:val="nil" w:sz="6" w:space="0" w:color="auto"/>
              <w:bottom w:val="nil" w:sz="6" w:space="0" w:color="auto"/>
              <w:right w:val="nil" w:sz="6" w:space="0" w:color="auto"/>
            </w:tcBorders>
          </w:tcPr>
          <w:p>
            <w:pP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86" w:right="0"/>
              <w:jc w:val="left"/>
              <w:rPr>
                <w:rFonts w:ascii="宋体" w:hAnsi="宋体" w:cs="宋体" w:eastAsia="宋体" w:hint="default"/>
                <w:sz w:val="13"/>
                <w:szCs w:val="13"/>
              </w:rPr>
            </w:pPr>
            <w:r>
              <w:rPr>
                <w:rFonts w:ascii="宋体" w:hAnsi="宋体" w:cs="宋体" w:eastAsia="宋体" w:hint="default"/>
                <w:sz w:val="13"/>
                <w:szCs w:val="13"/>
              </w:rPr>
              <w:t>自有资金</w:t>
            </w:r>
          </w:p>
        </w:tc>
        <w:tc>
          <w:tcPr>
            <w:tcW w:w="677" w:type="dxa"/>
            <w:tcBorders>
              <w:top w:val="nil" w:sz="6" w:space="0" w:color="auto"/>
              <w:left w:val="nil" w:sz="6" w:space="0" w:color="auto"/>
              <w:bottom w:val="nil" w:sz="6" w:space="0" w:color="auto"/>
              <w:right w:val="nil" w:sz="6" w:space="0" w:color="auto"/>
            </w:tcBorders>
          </w:tcPr>
          <w:p>
            <w:pPr/>
          </w:p>
        </w:tc>
      </w:tr>
      <w:tr>
        <w:trPr>
          <w:trHeight w:val="360" w:hRule="exact"/>
        </w:trPr>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
              <w:jc w:val="center"/>
              <w:rPr>
                <w:rFonts w:ascii="宋体" w:hAnsi="宋体" w:cs="宋体" w:eastAsia="宋体" w:hint="default"/>
                <w:sz w:val="13"/>
                <w:szCs w:val="13"/>
              </w:rPr>
            </w:pPr>
            <w:r>
              <w:rPr>
                <w:rFonts w:ascii="宋体" w:hAnsi="宋体" w:cs="宋体" w:eastAsia="宋体" w:hint="default"/>
                <w:sz w:val="13"/>
                <w:szCs w:val="13"/>
              </w:rPr>
              <w:t>合</w:t>
            </w:r>
            <w:r>
              <w:rPr>
                <w:rFonts w:ascii="宋体" w:hAnsi="宋体" w:cs="宋体" w:eastAsia="宋体" w:hint="default"/>
                <w:spacing w:val="63"/>
                <w:sz w:val="13"/>
                <w:szCs w:val="13"/>
              </w:rPr>
              <w:t> </w:t>
            </w:r>
            <w:r>
              <w:rPr>
                <w:rFonts w:ascii="宋体" w:hAnsi="宋体" w:cs="宋体" w:eastAsia="宋体" w:hint="default"/>
                <w:sz w:val="13"/>
                <w:szCs w:val="13"/>
              </w:rPr>
              <w:t>计</w:t>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21"/>
              <w:jc w:val="right"/>
              <w:rPr>
                <w:rFonts w:ascii="Times New Roman" w:hAnsi="Times New Roman" w:cs="Times New Roman" w:eastAsia="Times New Roman" w:hint="default"/>
                <w:sz w:val="13"/>
                <w:szCs w:val="13"/>
              </w:rPr>
            </w:pPr>
            <w:r>
              <w:rPr>
                <w:rFonts w:ascii="Times New Roman"/>
                <w:w w:val="95"/>
                <w:sz w:val="13"/>
              </w:rPr>
              <w:t>615,322,600</w:t>
            </w:r>
            <w:r>
              <w:rPr>
                <w:rFonts w:ascii="Times New Roman"/>
                <w:sz w:val="13"/>
              </w:rPr>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50"/>
              <w:jc w:val="right"/>
              <w:rPr>
                <w:rFonts w:ascii="Times New Roman" w:hAnsi="Times New Roman" w:cs="Times New Roman" w:eastAsia="Times New Roman" w:hint="default"/>
                <w:sz w:val="13"/>
                <w:szCs w:val="13"/>
              </w:rPr>
            </w:pPr>
            <w:r>
              <w:rPr>
                <w:rFonts w:ascii="Times New Roman"/>
                <w:w w:val="95"/>
                <w:sz w:val="13"/>
              </w:rPr>
              <w:t>223,268,190</w:t>
            </w:r>
            <w:r>
              <w:rPr>
                <w:rFonts w:ascii="Times New Roman"/>
                <w:sz w:val="13"/>
              </w:rPr>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left="152" w:right="0"/>
              <w:jc w:val="left"/>
              <w:rPr>
                <w:rFonts w:ascii="Times New Roman" w:hAnsi="Times New Roman" w:cs="Times New Roman" w:eastAsia="Times New Roman" w:hint="default"/>
                <w:sz w:val="13"/>
                <w:szCs w:val="13"/>
              </w:rPr>
            </w:pPr>
            <w:r>
              <w:rPr>
                <w:rFonts w:ascii="Times New Roman"/>
                <w:sz w:val="13"/>
              </w:rPr>
              <w:t>106,250,460</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118"/>
              <w:jc w:val="right"/>
              <w:rPr>
                <w:rFonts w:ascii="Times New Roman" w:hAnsi="Times New Roman" w:cs="Times New Roman" w:eastAsia="Times New Roman" w:hint="default"/>
                <w:sz w:val="13"/>
                <w:szCs w:val="13"/>
              </w:rPr>
            </w:pPr>
            <w:r>
              <w:rPr>
                <w:rFonts w:ascii="Times New Roman"/>
                <w:w w:val="95"/>
                <w:sz w:val="13"/>
              </w:rPr>
              <w:t>298,824,174</w:t>
            </w:r>
            <w:r>
              <w:rPr>
                <w:rFonts w:ascii="Times New Roman"/>
                <w:sz w:val="13"/>
              </w:rPr>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left="34" w:right="0"/>
              <w:jc w:val="center"/>
              <w:rPr>
                <w:rFonts w:ascii="Times New Roman" w:hAnsi="Times New Roman" w:cs="Times New Roman" w:eastAsia="Times New Roman" w:hint="default"/>
                <w:sz w:val="13"/>
                <w:szCs w:val="13"/>
              </w:rPr>
            </w:pPr>
            <w:r>
              <w:rPr>
                <w:rFonts w:ascii="Times New Roman"/>
                <w:sz w:val="13"/>
              </w:rPr>
              <w:t>23,950,531</w:t>
            </w:r>
          </w:p>
        </w:tc>
        <w:tc>
          <w:tcPr>
            <w:tcW w:w="889" w:type="dxa"/>
            <w:tcBorders>
              <w:top w:val="nil" w:sz="6" w:space="0" w:color="auto"/>
              <w:left w:val="nil" w:sz="6" w:space="0" w:color="auto"/>
              <w:bottom w:val="nil" w:sz="6" w:space="0" w:color="auto"/>
              <w:right w:val="nil" w:sz="6" w:space="0" w:color="auto"/>
            </w:tcBorders>
          </w:tcPr>
          <w:p>
            <w:pPr/>
          </w:p>
        </w:tc>
        <w:tc>
          <w:tcPr>
            <w:tcW w:w="712" w:type="dxa"/>
            <w:tcBorders>
              <w:top w:val="nil" w:sz="6" w:space="0" w:color="auto"/>
              <w:left w:val="nil" w:sz="6" w:space="0" w:color="auto"/>
              <w:bottom w:val="nil" w:sz="6" w:space="0" w:color="auto"/>
              <w:right w:val="nil" w:sz="6" w:space="0" w:color="auto"/>
            </w:tcBorders>
          </w:tcPr>
          <w:p>
            <w:pPr/>
          </w:p>
        </w:tc>
        <w:tc>
          <w:tcPr>
            <w:tcW w:w="8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803" w:type="dxa"/>
            <w:tcBorders>
              <w:top w:val="nil" w:sz="6" w:space="0" w:color="auto"/>
              <w:left w:val="nil" w:sz="6" w:space="0" w:color="auto"/>
              <w:bottom w:val="nil" w:sz="6" w:space="0" w:color="auto"/>
              <w:right w:val="nil" w:sz="6" w:space="0" w:color="auto"/>
            </w:tcBorders>
          </w:tcPr>
          <w:p>
            <w:pPr/>
          </w:p>
        </w:tc>
        <w:tc>
          <w:tcPr>
            <w:tcW w:w="2108" w:type="dxa"/>
            <w:tcBorders>
              <w:top w:val="nil" w:sz="6" w:space="0" w:color="auto"/>
              <w:left w:val="nil" w:sz="6" w:space="0" w:color="auto"/>
              <w:bottom w:val="nil" w:sz="6" w:space="0" w:color="auto"/>
              <w:right w:val="nil" w:sz="6" w:space="0" w:color="auto"/>
            </w:tcBorders>
          </w:tcPr>
          <w:p>
            <w:pPr/>
          </w:p>
        </w:tc>
        <w:tc>
          <w:tcPr>
            <w:tcW w:w="6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8"/>
                <w:szCs w:val="8"/>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6,743,945</w:t>
            </w:r>
            <w:r>
              <w:rPr>
                <w:rFonts w:ascii="Times New Roman"/>
                <w:sz w:val="13"/>
              </w:rPr>
            </w:r>
          </w:p>
        </w:tc>
      </w:tr>
    </w:tbl>
    <w:p>
      <w:pPr>
        <w:spacing w:line="240" w:lineRule="auto" w:before="3"/>
        <w:rPr>
          <w:rFonts w:ascii="宋体" w:hAnsi="宋体" w:cs="宋体" w:eastAsia="宋体" w:hint="default"/>
          <w:sz w:val="7"/>
          <w:szCs w:val="7"/>
        </w:rPr>
      </w:pPr>
    </w:p>
    <w:p>
      <w:pPr>
        <w:spacing w:before="35"/>
        <w:ind w:left="857" w:right="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其他减少</w:t>
      </w:r>
      <w:r>
        <w:rPr>
          <w:rFonts w:ascii="Times New Roman" w:hAnsi="Times New Roman" w:cs="Times New Roman" w:eastAsia="Times New Roman" w:hint="default"/>
          <w:sz w:val="21"/>
          <w:szCs w:val="21"/>
        </w:rPr>
        <w:t>”</w:t>
      </w:r>
      <w:r>
        <w:rPr>
          <w:rFonts w:ascii="宋体" w:hAnsi="宋体" w:cs="宋体" w:eastAsia="宋体" w:hint="default"/>
          <w:sz w:val="21"/>
          <w:szCs w:val="21"/>
        </w:rPr>
        <w:t>说明：本期在建工程其他减少全部转入无形资产。</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before="0"/>
        <w:ind w:left="1277"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、沈阳园区</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A1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办公楼期初金额中</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14,364,743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元是由上年固定资产净值转入，本年新增</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610,000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before="44"/>
        <w:ind w:left="6200" w:right="6201" w:firstLine="0"/>
        <w:jc w:val="center"/>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81"/>
          <w:footerReference w:type="default" r:id="rId82"/>
          <w:pgSz w:w="16840" w:h="11900" w:orient="landscape"/>
          <w:pgMar w:header="0" w:footer="0" w:top="800" w:bottom="280" w:left="1300" w:right="1300"/>
        </w:sectPr>
      </w:pPr>
    </w:p>
    <w:p>
      <w:pPr>
        <w:tabs>
          <w:tab w:pos="3053" w:val="left" w:leader="none"/>
        </w:tabs>
        <w:spacing w:before="129"/>
        <w:ind w:left="2515" w:right="451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重大在建工程的工程进度情况</w:t>
      </w:r>
    </w:p>
    <w:p>
      <w:pPr>
        <w:spacing w:line="1200" w:lineRule="exact"/>
        <w:ind w:left="2383"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14.3pt;height:60pt;mso-position-horizontal-relative:char;mso-position-vertical-relative:line" coordorigin="0,0" coordsize="8286,1200">
            <v:group style="position:absolute;left:24;top:10;width:3759;height:2" coordorigin="24,10" coordsize="3759,2">
              <v:shape style="position:absolute;left:24;top:10;width:3759;height:2" coordorigin="24,10" coordsize="3759,0" path="m24,10l3782,10e" filled="false" stroked="true" strokeweight=".95996pt" strokecolor="#000000">
                <v:path arrowok="t"/>
              </v:shape>
            </v:group>
            <v:group style="position:absolute;left:3782;top:10;width:2807;height:2" coordorigin="3782,10" coordsize="2807,2">
              <v:shape style="position:absolute;left:3782;top:10;width:2807;height:2" coordorigin="3782,10" coordsize="2807,0" path="m3782,10l6589,10e" filled="false" stroked="true" strokeweight=".95996pt" strokecolor="#000000">
                <v:path arrowok="t"/>
              </v:shape>
            </v:group>
            <v:group style="position:absolute;left:6589;top:10;width:1680;height:2" coordorigin="6589,10" coordsize="1680,2">
              <v:shape style="position:absolute;left:6589;top:10;width:1680;height:2" coordorigin="6589,10" coordsize="1680,0" path="m6589,10l8269,10e" filled="false" stroked="true" strokeweight=".95996pt" strokecolor="#000000">
                <v:path arrowok="t"/>
              </v:shape>
            </v:group>
            <v:group style="position:absolute;left:10;top:1190;width:3773;height:2" coordorigin="10,1190" coordsize="3773,2">
              <v:shape style="position:absolute;left:10;top:1190;width:3773;height:2" coordorigin="10,1190" coordsize="3773,0" path="m10,1190l3782,1190e" filled="false" stroked="true" strokeweight=".95996pt" strokecolor="#000000">
                <v:path arrowok="t"/>
              </v:shape>
            </v:group>
            <v:group style="position:absolute;left:3782;top:1190;width:2807;height:2" coordorigin="3782,1190" coordsize="2807,2">
              <v:shape style="position:absolute;left:3782;top:1190;width:2807;height:2" coordorigin="3782,1190" coordsize="2807,0" path="m3782,1190l6589,1190e" filled="false" stroked="true" strokeweight=".95996pt" strokecolor="#000000">
                <v:path arrowok="t"/>
              </v:shape>
              <v:shape style="position:absolute;left:24;top:19;width:8255;height:1162" type="#_x0000_t75" stroked="false">
                <v:imagedata r:id="rId85" o:title=""/>
              </v:shape>
            </v:group>
            <v:group style="position:absolute;left:6589;top:1190;width:1688;height:2" coordorigin="6589,1190" coordsize="1688,2">
              <v:shape style="position:absolute;left:6589;top:1190;width:1688;height:2" coordorigin="6589,1190" coordsize="1688,0" path="m6589,1190l8276,1190e" filled="false" stroked="true" strokeweight=".95996pt" strokecolor="#000000">
                <v:path arrowok="t"/>
              </v:shape>
              <v:shape style="position:absolute;left:1544;top:192;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 </w:t>
                      </w:r>
                    </w:p>
                  </w:txbxContent>
                </v:textbox>
                <w10:wrap type="none"/>
              </v:shape>
              <v:shape style="position:absolute;left:4830;top:1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工程进度</w:t>
                      </w:r>
                    </w:p>
                  </w:txbxContent>
                </v:textbox>
                <w10:wrap type="none"/>
              </v:shape>
              <v:shape style="position:absolute;left:7254;top:1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备注</w:t>
                      </w:r>
                    </w:p>
                  </w:txbxContent>
                </v:textbox>
                <w10:wrap type="none"/>
              </v:shape>
              <v:shape style="position:absolute;left:131;top:581;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广州软件园（一期）</w:t>
                      </w:r>
                    </w:p>
                  </w:txbxContent>
                </v:textbox>
                <w10:wrap type="none"/>
              </v:shape>
              <v:shape style="position:absolute;left:3895;top:581;width:1725;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建设中，工程进度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xbxContent>
                </v:textbox>
                <w10:wrap type="none"/>
              </v:shape>
              <v:shape style="position:absolute;left:131;top:97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上海软件园</w:t>
                      </w:r>
                    </w:p>
                  </w:txbxContent>
                </v:textbox>
                <w10:wrap type="none"/>
              </v:shape>
              <v:shape style="position:absolute;left:3895;top:971;width:1725;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建设中，工程进度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xbxContent>
                </v:textbox>
                <w10:wrap type="none"/>
              </v:shape>
            </v:group>
          </v:group>
        </w:pict>
      </w:r>
      <w:r>
        <w:rPr>
          <w:rFonts w:ascii="宋体" w:hAnsi="宋体" w:cs="宋体" w:eastAsia="宋体" w:hint="default"/>
          <w:position w:val="-23"/>
          <w:sz w:val="20"/>
          <w:szCs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spacing w:before="0"/>
        <w:ind w:left="1783" w:right="451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十六</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12"/>
          <w:sz w:val="21"/>
          <w:szCs w:val="21"/>
        </w:rPr>
        <w:t> </w:t>
      </w:r>
      <w:r>
        <w:rPr>
          <w:rFonts w:ascii="宋体" w:hAnsi="宋体" w:cs="宋体" w:eastAsia="宋体" w:hint="default"/>
          <w:sz w:val="21"/>
          <w:szCs w:val="21"/>
        </w:rPr>
        <w:t>无形资产</w:t>
      </w:r>
    </w:p>
    <w:p>
      <w:pPr>
        <w:spacing w:before="88"/>
        <w:ind w:left="2515" w:right="4512" w:firstLine="0"/>
        <w:jc w:val="left"/>
        <w:rPr>
          <w:rFonts w:ascii="宋体" w:hAnsi="宋体" w:cs="宋体" w:eastAsia="宋体" w:hint="default"/>
          <w:sz w:val="21"/>
          <w:szCs w:val="21"/>
        </w:rPr>
      </w:pPr>
      <w:r>
        <w:rPr/>
        <w:pict>
          <v:group style="position:absolute;margin-left:119.160004pt;margin-top:19.784624pt;width:413.4pt;height:508.5pt;mso-position-horizontal-relative:page;mso-position-vertical-relative:paragraph;z-index:-987064" coordorigin="2383,396" coordsize="8268,10170">
            <v:group style="position:absolute;left:2407;top:405;width:2222;height:2" coordorigin="2407,405" coordsize="2222,2">
              <v:shape style="position:absolute;left:2407;top:405;width:2222;height:2" coordorigin="2407,405" coordsize="2222,0" path="m2407,405l4628,405e" filled="false" stroked="true" strokeweight=".95996pt" strokecolor="#000000">
                <v:path arrowok="t"/>
              </v:shape>
            </v:group>
            <v:group style="position:absolute;left:4628;top:405;width:1589;height:2" coordorigin="4628,405" coordsize="1589,2">
              <v:shape style="position:absolute;left:4628;top:405;width:1589;height:2" coordorigin="4628,405" coordsize="1589,0" path="m4628,405l6217,405e" filled="false" stroked="true" strokeweight=".95996pt" strokecolor="#000000">
                <v:path arrowok="t"/>
              </v:shape>
            </v:group>
            <v:group style="position:absolute;left:6217;top:405;width:1331;height:2" coordorigin="6217,405" coordsize="1331,2">
              <v:shape style="position:absolute;left:6217;top:405;width:1331;height:2" coordorigin="6217,405" coordsize="1331,0" path="m6217,405l7548,405e" filled="false" stroked="true" strokeweight=".95996pt" strokecolor="#000000">
                <v:path arrowok="t"/>
              </v:shape>
            </v:group>
            <v:group style="position:absolute;left:7548;top:405;width:1335;height:2" coordorigin="7548,405" coordsize="1335,2">
              <v:shape style="position:absolute;left:7548;top:405;width:1335;height:2" coordorigin="7548,405" coordsize="1335,0" path="m7548,405l8882,405e" filled="false" stroked="true" strokeweight=".95996pt" strokecolor="#000000">
                <v:path arrowok="t"/>
              </v:shape>
            </v:group>
            <v:group style="position:absolute;left:8882;top:405;width:1752;height:2" coordorigin="8882,405" coordsize="1752,2">
              <v:shape style="position:absolute;left:8882;top:405;width:1752;height:2" coordorigin="8882,405" coordsize="1752,0" path="m8882,405l10634,405e" filled="false" stroked="true" strokeweight=".95996pt" strokecolor="#000000">
                <v:path arrowok="t"/>
              </v:shape>
            </v:group>
            <v:group style="position:absolute;left:2393;top:10556;width:2236;height:2" coordorigin="2393,10556" coordsize="2236,2">
              <v:shape style="position:absolute;left:2393;top:10556;width:2236;height:2" coordorigin="2393,10556" coordsize="2236,0" path="m2393,10556l4628,10556e" filled="false" stroked="true" strokeweight=".95999pt" strokecolor="#000000">
                <v:path arrowok="t"/>
              </v:shape>
            </v:group>
            <v:group style="position:absolute;left:4628;top:10556;width:1589;height:2" coordorigin="4628,10556" coordsize="1589,2">
              <v:shape style="position:absolute;left:4628;top:10556;width:1589;height:2" coordorigin="4628,10556" coordsize="1589,0" path="m4628,10556l6217,10556e" filled="false" stroked="true" strokeweight=".95999pt" strokecolor="#000000">
                <v:path arrowok="t"/>
              </v:shape>
            </v:group>
            <v:group style="position:absolute;left:6217;top:10556;width:1331;height:2" coordorigin="6217,10556" coordsize="1331,2">
              <v:shape style="position:absolute;left:6217;top:10556;width:1331;height:2" coordorigin="6217,10556" coordsize="1331,0" path="m6217,10556l7548,10556e" filled="false" stroked="true" strokeweight=".95999pt" strokecolor="#000000">
                <v:path arrowok="t"/>
              </v:shape>
            </v:group>
            <v:group style="position:absolute;left:7548;top:10556;width:1335;height:2" coordorigin="7548,10556" coordsize="1335,2">
              <v:shape style="position:absolute;left:7548;top:10556;width:1335;height:2" coordorigin="7548,10556" coordsize="1335,0" path="m7548,10556l8882,10556e" filled="false" stroked="true" strokeweight=".95999pt" strokecolor="#000000">
                <v:path arrowok="t"/>
              </v:shape>
              <v:shape style="position:absolute;left:2407;top:415;width:8227;height:10132" type="#_x0000_t75" stroked="false">
                <v:imagedata r:id="rId86" o:title=""/>
              </v:shape>
            </v:group>
            <v:group style="position:absolute;left:8882;top:10556;width:1760;height:2" coordorigin="8882,10556" coordsize="1760,2">
              <v:shape style="position:absolute;left:8882;top:10556;width:1760;height:2" coordorigin="8882,10556" coordsize="1760,0" path="m8882,10556l10642,10556e" filled="false" stroked="true" strokeweight=".95999pt" strokecolor="#000000">
                <v:path arrowok="t"/>
              </v:shape>
            </v:group>
            <w10:wrap type="none"/>
          </v:group>
        </w:pict>
      </w:r>
      <w:r>
        <w:rPr>
          <w:rFonts w:ascii="宋体" w:hAnsi="宋体" w:cs="宋体" w:eastAsia="宋体" w:hint="default"/>
          <w:sz w:val="21"/>
          <w:szCs w:val="21"/>
        </w:rPr>
        <w:t>无形资产情况</w:t>
      </w:r>
    </w:p>
    <w:p>
      <w:pPr>
        <w:tabs>
          <w:tab w:pos="4886" w:val="left" w:leader="none"/>
          <w:tab w:pos="6526" w:val="left" w:leader="none"/>
          <w:tab w:pos="7859" w:val="left" w:leader="none"/>
          <w:tab w:pos="9223" w:val="left" w:leader="none"/>
        </w:tabs>
        <w:spacing w:before="169"/>
        <w:ind w:left="3248" w:right="164" w:firstLine="0"/>
        <w:jc w:val="left"/>
        <w:rPr>
          <w:rFonts w:ascii="宋体" w:hAnsi="宋体" w:cs="宋体" w:eastAsia="宋体" w:hint="default"/>
          <w:sz w:val="18"/>
          <w:szCs w:val="18"/>
        </w:rPr>
      </w:pPr>
      <w:r>
        <w:rPr>
          <w:rFonts w:ascii="宋体" w:hAnsi="宋体" w:cs="宋体" w:eastAsia="宋体" w:hint="default"/>
          <w:sz w:val="18"/>
          <w:szCs w:val="18"/>
        </w:rPr>
        <w:t>项  目</w:t>
        <w:tab/>
        <w:t>期初账面金额</w:t>
        <w:tab/>
        <w:t>本期增加</w:t>
        <w:tab/>
        <w:t>本期减少</w:t>
        <w:tab/>
        <w:t>期末账面金额</w:t>
      </w:r>
    </w:p>
    <w:p>
      <w:pPr>
        <w:spacing w:line="240" w:lineRule="auto" w:before="4"/>
        <w:rPr>
          <w:rFonts w:ascii="宋体" w:hAnsi="宋体" w:cs="宋体" w:eastAsia="宋体" w:hint="default"/>
          <w:sz w:val="8"/>
          <w:szCs w:val="8"/>
        </w:rPr>
      </w:pPr>
    </w:p>
    <w:p>
      <w:pPr>
        <w:tabs>
          <w:tab w:pos="5218" w:val="left" w:leader="none"/>
          <w:tab w:pos="6633" w:val="left" w:leader="none"/>
          <w:tab w:pos="8057" w:val="left" w:leader="none"/>
          <w:tab w:pos="9630" w:val="left" w:leader="none"/>
        </w:tabs>
        <w:spacing w:before="44"/>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1</w:t>
      </w:r>
      <w:r>
        <w:rPr>
          <w:rFonts w:ascii="宋体" w:hAnsi="宋体" w:cs="宋体" w:eastAsia="宋体" w:hint="default"/>
          <w:position w:val="1"/>
          <w:sz w:val="18"/>
          <w:szCs w:val="18"/>
        </w:rPr>
        <w:t>、账面原值合计</w:t>
        <w:tab/>
      </w:r>
      <w:r>
        <w:rPr>
          <w:rFonts w:ascii="Times New Roman" w:hAnsi="Times New Roman" w:cs="Times New Roman" w:eastAsia="Times New Roman" w:hint="default"/>
          <w:spacing w:val="-1"/>
          <w:sz w:val="18"/>
          <w:szCs w:val="18"/>
        </w:rPr>
        <w:t>511,746,189</w:t>
        <w:tab/>
      </w:r>
      <w:r>
        <w:rPr>
          <w:rFonts w:ascii="Times New Roman" w:hAnsi="Times New Roman" w:cs="Times New Roman" w:eastAsia="Times New Roman" w:hint="default"/>
          <w:sz w:val="18"/>
          <w:szCs w:val="18"/>
        </w:rPr>
        <w:t>93,613,493</w:t>
        <w:tab/>
        <w:t>4,284,283</w:t>
        <w:tab/>
        <w:t>601,075,399</w:t>
      </w:r>
    </w:p>
    <w:p>
      <w:pPr>
        <w:tabs>
          <w:tab w:pos="5211" w:val="left" w:leader="none"/>
          <w:tab w:pos="6633" w:val="left" w:leader="none"/>
          <w:tab w:pos="9630"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w w:val="95"/>
          <w:position w:val="1"/>
          <w:sz w:val="18"/>
          <w:szCs w:val="18"/>
        </w:rPr>
        <w:t>(1).</w:t>
      </w:r>
      <w:r>
        <w:rPr>
          <w:rFonts w:ascii="宋体" w:hAnsi="宋体" w:cs="宋体" w:eastAsia="宋体" w:hint="default"/>
          <w:w w:val="95"/>
          <w:position w:val="1"/>
          <w:sz w:val="18"/>
          <w:szCs w:val="18"/>
        </w:rPr>
        <w:t>土地使用权</w:t>
        <w:tab/>
      </w:r>
      <w:r>
        <w:rPr>
          <w:rFonts w:ascii="Times New Roman" w:hAnsi="Times New Roman" w:cs="Times New Roman" w:eastAsia="Times New Roman" w:hint="default"/>
          <w:sz w:val="18"/>
          <w:szCs w:val="18"/>
        </w:rPr>
        <w:t>356,488,088</w:t>
        <w:tab/>
        <w:t>64,249,683</w:t>
        <w:tab/>
        <w:t>420,737,771</w:t>
      </w:r>
    </w:p>
    <w:p>
      <w:pPr>
        <w:tabs>
          <w:tab w:pos="5391" w:val="left" w:leader="none"/>
          <w:tab w:pos="9810"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w w:val="95"/>
          <w:position w:val="1"/>
          <w:sz w:val="18"/>
          <w:szCs w:val="18"/>
        </w:rPr>
        <w:t>(2).</w:t>
      </w:r>
      <w:r>
        <w:rPr>
          <w:rFonts w:ascii="宋体" w:hAnsi="宋体" w:cs="宋体" w:eastAsia="宋体" w:hint="default"/>
          <w:w w:val="95"/>
          <w:position w:val="1"/>
          <w:sz w:val="18"/>
          <w:szCs w:val="18"/>
        </w:rPr>
        <w:t>房产使用权</w:t>
        <w:tab/>
      </w:r>
      <w:r>
        <w:rPr>
          <w:rFonts w:ascii="Times New Roman" w:hAnsi="Times New Roman" w:cs="Times New Roman" w:eastAsia="Times New Roman" w:hint="default"/>
          <w:sz w:val="18"/>
          <w:szCs w:val="18"/>
        </w:rPr>
        <w:t>5,000,000</w:t>
        <w:tab/>
        <w:t>5,000,000</w:t>
      </w:r>
    </w:p>
    <w:p>
      <w:pPr>
        <w:tabs>
          <w:tab w:pos="5211" w:val="left" w:leader="none"/>
          <w:tab w:pos="6640" w:val="left" w:leader="none"/>
          <w:tab w:pos="8057" w:val="left" w:leader="none"/>
          <w:tab w:pos="9631"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(3).</w:t>
      </w:r>
      <w:r>
        <w:rPr>
          <w:rFonts w:ascii="宋体" w:hAnsi="宋体" w:cs="宋体" w:eastAsia="宋体" w:hint="default"/>
          <w:spacing w:val="-1"/>
          <w:position w:val="1"/>
          <w:sz w:val="18"/>
          <w:szCs w:val="18"/>
        </w:rPr>
        <w:t>工业产权及专有技术</w:t>
        <w:tab/>
      </w:r>
      <w:r>
        <w:rPr>
          <w:rFonts w:ascii="Times New Roman" w:hAnsi="Times New Roman" w:cs="Times New Roman" w:eastAsia="Times New Roman" w:hint="default"/>
          <w:sz w:val="18"/>
          <w:szCs w:val="18"/>
        </w:rPr>
        <w:t>145,504,185</w:t>
        <w:tab/>
      </w:r>
      <w:r>
        <w:rPr>
          <w:rFonts w:ascii="Times New Roman" w:hAnsi="Times New Roman" w:cs="Times New Roman" w:eastAsia="Times New Roman" w:hint="default"/>
          <w:spacing w:val="-1"/>
          <w:sz w:val="18"/>
          <w:szCs w:val="18"/>
        </w:rPr>
        <w:t>11,093,162</w:t>
        <w:tab/>
      </w:r>
      <w:r>
        <w:rPr>
          <w:rFonts w:ascii="Times New Roman" w:hAnsi="Times New Roman" w:cs="Times New Roman" w:eastAsia="Times New Roman" w:hint="default"/>
          <w:sz w:val="18"/>
          <w:szCs w:val="18"/>
        </w:rPr>
        <w:t>4,284,283</w:t>
        <w:tab/>
        <w:t>152,313,064</w:t>
      </w:r>
    </w:p>
    <w:p>
      <w:pPr>
        <w:tabs>
          <w:tab w:pos="5391" w:val="left" w:leader="none"/>
          <w:tab w:pos="6633" w:val="left" w:leader="none"/>
          <w:tab w:pos="9720"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(4).</w:t>
      </w:r>
      <w:r>
        <w:rPr>
          <w:rFonts w:ascii="宋体" w:hAnsi="宋体" w:cs="宋体" w:eastAsia="宋体" w:hint="default"/>
          <w:position w:val="1"/>
          <w:sz w:val="18"/>
          <w:szCs w:val="18"/>
        </w:rPr>
        <w:t>其  </w:t>
      </w:r>
      <w:r>
        <w:rPr>
          <w:rFonts w:ascii="宋体" w:hAnsi="宋体" w:cs="宋体" w:eastAsia="宋体" w:hint="default"/>
          <w:spacing w:val="90"/>
          <w:position w:val="1"/>
          <w:sz w:val="18"/>
          <w:szCs w:val="18"/>
        </w:rPr>
        <w:t> </w:t>
      </w:r>
      <w:r>
        <w:rPr>
          <w:rFonts w:ascii="宋体" w:hAnsi="宋体" w:cs="宋体" w:eastAsia="宋体" w:hint="default"/>
          <w:position w:val="1"/>
          <w:sz w:val="18"/>
          <w:szCs w:val="18"/>
        </w:rPr>
        <w:t>他</w:t>
        <w:tab/>
      </w:r>
      <w:r>
        <w:rPr>
          <w:rFonts w:ascii="Times New Roman" w:hAnsi="Times New Roman" w:cs="Times New Roman" w:eastAsia="Times New Roman" w:hint="default"/>
          <w:sz w:val="18"/>
          <w:szCs w:val="18"/>
        </w:rPr>
        <w:t>4,753,916</w:t>
        <w:tab/>
        <w:t>18,270,648</w:t>
        <w:tab/>
        <w:t>23,024,564</w:t>
      </w:r>
    </w:p>
    <w:p>
      <w:pPr>
        <w:tabs>
          <w:tab w:pos="5211" w:val="left" w:leader="none"/>
          <w:tab w:pos="6633" w:val="left" w:leader="none"/>
          <w:tab w:pos="9630"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2</w:t>
      </w:r>
      <w:r>
        <w:rPr>
          <w:rFonts w:ascii="宋体" w:hAnsi="宋体" w:cs="宋体" w:eastAsia="宋体" w:hint="default"/>
          <w:position w:val="1"/>
          <w:sz w:val="18"/>
          <w:szCs w:val="18"/>
        </w:rPr>
        <w:t>、累计摊销合计</w:t>
        <w:tab/>
      </w:r>
      <w:r>
        <w:rPr>
          <w:rFonts w:ascii="Times New Roman" w:hAnsi="Times New Roman" w:cs="Times New Roman" w:eastAsia="Times New Roman" w:hint="default"/>
          <w:sz w:val="18"/>
          <w:szCs w:val="18"/>
        </w:rPr>
        <w:t>189,138,780</w:t>
        <w:tab/>
        <w:t>15,804,165</w:t>
        <w:tab/>
        <w:t>204,942,945</w:t>
      </w:r>
    </w:p>
    <w:p>
      <w:pPr>
        <w:tabs>
          <w:tab w:pos="5301" w:val="left" w:leader="none"/>
          <w:tab w:pos="6723" w:val="left" w:leader="none"/>
          <w:tab w:pos="9720"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w w:val="95"/>
          <w:position w:val="1"/>
          <w:sz w:val="18"/>
          <w:szCs w:val="18"/>
        </w:rPr>
        <w:t>(1).</w:t>
      </w:r>
      <w:r>
        <w:rPr>
          <w:rFonts w:ascii="宋体" w:hAnsi="宋体" w:cs="宋体" w:eastAsia="宋体" w:hint="default"/>
          <w:w w:val="95"/>
          <w:position w:val="1"/>
          <w:sz w:val="18"/>
          <w:szCs w:val="18"/>
        </w:rPr>
        <w:t>土地使用权</w:t>
        <w:tab/>
      </w:r>
      <w:r>
        <w:rPr>
          <w:rFonts w:ascii="Times New Roman" w:hAnsi="Times New Roman" w:cs="Times New Roman" w:eastAsia="Times New Roman" w:hint="default"/>
          <w:sz w:val="18"/>
          <w:szCs w:val="18"/>
        </w:rPr>
        <w:t>57,522,092</w:t>
        <w:tab/>
        <w:t>9,606,062</w:t>
        <w:tab/>
        <w:t>67,128,154</w:t>
      </w:r>
    </w:p>
    <w:p>
      <w:pPr>
        <w:tabs>
          <w:tab w:pos="5527" w:val="left" w:leader="none"/>
          <w:tab w:pos="6859" w:val="left" w:leader="none"/>
          <w:tab w:pos="9811"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w w:val="95"/>
          <w:position w:val="1"/>
          <w:sz w:val="18"/>
          <w:szCs w:val="18"/>
        </w:rPr>
        <w:t>(2).</w:t>
      </w:r>
      <w:r>
        <w:rPr>
          <w:rFonts w:ascii="宋体" w:hAnsi="宋体" w:cs="宋体" w:eastAsia="宋体" w:hint="default"/>
          <w:w w:val="95"/>
          <w:position w:val="1"/>
          <w:sz w:val="18"/>
          <w:szCs w:val="18"/>
        </w:rPr>
        <w:t>房产使用权</w:t>
        <w:tab/>
      </w:r>
      <w:r>
        <w:rPr>
          <w:rFonts w:ascii="Times New Roman" w:hAnsi="Times New Roman" w:cs="Times New Roman" w:eastAsia="Times New Roman" w:hint="default"/>
          <w:sz w:val="18"/>
          <w:szCs w:val="18"/>
        </w:rPr>
        <w:t>750,000</w:t>
        <w:tab/>
        <w:t>500,000</w:t>
        <w:tab/>
        <w:t>1,250,000</w:t>
      </w:r>
    </w:p>
    <w:p>
      <w:pPr>
        <w:tabs>
          <w:tab w:pos="5211" w:val="left" w:leader="none"/>
          <w:tab w:pos="6723" w:val="left" w:leader="none"/>
          <w:tab w:pos="9630"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(3).</w:t>
      </w:r>
      <w:r>
        <w:rPr>
          <w:rFonts w:ascii="宋体" w:hAnsi="宋体" w:cs="宋体" w:eastAsia="宋体" w:hint="default"/>
          <w:spacing w:val="-1"/>
          <w:position w:val="1"/>
          <w:sz w:val="18"/>
          <w:szCs w:val="18"/>
        </w:rPr>
        <w:t>工业产权及专有技术</w:t>
        <w:tab/>
      </w:r>
      <w:r>
        <w:rPr>
          <w:rFonts w:ascii="Times New Roman" w:hAnsi="Times New Roman" w:cs="Times New Roman" w:eastAsia="Times New Roman" w:hint="default"/>
          <w:sz w:val="18"/>
          <w:szCs w:val="18"/>
        </w:rPr>
        <w:t>128,908,564</w:t>
        <w:tab/>
        <w:t>4,064,022</w:t>
        <w:tab/>
        <w:t>132,972,586</w:t>
      </w:r>
    </w:p>
    <w:p>
      <w:pPr>
        <w:tabs>
          <w:tab w:pos="5391" w:val="left" w:leader="none"/>
          <w:tab w:pos="6723" w:val="left" w:leader="none"/>
          <w:tab w:pos="9810"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(4).</w:t>
      </w:r>
      <w:r>
        <w:rPr>
          <w:rFonts w:ascii="宋体" w:hAnsi="宋体" w:cs="宋体" w:eastAsia="宋体" w:hint="default"/>
          <w:position w:val="1"/>
          <w:sz w:val="18"/>
          <w:szCs w:val="18"/>
        </w:rPr>
        <w:t>其  </w:t>
      </w:r>
      <w:r>
        <w:rPr>
          <w:rFonts w:ascii="宋体" w:hAnsi="宋体" w:cs="宋体" w:eastAsia="宋体" w:hint="default"/>
          <w:spacing w:val="90"/>
          <w:position w:val="1"/>
          <w:sz w:val="18"/>
          <w:szCs w:val="18"/>
        </w:rPr>
        <w:t> </w:t>
      </w:r>
      <w:r>
        <w:rPr>
          <w:rFonts w:ascii="宋体" w:hAnsi="宋体" w:cs="宋体" w:eastAsia="宋体" w:hint="default"/>
          <w:position w:val="1"/>
          <w:sz w:val="18"/>
          <w:szCs w:val="18"/>
        </w:rPr>
        <w:t>他</w:t>
        <w:tab/>
      </w:r>
      <w:r>
        <w:rPr>
          <w:rFonts w:ascii="Times New Roman" w:hAnsi="Times New Roman" w:cs="Times New Roman" w:eastAsia="Times New Roman" w:hint="default"/>
          <w:sz w:val="18"/>
          <w:szCs w:val="18"/>
        </w:rPr>
        <w:t>1,958,124</w:t>
        <w:tab/>
        <w:t>1,634,081</w:t>
        <w:tab/>
        <w:t>3,592,205</w:t>
      </w:r>
    </w:p>
    <w:p>
      <w:pPr>
        <w:tabs>
          <w:tab w:pos="5211" w:val="left" w:leader="none"/>
          <w:tab w:pos="6633" w:val="left" w:leader="none"/>
          <w:tab w:pos="7967" w:val="left" w:leader="none"/>
          <w:tab w:pos="9630"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5"/>
          <w:position w:val="1"/>
          <w:sz w:val="18"/>
          <w:szCs w:val="18"/>
        </w:rPr>
        <w:t>3</w:t>
      </w:r>
      <w:r>
        <w:rPr>
          <w:rFonts w:ascii="宋体" w:hAnsi="宋体" w:cs="宋体" w:eastAsia="宋体" w:hint="default"/>
          <w:spacing w:val="-5"/>
          <w:position w:val="1"/>
          <w:sz w:val="18"/>
          <w:szCs w:val="18"/>
        </w:rPr>
        <w:t>、无形资产账面净值合计</w:t>
        <w:tab/>
      </w:r>
      <w:r>
        <w:rPr>
          <w:rFonts w:ascii="Times New Roman" w:hAnsi="Times New Roman" w:cs="Times New Roman" w:eastAsia="Times New Roman" w:hint="default"/>
          <w:sz w:val="18"/>
          <w:szCs w:val="18"/>
        </w:rPr>
        <w:t>322,607,409</w:t>
        <w:tab/>
        <w:t>93,613,493</w:t>
        <w:tab/>
        <w:t>20,088,448</w:t>
        <w:tab/>
        <w:t>396,132,454</w:t>
      </w:r>
    </w:p>
    <w:p>
      <w:pPr>
        <w:tabs>
          <w:tab w:pos="5211" w:val="left" w:leader="none"/>
          <w:tab w:pos="6633" w:val="left" w:leader="none"/>
          <w:tab w:pos="8057" w:val="left" w:leader="none"/>
          <w:tab w:pos="9630"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w w:val="95"/>
          <w:position w:val="1"/>
          <w:sz w:val="18"/>
          <w:szCs w:val="18"/>
        </w:rPr>
        <w:t>(1).</w:t>
      </w:r>
      <w:r>
        <w:rPr>
          <w:rFonts w:ascii="宋体" w:hAnsi="宋体" w:cs="宋体" w:eastAsia="宋体" w:hint="default"/>
          <w:w w:val="95"/>
          <w:position w:val="1"/>
          <w:sz w:val="18"/>
          <w:szCs w:val="18"/>
        </w:rPr>
        <w:t>土地使用权</w:t>
        <w:tab/>
      </w:r>
      <w:r>
        <w:rPr>
          <w:rFonts w:ascii="Times New Roman" w:hAnsi="Times New Roman" w:cs="Times New Roman" w:eastAsia="Times New Roman" w:hint="default"/>
          <w:sz w:val="18"/>
          <w:szCs w:val="18"/>
        </w:rPr>
        <w:t>298,965,996</w:t>
        <w:tab/>
        <w:t>64,249,683</w:t>
        <w:tab/>
        <w:t>9,606,062</w:t>
        <w:tab/>
        <w:t>353,609,617</w:t>
      </w:r>
    </w:p>
    <w:p>
      <w:pPr>
        <w:tabs>
          <w:tab w:pos="5391" w:val="left" w:leader="none"/>
          <w:tab w:pos="8193" w:val="left" w:leader="none"/>
          <w:tab w:pos="9810"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w w:val="95"/>
          <w:position w:val="1"/>
          <w:sz w:val="18"/>
          <w:szCs w:val="18"/>
        </w:rPr>
        <w:t>(2).</w:t>
      </w:r>
      <w:r>
        <w:rPr>
          <w:rFonts w:ascii="宋体" w:hAnsi="宋体" w:cs="宋体" w:eastAsia="宋体" w:hint="default"/>
          <w:w w:val="95"/>
          <w:position w:val="1"/>
          <w:sz w:val="18"/>
          <w:szCs w:val="18"/>
        </w:rPr>
        <w:t>房产使用权</w:t>
        <w:tab/>
      </w:r>
      <w:r>
        <w:rPr>
          <w:rFonts w:ascii="Times New Roman" w:hAnsi="Times New Roman" w:cs="Times New Roman" w:eastAsia="Times New Roman" w:hint="default"/>
          <w:sz w:val="18"/>
          <w:szCs w:val="18"/>
        </w:rPr>
        <w:t>4,250,000</w:t>
        <w:tab/>
        <w:t>500,000</w:t>
        <w:tab/>
        <w:t>3,750,000</w:t>
      </w:r>
    </w:p>
    <w:p>
      <w:pPr>
        <w:tabs>
          <w:tab w:pos="5301" w:val="left" w:leader="none"/>
          <w:tab w:pos="6640" w:val="left" w:leader="none"/>
          <w:tab w:pos="8057" w:val="left" w:leader="none"/>
          <w:tab w:pos="9721"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(3).</w:t>
      </w:r>
      <w:r>
        <w:rPr>
          <w:rFonts w:ascii="宋体" w:hAnsi="宋体" w:cs="宋体" w:eastAsia="宋体" w:hint="default"/>
          <w:spacing w:val="-1"/>
          <w:position w:val="1"/>
          <w:sz w:val="18"/>
          <w:szCs w:val="18"/>
        </w:rPr>
        <w:t>工业产权及专有技术</w:t>
        <w:tab/>
      </w:r>
      <w:r>
        <w:rPr>
          <w:rFonts w:ascii="Times New Roman" w:hAnsi="Times New Roman" w:cs="Times New Roman" w:eastAsia="Times New Roman" w:hint="default"/>
          <w:sz w:val="18"/>
          <w:szCs w:val="18"/>
        </w:rPr>
        <w:t>16,595,621</w:t>
        <w:tab/>
      </w:r>
      <w:r>
        <w:rPr>
          <w:rFonts w:ascii="Times New Roman" w:hAnsi="Times New Roman" w:cs="Times New Roman" w:eastAsia="Times New Roman" w:hint="default"/>
          <w:spacing w:val="-1"/>
          <w:sz w:val="18"/>
          <w:szCs w:val="18"/>
        </w:rPr>
        <w:t>11,093,162</w:t>
        <w:tab/>
      </w:r>
      <w:r>
        <w:rPr>
          <w:rFonts w:ascii="Times New Roman" w:hAnsi="Times New Roman" w:cs="Times New Roman" w:eastAsia="Times New Roman" w:hint="default"/>
          <w:sz w:val="18"/>
          <w:szCs w:val="18"/>
        </w:rPr>
        <w:t>8,348,305</w:t>
        <w:tab/>
        <w:t>19,340,478</w:t>
      </w:r>
    </w:p>
    <w:p>
      <w:pPr>
        <w:tabs>
          <w:tab w:pos="5391" w:val="left" w:leader="none"/>
          <w:tab w:pos="6633" w:val="left" w:leader="none"/>
          <w:tab w:pos="8057" w:val="left" w:leader="none"/>
          <w:tab w:pos="9721"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(4).</w:t>
      </w:r>
      <w:r>
        <w:rPr>
          <w:rFonts w:ascii="宋体" w:hAnsi="宋体" w:cs="宋体" w:eastAsia="宋体" w:hint="default"/>
          <w:position w:val="1"/>
          <w:sz w:val="18"/>
          <w:szCs w:val="18"/>
        </w:rPr>
        <w:t>其  </w:t>
      </w:r>
      <w:r>
        <w:rPr>
          <w:rFonts w:ascii="宋体" w:hAnsi="宋体" w:cs="宋体" w:eastAsia="宋体" w:hint="default"/>
          <w:spacing w:val="90"/>
          <w:position w:val="1"/>
          <w:sz w:val="18"/>
          <w:szCs w:val="18"/>
        </w:rPr>
        <w:t> </w:t>
      </w:r>
      <w:r>
        <w:rPr>
          <w:rFonts w:ascii="宋体" w:hAnsi="宋体" w:cs="宋体" w:eastAsia="宋体" w:hint="default"/>
          <w:position w:val="1"/>
          <w:sz w:val="18"/>
          <w:szCs w:val="18"/>
        </w:rPr>
        <w:t>他</w:t>
        <w:tab/>
      </w:r>
      <w:r>
        <w:rPr>
          <w:rFonts w:ascii="Times New Roman" w:hAnsi="Times New Roman" w:cs="Times New Roman" w:eastAsia="Times New Roman" w:hint="default"/>
          <w:sz w:val="18"/>
          <w:szCs w:val="18"/>
        </w:rPr>
        <w:t>2,795,792</w:t>
        <w:tab/>
        <w:t>18,270,648</w:t>
        <w:tab/>
        <w:t>1,634,081</w:t>
        <w:tab/>
        <w:t>19,432,359</w:t>
      </w:r>
    </w:p>
    <w:p>
      <w:pPr>
        <w:tabs>
          <w:tab w:pos="5391" w:val="left" w:leader="none"/>
          <w:tab w:pos="8057" w:val="left" w:leader="none"/>
          <w:tab w:pos="9946"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4</w:t>
      </w:r>
      <w:r>
        <w:rPr>
          <w:rFonts w:ascii="宋体" w:hAnsi="宋体" w:cs="宋体" w:eastAsia="宋体" w:hint="default"/>
          <w:position w:val="1"/>
          <w:sz w:val="18"/>
          <w:szCs w:val="18"/>
        </w:rPr>
        <w:t>、减值准备合计</w:t>
        <w:tab/>
      </w:r>
      <w:r>
        <w:rPr>
          <w:rFonts w:ascii="Times New Roman" w:hAnsi="Times New Roman" w:cs="Times New Roman" w:eastAsia="Times New Roman" w:hint="default"/>
          <w:sz w:val="18"/>
          <w:szCs w:val="18"/>
        </w:rPr>
        <w:t>1,513,469</w:t>
        <w:tab/>
        <w:t>1,284,283</w:t>
        <w:tab/>
        <w:t>229,186</w:t>
      </w:r>
    </w:p>
    <w:p>
      <w:pPr>
        <w:spacing w:before="131"/>
        <w:ind w:left="2514" w:right="45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p>
      <w:pPr>
        <w:spacing w:before="141"/>
        <w:ind w:left="2514" w:right="45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房产使用权</w:t>
      </w:r>
    </w:p>
    <w:p>
      <w:pPr>
        <w:tabs>
          <w:tab w:pos="5391" w:val="left" w:leader="none"/>
          <w:tab w:pos="8057" w:val="left" w:leader="none"/>
          <w:tab w:pos="10036" w:val="left" w:leader="none"/>
        </w:tabs>
        <w:spacing w:before="140"/>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(3).</w:t>
      </w:r>
      <w:r>
        <w:rPr>
          <w:rFonts w:ascii="宋体" w:hAnsi="宋体" w:cs="宋体" w:eastAsia="宋体" w:hint="default"/>
          <w:spacing w:val="-1"/>
          <w:position w:val="1"/>
          <w:sz w:val="18"/>
          <w:szCs w:val="18"/>
        </w:rPr>
        <w:t>工业产权及专有技术</w:t>
        <w:tab/>
      </w:r>
      <w:r>
        <w:rPr>
          <w:rFonts w:ascii="Times New Roman" w:hAnsi="Times New Roman" w:cs="Times New Roman" w:eastAsia="Times New Roman" w:hint="default"/>
          <w:sz w:val="18"/>
          <w:szCs w:val="18"/>
        </w:rPr>
        <w:t>1,373,229</w:t>
        <w:tab/>
        <w:t>1,284,283</w:t>
        <w:tab/>
        <w:t>88,946</w:t>
      </w:r>
    </w:p>
    <w:p>
      <w:pPr>
        <w:tabs>
          <w:tab w:pos="5527" w:val="left" w:leader="none"/>
          <w:tab w:pos="9946"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(4).</w:t>
      </w:r>
      <w:r>
        <w:rPr>
          <w:rFonts w:ascii="宋体" w:hAnsi="宋体" w:cs="宋体" w:eastAsia="宋体" w:hint="default"/>
          <w:position w:val="1"/>
          <w:sz w:val="18"/>
          <w:szCs w:val="18"/>
        </w:rPr>
        <w:t>其  </w:t>
      </w:r>
      <w:r>
        <w:rPr>
          <w:rFonts w:ascii="宋体" w:hAnsi="宋体" w:cs="宋体" w:eastAsia="宋体" w:hint="default"/>
          <w:spacing w:val="90"/>
          <w:position w:val="1"/>
          <w:sz w:val="18"/>
          <w:szCs w:val="18"/>
        </w:rPr>
        <w:t> </w:t>
      </w:r>
      <w:r>
        <w:rPr>
          <w:rFonts w:ascii="宋体" w:hAnsi="宋体" w:cs="宋体" w:eastAsia="宋体" w:hint="default"/>
          <w:position w:val="1"/>
          <w:sz w:val="18"/>
          <w:szCs w:val="18"/>
        </w:rPr>
        <w:t>他</w:t>
        <w:tab/>
      </w:r>
      <w:r>
        <w:rPr>
          <w:rFonts w:ascii="Times New Roman" w:hAnsi="Times New Roman" w:cs="Times New Roman" w:eastAsia="Times New Roman" w:hint="default"/>
          <w:sz w:val="18"/>
          <w:szCs w:val="18"/>
        </w:rPr>
        <w:t>140,240</w:t>
        <w:tab/>
        <w:t>140,240</w:t>
      </w:r>
    </w:p>
    <w:p>
      <w:pPr>
        <w:tabs>
          <w:tab w:pos="5211" w:val="left" w:leader="none"/>
          <w:tab w:pos="6633" w:val="left" w:leader="none"/>
          <w:tab w:pos="7967" w:val="left" w:leader="none"/>
          <w:tab w:pos="9630"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5"/>
          <w:position w:val="1"/>
          <w:sz w:val="18"/>
          <w:szCs w:val="18"/>
        </w:rPr>
        <w:t>5</w:t>
      </w:r>
      <w:r>
        <w:rPr>
          <w:rFonts w:ascii="宋体" w:hAnsi="宋体" w:cs="宋体" w:eastAsia="宋体" w:hint="default"/>
          <w:spacing w:val="-5"/>
          <w:position w:val="1"/>
          <w:sz w:val="18"/>
          <w:szCs w:val="18"/>
        </w:rPr>
        <w:t>、无形资产账面价值合计</w:t>
        <w:tab/>
      </w:r>
      <w:r>
        <w:rPr>
          <w:rFonts w:ascii="Times New Roman" w:hAnsi="Times New Roman" w:cs="Times New Roman" w:eastAsia="Times New Roman" w:hint="default"/>
          <w:sz w:val="18"/>
          <w:szCs w:val="18"/>
        </w:rPr>
        <w:t>321,093,940</w:t>
        <w:tab/>
        <w:t>93,613,493</w:t>
        <w:tab/>
        <w:t>18,804,165</w:t>
        <w:tab/>
        <w:t>395,903,268</w:t>
      </w:r>
    </w:p>
    <w:p>
      <w:pPr>
        <w:tabs>
          <w:tab w:pos="5211" w:val="left" w:leader="none"/>
          <w:tab w:pos="6633" w:val="left" w:leader="none"/>
          <w:tab w:pos="8057" w:val="left" w:leader="none"/>
          <w:tab w:pos="9630"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w w:val="95"/>
          <w:position w:val="1"/>
          <w:sz w:val="18"/>
          <w:szCs w:val="18"/>
        </w:rPr>
        <w:t>(1).</w:t>
      </w:r>
      <w:r>
        <w:rPr>
          <w:rFonts w:ascii="宋体" w:hAnsi="宋体" w:cs="宋体" w:eastAsia="宋体" w:hint="default"/>
          <w:w w:val="95"/>
          <w:position w:val="1"/>
          <w:sz w:val="18"/>
          <w:szCs w:val="18"/>
        </w:rPr>
        <w:t>土地使用权</w:t>
        <w:tab/>
      </w:r>
      <w:r>
        <w:rPr>
          <w:rFonts w:ascii="Times New Roman" w:hAnsi="Times New Roman" w:cs="Times New Roman" w:eastAsia="Times New Roman" w:hint="default"/>
          <w:sz w:val="18"/>
          <w:szCs w:val="18"/>
        </w:rPr>
        <w:t>298,965,996</w:t>
        <w:tab/>
        <w:t>64,249,683</w:t>
        <w:tab/>
        <w:t>9,606,062</w:t>
        <w:tab/>
        <w:t>353,609,617</w:t>
      </w:r>
    </w:p>
    <w:p>
      <w:pPr>
        <w:tabs>
          <w:tab w:pos="5391" w:val="left" w:leader="none"/>
          <w:tab w:pos="8193" w:val="left" w:leader="none"/>
          <w:tab w:pos="9810"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w w:val="95"/>
          <w:position w:val="1"/>
          <w:sz w:val="18"/>
          <w:szCs w:val="18"/>
        </w:rPr>
        <w:t>(2).</w:t>
      </w:r>
      <w:r>
        <w:rPr>
          <w:rFonts w:ascii="宋体" w:hAnsi="宋体" w:cs="宋体" w:eastAsia="宋体" w:hint="default"/>
          <w:w w:val="95"/>
          <w:position w:val="1"/>
          <w:sz w:val="18"/>
          <w:szCs w:val="18"/>
        </w:rPr>
        <w:t>房产使用权</w:t>
        <w:tab/>
      </w:r>
      <w:r>
        <w:rPr>
          <w:rFonts w:ascii="Times New Roman" w:hAnsi="Times New Roman" w:cs="Times New Roman" w:eastAsia="Times New Roman" w:hint="default"/>
          <w:sz w:val="18"/>
          <w:szCs w:val="18"/>
        </w:rPr>
        <w:t>4,250,000</w:t>
        <w:tab/>
        <w:t>500,000</w:t>
        <w:tab/>
        <w:t>3,750,000</w:t>
      </w:r>
    </w:p>
    <w:p>
      <w:pPr>
        <w:tabs>
          <w:tab w:pos="5301" w:val="left" w:leader="none"/>
          <w:tab w:pos="6640" w:val="left" w:leader="none"/>
          <w:tab w:pos="8057" w:val="left" w:leader="none"/>
          <w:tab w:pos="9721"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position w:val="1"/>
          <w:sz w:val="18"/>
          <w:szCs w:val="18"/>
        </w:rPr>
        <w:t>(3).</w:t>
      </w:r>
      <w:r>
        <w:rPr>
          <w:rFonts w:ascii="宋体" w:hAnsi="宋体" w:cs="宋体" w:eastAsia="宋体" w:hint="default"/>
          <w:spacing w:val="-1"/>
          <w:position w:val="1"/>
          <w:sz w:val="18"/>
          <w:szCs w:val="18"/>
        </w:rPr>
        <w:t>工业产权及专有技术</w:t>
        <w:tab/>
      </w:r>
      <w:r>
        <w:rPr>
          <w:rFonts w:ascii="Times New Roman" w:hAnsi="Times New Roman" w:cs="Times New Roman" w:eastAsia="Times New Roman" w:hint="default"/>
          <w:sz w:val="18"/>
          <w:szCs w:val="18"/>
        </w:rPr>
        <w:t>15,222,392</w:t>
        <w:tab/>
      </w:r>
      <w:r>
        <w:rPr>
          <w:rFonts w:ascii="Times New Roman" w:hAnsi="Times New Roman" w:cs="Times New Roman" w:eastAsia="Times New Roman" w:hint="default"/>
          <w:spacing w:val="-1"/>
          <w:sz w:val="18"/>
          <w:szCs w:val="18"/>
        </w:rPr>
        <w:t>11,093,162</w:t>
        <w:tab/>
      </w:r>
      <w:r>
        <w:rPr>
          <w:rFonts w:ascii="Times New Roman" w:hAnsi="Times New Roman" w:cs="Times New Roman" w:eastAsia="Times New Roman" w:hint="default"/>
          <w:sz w:val="18"/>
          <w:szCs w:val="18"/>
        </w:rPr>
        <w:t>7,064,022</w:t>
        <w:tab/>
        <w:t>19,251,532</w:t>
      </w:r>
    </w:p>
    <w:p>
      <w:pPr>
        <w:tabs>
          <w:tab w:pos="5391" w:val="left" w:leader="none"/>
          <w:tab w:pos="6633" w:val="left" w:leader="none"/>
          <w:tab w:pos="8057" w:val="left" w:leader="none"/>
          <w:tab w:pos="9728" w:val="left" w:leader="none"/>
        </w:tabs>
        <w:spacing w:before="131"/>
        <w:ind w:left="2514" w:right="16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position w:val="1"/>
          <w:sz w:val="18"/>
          <w:szCs w:val="18"/>
        </w:rPr>
        <w:t>(4).</w:t>
      </w:r>
      <w:r>
        <w:rPr>
          <w:rFonts w:ascii="宋体" w:hAnsi="宋体" w:cs="宋体" w:eastAsia="宋体" w:hint="default"/>
          <w:position w:val="1"/>
          <w:sz w:val="18"/>
          <w:szCs w:val="18"/>
        </w:rPr>
        <w:t>其  </w:t>
      </w:r>
      <w:r>
        <w:rPr>
          <w:rFonts w:ascii="宋体" w:hAnsi="宋体" w:cs="宋体" w:eastAsia="宋体" w:hint="default"/>
          <w:spacing w:val="90"/>
          <w:position w:val="1"/>
          <w:sz w:val="18"/>
          <w:szCs w:val="18"/>
        </w:rPr>
        <w:t> </w:t>
      </w:r>
      <w:r>
        <w:rPr>
          <w:rFonts w:ascii="宋体" w:hAnsi="宋体" w:cs="宋体" w:eastAsia="宋体" w:hint="default"/>
          <w:position w:val="1"/>
          <w:sz w:val="18"/>
          <w:szCs w:val="18"/>
        </w:rPr>
        <w:t>他</w:t>
        <w:tab/>
      </w:r>
      <w:r>
        <w:rPr>
          <w:rFonts w:ascii="Times New Roman" w:hAnsi="Times New Roman" w:cs="Times New Roman" w:eastAsia="Times New Roman" w:hint="default"/>
          <w:sz w:val="18"/>
          <w:szCs w:val="18"/>
        </w:rPr>
        <w:t>2,655,552</w:t>
        <w:tab/>
        <w:t>18,270,648</w:t>
        <w:tab/>
        <w:t>1,634,081</w:t>
        <w:tab/>
        <w:t>19,292,119</w:t>
      </w:r>
    </w:p>
    <w:p>
      <w:pPr>
        <w:spacing w:before="98"/>
        <w:ind w:left="2515" w:right="4512" w:firstLine="0"/>
        <w:jc w:val="left"/>
        <w:rPr>
          <w:rFonts w:ascii="宋体" w:hAnsi="宋体" w:cs="宋体" w:eastAsia="宋体" w:hint="default"/>
          <w:sz w:val="21"/>
          <w:szCs w:val="21"/>
        </w:rPr>
      </w:pPr>
      <w:r>
        <w:rPr>
          <w:rFonts w:ascii="宋体" w:hAnsi="宋体" w:cs="宋体" w:eastAsia="宋体" w:hint="default"/>
          <w:sz w:val="21"/>
          <w:szCs w:val="21"/>
        </w:rPr>
        <w:t>本期无形资产摊销额</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15,804,165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before="89"/>
        <w:ind w:left="2515" w:right="164" w:firstLine="0"/>
        <w:jc w:val="left"/>
        <w:rPr>
          <w:rFonts w:ascii="宋体" w:hAnsi="宋体" w:cs="宋体" w:eastAsia="宋体" w:hint="default"/>
          <w:sz w:val="21"/>
          <w:szCs w:val="21"/>
        </w:rPr>
      </w:pPr>
      <w:r>
        <w:rPr>
          <w:rFonts w:ascii="宋体" w:hAnsi="宋体" w:cs="宋体" w:eastAsia="宋体" w:hint="default"/>
          <w:sz w:val="21"/>
          <w:szCs w:val="21"/>
        </w:rPr>
        <w:t>截止至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00</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2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3</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日，抵押、担保情况参见附注五（三十</w:t>
      </w:r>
      <w:r>
        <w:rPr>
          <w:rFonts w:ascii="宋体" w:hAnsi="宋体" w:cs="宋体" w:eastAsia="宋体" w:hint="default"/>
          <w:spacing w:val="-105"/>
          <w:sz w:val="21"/>
          <w:szCs w:val="21"/>
        </w:rPr>
        <w:t>）</w:t>
      </w:r>
      <w:r>
        <w:rPr>
          <w:rFonts w:ascii="宋体" w:hAnsi="宋体" w:cs="宋体" w:eastAsia="宋体" w:hint="default"/>
          <w:sz w:val="21"/>
          <w:szCs w:val="21"/>
        </w:rPr>
        <w:t>。</w:t>
      </w:r>
    </w:p>
    <w:p>
      <w:pPr>
        <w:spacing w:after="0"/>
        <w:jc w:val="left"/>
        <w:rPr>
          <w:rFonts w:ascii="宋体" w:hAnsi="宋体" w:cs="宋体" w:eastAsia="宋体" w:hint="default"/>
          <w:sz w:val="21"/>
          <w:szCs w:val="21"/>
        </w:rPr>
        <w:sectPr>
          <w:footerReference w:type="default" r:id="rId84"/>
          <w:pgSz w:w="11900" w:h="16840"/>
          <w:pgMar w:footer="1003" w:header="0" w:top="1540" w:bottom="1200" w:left="0" w:right="1120"/>
          <w:pgNumType w:start="43"/>
        </w:sectPr>
      </w:pPr>
    </w:p>
    <w:p>
      <w:pPr>
        <w:spacing w:line="240" w:lineRule="auto" w:before="10"/>
        <w:rPr>
          <w:rFonts w:ascii="宋体" w:hAnsi="宋体" w:cs="宋体" w:eastAsia="宋体" w:hint="default"/>
          <w:sz w:val="8"/>
          <w:szCs w:val="8"/>
        </w:rPr>
      </w:pPr>
    </w:p>
    <w:tbl>
      <w:tblPr>
        <w:tblW w:w="0" w:type="auto"/>
        <w:jc w:val="left"/>
        <w:tblInd w:w="108" w:type="dxa"/>
        <w:tblLayout w:type="fixed"/>
        <w:tblCellMar>
          <w:top w:w="0" w:type="dxa"/>
          <w:left w:w="0" w:type="dxa"/>
          <w:bottom w:w="0" w:type="dxa"/>
          <w:right w:w="0" w:type="dxa"/>
        </w:tblCellMar>
        <w:tblLook w:val="01E0"/>
      </w:tblPr>
      <w:tblGrid>
        <w:gridCol w:w="659"/>
        <w:gridCol w:w="2594"/>
        <w:gridCol w:w="1135"/>
        <w:gridCol w:w="1124"/>
        <w:gridCol w:w="953"/>
        <w:gridCol w:w="1139"/>
        <w:gridCol w:w="1285"/>
      </w:tblGrid>
      <w:tr>
        <w:trPr>
          <w:trHeight w:val="352"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十七</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2594" w:type="dxa"/>
            <w:tcBorders>
              <w:top w:val="nil" w:sz="6" w:space="0" w:color="auto"/>
              <w:left w:val="nil" w:sz="6" w:space="0" w:color="auto"/>
              <w:bottom w:val="single" w:sz="8" w:space="0" w:color="000000"/>
              <w:right w:val="nil" w:sz="6" w:space="0" w:color="auto"/>
            </w:tcBorders>
          </w:tcPr>
          <w:p>
            <w:pPr>
              <w:pStyle w:val="TableParagraph"/>
              <w:spacing w:line="240" w:lineRule="auto" w:before="35"/>
              <w:ind w:left="104"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5636" w:type="dxa"/>
            <w:gridSpan w:val="5"/>
            <w:tcBorders>
              <w:top w:val="nil" w:sz="6" w:space="0" w:color="auto"/>
              <w:left w:val="nil" w:sz="6" w:space="0" w:color="auto"/>
              <w:bottom w:val="single" w:sz="8" w:space="0" w:color="000000"/>
              <w:right w:val="nil" w:sz="6" w:space="0" w:color="auto"/>
            </w:tcBorders>
          </w:tcPr>
          <w:p>
            <w:pPr/>
          </w:p>
        </w:tc>
      </w:tr>
      <w:tr>
        <w:trPr>
          <w:trHeight w:val="517" w:hRule="exact"/>
        </w:trPr>
        <w:tc>
          <w:tcPr>
            <w:tcW w:w="659" w:type="dxa"/>
            <w:tcBorders>
              <w:top w:val="nil" w:sz="6" w:space="0" w:color="auto"/>
              <w:left w:val="nil" w:sz="6" w:space="0" w:color="auto"/>
              <w:bottom w:val="nil" w:sz="6" w:space="0" w:color="auto"/>
              <w:right w:val="nil" w:sz="6" w:space="0" w:color="auto"/>
            </w:tcBorders>
          </w:tcPr>
          <w:p>
            <w:pPr/>
          </w:p>
        </w:tc>
        <w:tc>
          <w:tcPr>
            <w:tcW w:w="2594" w:type="dxa"/>
            <w:tcBorders>
              <w:top w:val="single" w:sz="8"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44" w:right="0"/>
              <w:jc w:val="left"/>
              <w:rPr>
                <w:rFonts w:ascii="宋体" w:hAnsi="宋体" w:cs="宋体" w:eastAsia="宋体" w:hint="default"/>
                <w:sz w:val="15"/>
                <w:szCs w:val="15"/>
              </w:rPr>
            </w:pPr>
            <w:r>
              <w:rPr>
                <w:rFonts w:ascii="宋体" w:hAnsi="宋体" w:cs="宋体" w:eastAsia="宋体" w:hint="default"/>
                <w:sz w:val="15"/>
                <w:szCs w:val="15"/>
              </w:rPr>
              <w:t>被投资单位名称或形成商誉的事项</w:t>
            </w:r>
          </w:p>
        </w:tc>
        <w:tc>
          <w:tcPr>
            <w:tcW w:w="1135" w:type="dxa"/>
            <w:tcBorders>
              <w:top w:val="single" w:sz="8"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200" w:right="0"/>
              <w:jc w:val="left"/>
              <w:rPr>
                <w:rFonts w:ascii="宋体" w:hAnsi="宋体" w:cs="宋体" w:eastAsia="宋体" w:hint="default"/>
                <w:sz w:val="15"/>
                <w:szCs w:val="15"/>
              </w:rPr>
            </w:pPr>
            <w:r>
              <w:rPr>
                <w:rFonts w:ascii="宋体" w:hAnsi="宋体" w:cs="宋体" w:eastAsia="宋体" w:hint="default"/>
                <w:sz w:val="15"/>
                <w:szCs w:val="15"/>
              </w:rPr>
              <w:t>期初金额</w:t>
            </w:r>
          </w:p>
        </w:tc>
        <w:tc>
          <w:tcPr>
            <w:tcW w:w="1124" w:type="dxa"/>
            <w:tcBorders>
              <w:top w:val="single" w:sz="8"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207" w:right="0"/>
              <w:jc w:val="left"/>
              <w:rPr>
                <w:rFonts w:ascii="宋体" w:hAnsi="宋体" w:cs="宋体" w:eastAsia="宋体" w:hint="default"/>
                <w:sz w:val="15"/>
                <w:szCs w:val="15"/>
              </w:rPr>
            </w:pPr>
            <w:r>
              <w:rPr>
                <w:rFonts w:ascii="宋体" w:hAnsi="宋体" w:cs="宋体" w:eastAsia="宋体" w:hint="default"/>
                <w:sz w:val="15"/>
                <w:szCs w:val="15"/>
              </w:rPr>
              <w:t>本期增加</w:t>
            </w:r>
          </w:p>
        </w:tc>
        <w:tc>
          <w:tcPr>
            <w:tcW w:w="953" w:type="dxa"/>
            <w:tcBorders>
              <w:top w:val="single" w:sz="8"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36" w:right="0"/>
              <w:jc w:val="left"/>
              <w:rPr>
                <w:rFonts w:ascii="宋体" w:hAnsi="宋体" w:cs="宋体" w:eastAsia="宋体" w:hint="default"/>
                <w:sz w:val="15"/>
                <w:szCs w:val="15"/>
              </w:rPr>
            </w:pPr>
            <w:r>
              <w:rPr>
                <w:rFonts w:ascii="宋体" w:hAnsi="宋体" w:cs="宋体" w:eastAsia="宋体" w:hint="default"/>
                <w:sz w:val="15"/>
                <w:szCs w:val="15"/>
              </w:rPr>
              <w:t>本期减少</w:t>
            </w:r>
          </w:p>
        </w:tc>
        <w:tc>
          <w:tcPr>
            <w:tcW w:w="1139" w:type="dxa"/>
            <w:tcBorders>
              <w:top w:val="single" w:sz="8"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251" w:right="0"/>
              <w:jc w:val="left"/>
              <w:rPr>
                <w:rFonts w:ascii="宋体" w:hAnsi="宋体" w:cs="宋体" w:eastAsia="宋体" w:hint="default"/>
                <w:sz w:val="15"/>
                <w:szCs w:val="15"/>
              </w:rPr>
            </w:pPr>
            <w:r>
              <w:rPr>
                <w:rFonts w:ascii="宋体" w:hAnsi="宋体" w:cs="宋体" w:eastAsia="宋体" w:hint="default"/>
                <w:sz w:val="15"/>
                <w:szCs w:val="15"/>
              </w:rPr>
              <w:t>期末金额</w:t>
            </w:r>
          </w:p>
        </w:tc>
        <w:tc>
          <w:tcPr>
            <w:tcW w:w="1285" w:type="dxa"/>
            <w:tcBorders>
              <w:top w:val="single" w:sz="8"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72" w:right="0"/>
              <w:jc w:val="left"/>
              <w:rPr>
                <w:rFonts w:ascii="宋体" w:hAnsi="宋体" w:cs="宋体" w:eastAsia="宋体" w:hint="default"/>
                <w:sz w:val="15"/>
                <w:szCs w:val="15"/>
              </w:rPr>
            </w:pPr>
            <w:r>
              <w:rPr>
                <w:rFonts w:ascii="宋体" w:hAnsi="宋体" w:cs="宋体" w:eastAsia="宋体" w:hint="default"/>
                <w:sz w:val="15"/>
                <w:szCs w:val="15"/>
              </w:rPr>
              <w:t>期末减值准备</w:t>
            </w:r>
          </w:p>
        </w:tc>
      </w:tr>
      <w:tr>
        <w:trPr>
          <w:trHeight w:val="418" w:hRule="exact"/>
        </w:trPr>
        <w:tc>
          <w:tcPr>
            <w:tcW w:w="659" w:type="dxa"/>
            <w:tcBorders>
              <w:top w:val="nil" w:sz="6" w:space="0" w:color="auto"/>
              <w:left w:val="nil" w:sz="6" w:space="0" w:color="auto"/>
              <w:bottom w:val="nil" w:sz="6" w:space="0" w:color="auto"/>
              <w:right w:val="nil" w:sz="6" w:space="0" w:color="auto"/>
            </w:tcBorders>
          </w:tcPr>
          <w:p>
            <w:pPr/>
          </w:p>
        </w:tc>
        <w:tc>
          <w:tcPr>
            <w:tcW w:w="2594" w:type="dxa"/>
            <w:tcBorders>
              <w:top w:val="nil" w:sz="6" w:space="0" w:color="auto"/>
              <w:left w:val="nil" w:sz="6" w:space="0" w:color="auto"/>
              <w:bottom w:val="nil" w:sz="6" w:space="0" w:color="auto"/>
              <w:right w:val="nil" w:sz="6" w:space="0" w:color="auto"/>
            </w:tcBorders>
          </w:tcPr>
          <w:p>
            <w:pPr>
              <w:pStyle w:val="TableParagraph"/>
              <w:tabs>
                <w:tab w:pos="1829" w:val="left" w:leader="none"/>
              </w:tabs>
              <w:spacing w:line="240" w:lineRule="auto" w:before="83"/>
              <w:ind w:left="106"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东软（日本）有限公司</w:t>
              <w:tab/>
            </w:r>
            <w:r>
              <w:rPr>
                <w:rFonts w:ascii="Times New Roman" w:hAnsi="Times New Roman" w:cs="Times New Roman" w:eastAsia="Times New Roman" w:hint="default"/>
                <w:sz w:val="15"/>
                <w:szCs w:val="15"/>
              </w:rPr>
              <w:t>(1)</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right="205"/>
              <w:jc w:val="right"/>
              <w:rPr>
                <w:rFonts w:ascii="Times New Roman" w:hAnsi="Times New Roman" w:cs="Times New Roman" w:eastAsia="Times New Roman" w:hint="default"/>
                <w:sz w:val="15"/>
                <w:szCs w:val="15"/>
              </w:rPr>
            </w:pPr>
            <w:r>
              <w:rPr>
                <w:rFonts w:ascii="Times New Roman"/>
                <w:spacing w:val="-2"/>
                <w:sz w:val="15"/>
              </w:rPr>
              <w:t>3,928,116</w:t>
            </w:r>
          </w:p>
        </w:tc>
        <w:tc>
          <w:tcPr>
            <w:tcW w:w="1124" w:type="dxa"/>
            <w:tcBorders>
              <w:top w:val="nil" w:sz="6" w:space="0" w:color="auto"/>
              <w:left w:val="nil" w:sz="6" w:space="0" w:color="auto"/>
              <w:bottom w:val="nil" w:sz="6" w:space="0" w:color="auto"/>
              <w:right w:val="nil" w:sz="6" w:space="0" w:color="auto"/>
            </w:tcBorders>
          </w:tcPr>
          <w:p>
            <w:pPr/>
          </w:p>
        </w:tc>
        <w:tc>
          <w:tcPr>
            <w:tcW w:w="953"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right="170"/>
              <w:jc w:val="right"/>
              <w:rPr>
                <w:rFonts w:ascii="Times New Roman" w:hAnsi="Times New Roman" w:cs="Times New Roman" w:eastAsia="Times New Roman" w:hint="default"/>
                <w:sz w:val="15"/>
                <w:szCs w:val="15"/>
              </w:rPr>
            </w:pPr>
            <w:r>
              <w:rPr>
                <w:rFonts w:ascii="Times New Roman"/>
                <w:spacing w:val="-2"/>
                <w:sz w:val="15"/>
              </w:rPr>
              <w:t>3,928,116</w:t>
            </w:r>
          </w:p>
        </w:tc>
        <w:tc>
          <w:tcPr>
            <w:tcW w:w="1285" w:type="dxa"/>
            <w:tcBorders>
              <w:top w:val="nil" w:sz="6" w:space="0" w:color="auto"/>
              <w:left w:val="nil" w:sz="6" w:space="0" w:color="auto"/>
              <w:bottom w:val="nil" w:sz="6" w:space="0" w:color="auto"/>
              <w:right w:val="nil" w:sz="6" w:space="0" w:color="auto"/>
            </w:tcBorders>
          </w:tcPr>
          <w:p>
            <w:pP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6"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大连东软金融信息技术有限公司</w:t>
            </w:r>
            <w:r>
              <w:rPr>
                <w:rFonts w:ascii="Times New Roman" w:hAnsi="Times New Roman" w:cs="Times New Roman" w:eastAsia="Times New Roman" w:hint="default"/>
                <w:sz w:val="15"/>
                <w:szCs w:val="15"/>
              </w:rPr>
              <w:t>(2)</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205"/>
              <w:jc w:val="right"/>
              <w:rPr>
                <w:rFonts w:ascii="Times New Roman" w:hAnsi="Times New Roman" w:cs="Times New Roman" w:eastAsia="Times New Roman" w:hint="default"/>
                <w:sz w:val="15"/>
                <w:szCs w:val="15"/>
              </w:rPr>
            </w:pPr>
            <w:r>
              <w:rPr>
                <w:rFonts w:ascii="Times New Roman"/>
                <w:spacing w:val="-1"/>
                <w:sz w:val="15"/>
              </w:rPr>
              <w:t>1,420,366</w:t>
            </w:r>
          </w:p>
        </w:tc>
        <w:tc>
          <w:tcPr>
            <w:tcW w:w="1124" w:type="dxa"/>
            <w:tcBorders>
              <w:top w:val="nil" w:sz="6" w:space="0" w:color="auto"/>
              <w:left w:val="nil" w:sz="6" w:space="0" w:color="auto"/>
              <w:bottom w:val="nil" w:sz="6" w:space="0" w:color="auto"/>
              <w:right w:val="nil" w:sz="6" w:space="0" w:color="auto"/>
            </w:tcBorders>
          </w:tcPr>
          <w:p>
            <w:pPr/>
          </w:p>
        </w:tc>
        <w:tc>
          <w:tcPr>
            <w:tcW w:w="953"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70"/>
              <w:jc w:val="right"/>
              <w:rPr>
                <w:rFonts w:ascii="Times New Roman" w:hAnsi="Times New Roman" w:cs="Times New Roman" w:eastAsia="Times New Roman" w:hint="default"/>
                <w:sz w:val="15"/>
                <w:szCs w:val="15"/>
              </w:rPr>
            </w:pPr>
            <w:r>
              <w:rPr>
                <w:rFonts w:ascii="Times New Roman"/>
                <w:spacing w:val="-1"/>
                <w:sz w:val="15"/>
              </w:rPr>
              <w:t>1,420,366</w:t>
            </w:r>
          </w:p>
        </w:tc>
        <w:tc>
          <w:tcPr>
            <w:tcW w:w="1285" w:type="dxa"/>
            <w:tcBorders>
              <w:top w:val="nil" w:sz="6" w:space="0" w:color="auto"/>
              <w:left w:val="nil" w:sz="6" w:space="0" w:color="auto"/>
              <w:bottom w:val="nil" w:sz="6" w:space="0" w:color="auto"/>
              <w:right w:val="nil" w:sz="6" w:space="0" w:color="auto"/>
            </w:tcBorders>
          </w:tcPr>
          <w:p>
            <w:pP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6"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北京兰瑞科创信息技术有限公司</w:t>
            </w:r>
            <w:r>
              <w:rPr>
                <w:rFonts w:ascii="Times New Roman" w:hAnsi="Times New Roman" w:cs="Times New Roman" w:eastAsia="Times New Roman" w:hint="default"/>
                <w:sz w:val="15"/>
                <w:szCs w:val="15"/>
              </w:rPr>
              <w:t>(3)</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205"/>
              <w:jc w:val="right"/>
              <w:rPr>
                <w:rFonts w:ascii="Times New Roman" w:hAnsi="Times New Roman" w:cs="Times New Roman" w:eastAsia="Times New Roman" w:hint="default"/>
                <w:sz w:val="15"/>
                <w:szCs w:val="15"/>
              </w:rPr>
            </w:pPr>
            <w:r>
              <w:rPr>
                <w:rFonts w:ascii="Times New Roman"/>
                <w:spacing w:val="-1"/>
                <w:sz w:val="15"/>
              </w:rPr>
              <w:t>315,360</w:t>
            </w:r>
          </w:p>
        </w:tc>
        <w:tc>
          <w:tcPr>
            <w:tcW w:w="1124" w:type="dxa"/>
            <w:tcBorders>
              <w:top w:val="nil" w:sz="6" w:space="0" w:color="auto"/>
              <w:left w:val="nil" w:sz="6" w:space="0" w:color="auto"/>
              <w:bottom w:val="nil" w:sz="6" w:space="0" w:color="auto"/>
              <w:right w:val="nil" w:sz="6" w:space="0" w:color="auto"/>
            </w:tcBorders>
          </w:tcPr>
          <w:p>
            <w:pPr/>
          </w:p>
        </w:tc>
        <w:tc>
          <w:tcPr>
            <w:tcW w:w="953"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70"/>
              <w:jc w:val="right"/>
              <w:rPr>
                <w:rFonts w:ascii="Times New Roman" w:hAnsi="Times New Roman" w:cs="Times New Roman" w:eastAsia="Times New Roman" w:hint="default"/>
                <w:sz w:val="15"/>
                <w:szCs w:val="15"/>
              </w:rPr>
            </w:pPr>
            <w:r>
              <w:rPr>
                <w:rFonts w:ascii="Times New Roman"/>
                <w:spacing w:val="-1"/>
                <w:sz w:val="15"/>
              </w:rPr>
              <w:t>315,360</w:t>
            </w:r>
          </w:p>
        </w:tc>
        <w:tc>
          <w:tcPr>
            <w:tcW w:w="1285" w:type="dxa"/>
            <w:tcBorders>
              <w:top w:val="nil" w:sz="6" w:space="0" w:color="auto"/>
              <w:left w:val="nil" w:sz="6" w:space="0" w:color="auto"/>
              <w:bottom w:val="nil" w:sz="6" w:space="0" w:color="auto"/>
              <w:right w:val="nil" w:sz="6" w:space="0" w:color="auto"/>
            </w:tcBorders>
          </w:tcPr>
          <w:p>
            <w:pP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6"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辽宁东软创业投资有限公司</w:t>
            </w:r>
            <w:r>
              <w:rPr>
                <w:rFonts w:ascii="宋体" w:hAnsi="宋体" w:cs="宋体" w:eastAsia="宋体" w:hint="default"/>
                <w:spacing w:val="73"/>
                <w:sz w:val="15"/>
                <w:szCs w:val="15"/>
              </w:rPr>
              <w:t> </w:t>
            </w:r>
            <w:r>
              <w:rPr>
                <w:rFonts w:ascii="Times New Roman" w:hAnsi="Times New Roman" w:cs="Times New Roman" w:eastAsia="Times New Roman" w:hint="default"/>
                <w:sz w:val="15"/>
                <w:szCs w:val="15"/>
              </w:rPr>
              <w:t>(4)</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205"/>
              <w:jc w:val="right"/>
              <w:rPr>
                <w:rFonts w:ascii="Times New Roman" w:hAnsi="Times New Roman" w:cs="Times New Roman" w:eastAsia="Times New Roman" w:hint="default"/>
                <w:sz w:val="15"/>
                <w:szCs w:val="15"/>
              </w:rPr>
            </w:pPr>
            <w:r>
              <w:rPr>
                <w:rFonts w:ascii="Times New Roman"/>
                <w:spacing w:val="-1"/>
                <w:sz w:val="15"/>
              </w:rPr>
              <w:t>77,123</w:t>
            </w:r>
          </w:p>
        </w:tc>
        <w:tc>
          <w:tcPr>
            <w:tcW w:w="1124" w:type="dxa"/>
            <w:tcBorders>
              <w:top w:val="nil" w:sz="6" w:space="0" w:color="auto"/>
              <w:left w:val="nil" w:sz="6" w:space="0" w:color="auto"/>
              <w:bottom w:val="nil" w:sz="6" w:space="0" w:color="auto"/>
              <w:right w:val="nil" w:sz="6" w:space="0" w:color="auto"/>
            </w:tcBorders>
          </w:tcPr>
          <w:p>
            <w:pPr/>
          </w:p>
        </w:tc>
        <w:tc>
          <w:tcPr>
            <w:tcW w:w="953"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70"/>
              <w:jc w:val="right"/>
              <w:rPr>
                <w:rFonts w:ascii="Times New Roman" w:hAnsi="Times New Roman" w:cs="Times New Roman" w:eastAsia="Times New Roman" w:hint="default"/>
                <w:sz w:val="15"/>
                <w:szCs w:val="15"/>
              </w:rPr>
            </w:pPr>
            <w:r>
              <w:rPr>
                <w:rFonts w:ascii="Times New Roman"/>
                <w:spacing w:val="-1"/>
                <w:sz w:val="15"/>
              </w:rPr>
              <w:t>77,123</w:t>
            </w:r>
          </w:p>
        </w:tc>
        <w:tc>
          <w:tcPr>
            <w:tcW w:w="1285" w:type="dxa"/>
            <w:tcBorders>
              <w:top w:val="nil" w:sz="6" w:space="0" w:color="auto"/>
              <w:left w:val="nil" w:sz="6" w:space="0" w:color="auto"/>
              <w:bottom w:val="nil" w:sz="6" w:space="0" w:color="auto"/>
              <w:right w:val="nil" w:sz="6" w:space="0" w:color="auto"/>
            </w:tcBorders>
          </w:tcPr>
          <w:p>
            <w:pPr/>
          </w:p>
        </w:tc>
      </w:tr>
      <w:tr>
        <w:trPr>
          <w:trHeight w:val="418" w:hRule="exact"/>
        </w:trPr>
        <w:tc>
          <w:tcPr>
            <w:tcW w:w="659" w:type="dxa"/>
            <w:tcBorders>
              <w:top w:val="nil" w:sz="6" w:space="0" w:color="auto"/>
              <w:left w:val="nil" w:sz="6" w:space="0" w:color="auto"/>
              <w:bottom w:val="nil" w:sz="6" w:space="0" w:color="auto"/>
              <w:right w:val="nil" w:sz="6" w:space="0" w:color="auto"/>
            </w:tcBorders>
          </w:tcPr>
          <w:p>
            <w:pPr/>
          </w:p>
        </w:tc>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6"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北京源越通软件技术有限公司</w:t>
            </w:r>
            <w:r>
              <w:rPr>
                <w:rFonts w:ascii="宋体" w:hAnsi="宋体" w:cs="宋体" w:eastAsia="宋体" w:hint="default"/>
                <w:spacing w:val="73"/>
                <w:sz w:val="15"/>
                <w:szCs w:val="15"/>
              </w:rPr>
              <w:t> </w:t>
            </w:r>
            <w:r>
              <w:rPr>
                <w:rFonts w:ascii="Times New Roman" w:hAnsi="Times New Roman" w:cs="Times New Roman" w:eastAsia="Times New Roman" w:hint="default"/>
                <w:sz w:val="15"/>
                <w:szCs w:val="15"/>
              </w:rPr>
              <w:t>(5)</w:t>
            </w:r>
          </w:p>
        </w:tc>
        <w:tc>
          <w:tcPr>
            <w:tcW w:w="1135" w:type="dxa"/>
            <w:tcBorders>
              <w:top w:val="nil" w:sz="6" w:space="0" w:color="auto"/>
              <w:left w:val="nil" w:sz="6" w:space="0" w:color="auto"/>
              <w:bottom w:val="nil" w:sz="6" w:space="0" w:color="auto"/>
              <w:right w:val="nil" w:sz="6" w:space="0" w:color="auto"/>
            </w:tcBorders>
          </w:tcPr>
          <w:p>
            <w:pP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34"/>
              <w:jc w:val="right"/>
              <w:rPr>
                <w:rFonts w:ascii="Times New Roman" w:hAnsi="Times New Roman" w:cs="Times New Roman" w:eastAsia="Times New Roman" w:hint="default"/>
                <w:sz w:val="15"/>
                <w:szCs w:val="15"/>
              </w:rPr>
            </w:pPr>
            <w:r>
              <w:rPr>
                <w:rFonts w:ascii="Times New Roman"/>
                <w:spacing w:val="-1"/>
                <w:sz w:val="15"/>
              </w:rPr>
              <w:t>1,151,846</w:t>
            </w:r>
          </w:p>
        </w:tc>
        <w:tc>
          <w:tcPr>
            <w:tcW w:w="953"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70"/>
              <w:jc w:val="right"/>
              <w:rPr>
                <w:rFonts w:ascii="Times New Roman" w:hAnsi="Times New Roman" w:cs="Times New Roman" w:eastAsia="Times New Roman" w:hint="default"/>
                <w:sz w:val="15"/>
                <w:szCs w:val="15"/>
              </w:rPr>
            </w:pPr>
            <w:r>
              <w:rPr>
                <w:rFonts w:ascii="Times New Roman"/>
                <w:spacing w:val="-1"/>
                <w:sz w:val="15"/>
              </w:rPr>
              <w:t>1,151,846</w:t>
            </w:r>
          </w:p>
        </w:tc>
        <w:tc>
          <w:tcPr>
            <w:tcW w:w="1285" w:type="dxa"/>
            <w:tcBorders>
              <w:top w:val="nil" w:sz="6" w:space="0" w:color="auto"/>
              <w:left w:val="nil" w:sz="6" w:space="0" w:color="auto"/>
              <w:bottom w:val="nil" w:sz="6" w:space="0" w:color="auto"/>
              <w:right w:val="nil" w:sz="6" w:space="0" w:color="auto"/>
            </w:tcBorders>
          </w:tcPr>
          <w:p>
            <w:pP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106" w:right="0"/>
              <w:jc w:val="left"/>
              <w:rPr>
                <w:rFonts w:ascii="Times New Roman" w:hAnsi="Times New Roman" w:cs="Times New Roman" w:eastAsia="Times New Roman" w:hint="default"/>
                <w:sz w:val="15"/>
                <w:szCs w:val="15"/>
              </w:rPr>
            </w:pPr>
            <w:r>
              <w:rPr>
                <w:rFonts w:ascii="Times New Roman"/>
                <w:sz w:val="15"/>
              </w:rPr>
              <w:t>Neusoft Mobile Solutions Oy  </w:t>
            </w:r>
            <w:r>
              <w:rPr>
                <w:rFonts w:ascii="Times New Roman"/>
                <w:spacing w:val="26"/>
                <w:sz w:val="15"/>
              </w:rPr>
              <w:t> </w:t>
            </w:r>
            <w:r>
              <w:rPr>
                <w:rFonts w:ascii="Times New Roman"/>
                <w:sz w:val="15"/>
              </w:rPr>
              <w:t>(6)</w:t>
            </w:r>
          </w:p>
        </w:tc>
        <w:tc>
          <w:tcPr>
            <w:tcW w:w="1135" w:type="dxa"/>
            <w:tcBorders>
              <w:top w:val="nil" w:sz="6" w:space="0" w:color="auto"/>
              <w:left w:val="nil" w:sz="6" w:space="0" w:color="auto"/>
              <w:bottom w:val="nil" w:sz="6" w:space="0" w:color="auto"/>
              <w:right w:val="nil" w:sz="6" w:space="0" w:color="auto"/>
            </w:tcBorders>
          </w:tcPr>
          <w:p>
            <w:pP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34"/>
              <w:jc w:val="right"/>
              <w:rPr>
                <w:rFonts w:ascii="Times New Roman" w:hAnsi="Times New Roman" w:cs="Times New Roman" w:eastAsia="Times New Roman" w:hint="default"/>
                <w:sz w:val="15"/>
                <w:szCs w:val="15"/>
              </w:rPr>
            </w:pPr>
            <w:r>
              <w:rPr>
                <w:rFonts w:ascii="Times New Roman"/>
                <w:spacing w:val="-1"/>
                <w:sz w:val="15"/>
              </w:rPr>
              <w:t>42,899,954</w:t>
            </w:r>
          </w:p>
        </w:tc>
        <w:tc>
          <w:tcPr>
            <w:tcW w:w="953"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70"/>
              <w:jc w:val="right"/>
              <w:rPr>
                <w:rFonts w:ascii="Times New Roman" w:hAnsi="Times New Roman" w:cs="Times New Roman" w:eastAsia="Times New Roman" w:hint="default"/>
                <w:sz w:val="15"/>
                <w:szCs w:val="15"/>
              </w:rPr>
            </w:pPr>
            <w:r>
              <w:rPr>
                <w:rFonts w:ascii="Times New Roman"/>
                <w:spacing w:val="-1"/>
                <w:sz w:val="15"/>
              </w:rPr>
              <w:t>42,899,954</w:t>
            </w:r>
          </w:p>
        </w:tc>
        <w:tc>
          <w:tcPr>
            <w:tcW w:w="1285" w:type="dxa"/>
            <w:tcBorders>
              <w:top w:val="nil" w:sz="6" w:space="0" w:color="auto"/>
              <w:left w:val="nil" w:sz="6" w:space="0" w:color="auto"/>
              <w:bottom w:val="nil" w:sz="6" w:space="0" w:color="auto"/>
              <w:right w:val="nil" w:sz="6" w:space="0" w:color="auto"/>
            </w:tcBorders>
          </w:tcPr>
          <w:p>
            <w:pP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106" w:right="0"/>
              <w:jc w:val="left"/>
              <w:rPr>
                <w:rFonts w:ascii="Times New Roman" w:hAnsi="Times New Roman" w:cs="Times New Roman" w:eastAsia="Times New Roman" w:hint="default"/>
                <w:sz w:val="15"/>
                <w:szCs w:val="15"/>
              </w:rPr>
            </w:pPr>
            <w:r>
              <w:rPr>
                <w:rFonts w:ascii="Times New Roman"/>
                <w:sz w:val="15"/>
              </w:rPr>
              <w:t>Almitas Oy  </w:t>
            </w:r>
            <w:r>
              <w:rPr>
                <w:rFonts w:ascii="Times New Roman"/>
                <w:spacing w:val="32"/>
                <w:sz w:val="15"/>
              </w:rPr>
              <w:t> </w:t>
            </w:r>
            <w:r>
              <w:rPr>
                <w:rFonts w:ascii="Times New Roman"/>
                <w:sz w:val="15"/>
              </w:rPr>
              <w:t>(6)</w:t>
            </w:r>
          </w:p>
        </w:tc>
        <w:tc>
          <w:tcPr>
            <w:tcW w:w="1135" w:type="dxa"/>
            <w:tcBorders>
              <w:top w:val="nil" w:sz="6" w:space="0" w:color="auto"/>
              <w:left w:val="nil" w:sz="6" w:space="0" w:color="auto"/>
              <w:bottom w:val="nil" w:sz="6" w:space="0" w:color="auto"/>
              <w:right w:val="nil" w:sz="6" w:space="0" w:color="auto"/>
            </w:tcBorders>
          </w:tcPr>
          <w:p>
            <w:pP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34"/>
              <w:jc w:val="right"/>
              <w:rPr>
                <w:rFonts w:ascii="Times New Roman" w:hAnsi="Times New Roman" w:cs="Times New Roman" w:eastAsia="Times New Roman" w:hint="default"/>
                <w:sz w:val="15"/>
                <w:szCs w:val="15"/>
              </w:rPr>
            </w:pPr>
            <w:r>
              <w:rPr>
                <w:rFonts w:ascii="Times New Roman"/>
                <w:spacing w:val="-1"/>
                <w:sz w:val="15"/>
              </w:rPr>
              <w:t>41,540,546</w:t>
            </w:r>
          </w:p>
        </w:tc>
        <w:tc>
          <w:tcPr>
            <w:tcW w:w="953"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70"/>
              <w:jc w:val="right"/>
              <w:rPr>
                <w:rFonts w:ascii="Times New Roman" w:hAnsi="Times New Roman" w:cs="Times New Roman" w:eastAsia="Times New Roman" w:hint="default"/>
                <w:sz w:val="15"/>
                <w:szCs w:val="15"/>
              </w:rPr>
            </w:pPr>
            <w:r>
              <w:rPr>
                <w:rFonts w:ascii="Times New Roman"/>
                <w:spacing w:val="-1"/>
                <w:sz w:val="15"/>
              </w:rPr>
              <w:t>41,540,546</w:t>
            </w:r>
          </w:p>
        </w:tc>
        <w:tc>
          <w:tcPr>
            <w:tcW w:w="1285" w:type="dxa"/>
            <w:tcBorders>
              <w:top w:val="nil" w:sz="6" w:space="0" w:color="auto"/>
              <w:left w:val="nil" w:sz="6" w:space="0" w:color="auto"/>
              <w:bottom w:val="nil" w:sz="6" w:space="0" w:color="auto"/>
              <w:right w:val="nil" w:sz="6" w:space="0" w:color="auto"/>
            </w:tcBorders>
          </w:tcPr>
          <w:p>
            <w:pPr/>
          </w:p>
        </w:tc>
      </w:tr>
      <w:tr>
        <w:trPr>
          <w:trHeight w:val="401" w:hRule="exact"/>
        </w:trPr>
        <w:tc>
          <w:tcPr>
            <w:tcW w:w="659" w:type="dxa"/>
            <w:tcBorders>
              <w:top w:val="nil" w:sz="6" w:space="0" w:color="auto"/>
              <w:left w:val="nil" w:sz="6" w:space="0" w:color="auto"/>
              <w:bottom w:val="nil" w:sz="6" w:space="0" w:color="auto"/>
              <w:right w:val="nil" w:sz="6" w:space="0" w:color="auto"/>
            </w:tcBorders>
          </w:tcPr>
          <w:p>
            <w:pPr/>
          </w:p>
        </w:tc>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106" w:right="0"/>
              <w:jc w:val="left"/>
              <w:rPr>
                <w:rFonts w:ascii="Times New Roman" w:hAnsi="Times New Roman" w:cs="Times New Roman" w:eastAsia="Times New Roman" w:hint="default"/>
                <w:sz w:val="15"/>
                <w:szCs w:val="15"/>
              </w:rPr>
            </w:pPr>
            <w:r>
              <w:rPr>
                <w:rFonts w:ascii="Times New Roman"/>
                <w:sz w:val="15"/>
              </w:rPr>
              <w:t>Neusoft Mobile Solutions SRL  </w:t>
            </w:r>
            <w:r>
              <w:rPr>
                <w:rFonts w:ascii="Times New Roman"/>
                <w:spacing w:val="19"/>
                <w:sz w:val="15"/>
              </w:rPr>
              <w:t> </w:t>
            </w:r>
            <w:r>
              <w:rPr>
                <w:rFonts w:ascii="Times New Roman"/>
                <w:sz w:val="15"/>
              </w:rPr>
              <w:t>(6)</w:t>
            </w:r>
          </w:p>
        </w:tc>
        <w:tc>
          <w:tcPr>
            <w:tcW w:w="1135" w:type="dxa"/>
            <w:tcBorders>
              <w:top w:val="nil" w:sz="6" w:space="0" w:color="auto"/>
              <w:left w:val="nil" w:sz="6" w:space="0" w:color="auto"/>
              <w:bottom w:val="nil" w:sz="6" w:space="0" w:color="auto"/>
              <w:right w:val="nil" w:sz="6" w:space="0" w:color="auto"/>
            </w:tcBorders>
          </w:tcPr>
          <w:p>
            <w:pP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34"/>
              <w:jc w:val="right"/>
              <w:rPr>
                <w:rFonts w:ascii="Times New Roman" w:hAnsi="Times New Roman" w:cs="Times New Roman" w:eastAsia="Times New Roman" w:hint="default"/>
                <w:sz w:val="15"/>
                <w:szCs w:val="15"/>
              </w:rPr>
            </w:pPr>
            <w:r>
              <w:rPr>
                <w:rFonts w:ascii="Times New Roman"/>
                <w:spacing w:val="-1"/>
                <w:sz w:val="15"/>
              </w:rPr>
              <w:t>10,285,772</w:t>
            </w:r>
          </w:p>
        </w:tc>
        <w:tc>
          <w:tcPr>
            <w:tcW w:w="953"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70"/>
              <w:jc w:val="right"/>
              <w:rPr>
                <w:rFonts w:ascii="Times New Roman" w:hAnsi="Times New Roman" w:cs="Times New Roman" w:eastAsia="Times New Roman" w:hint="default"/>
                <w:sz w:val="15"/>
                <w:szCs w:val="15"/>
              </w:rPr>
            </w:pPr>
            <w:r>
              <w:rPr>
                <w:rFonts w:ascii="Times New Roman"/>
                <w:spacing w:val="-1"/>
                <w:sz w:val="15"/>
              </w:rPr>
              <w:t>10,285,772</w:t>
            </w:r>
          </w:p>
        </w:tc>
        <w:tc>
          <w:tcPr>
            <w:tcW w:w="1285" w:type="dxa"/>
            <w:tcBorders>
              <w:top w:val="nil" w:sz="6" w:space="0" w:color="auto"/>
              <w:left w:val="nil" w:sz="6" w:space="0" w:color="auto"/>
              <w:bottom w:val="nil" w:sz="6" w:space="0" w:color="auto"/>
              <w:right w:val="nil" w:sz="6" w:space="0" w:color="auto"/>
            </w:tcBorders>
          </w:tcPr>
          <w:p>
            <w:pPr/>
          </w:p>
        </w:tc>
      </w:tr>
      <w:tr>
        <w:trPr>
          <w:trHeight w:val="306" w:hRule="exact"/>
        </w:trPr>
        <w:tc>
          <w:tcPr>
            <w:tcW w:w="659" w:type="dxa"/>
            <w:tcBorders>
              <w:top w:val="nil" w:sz="6" w:space="0" w:color="auto"/>
              <w:left w:val="nil" w:sz="6" w:space="0" w:color="auto"/>
              <w:bottom w:val="nil" w:sz="6" w:space="0" w:color="auto"/>
              <w:right w:val="nil" w:sz="6" w:space="0" w:color="auto"/>
            </w:tcBorders>
          </w:tcPr>
          <w:p>
            <w:pPr/>
          </w:p>
        </w:tc>
        <w:tc>
          <w:tcPr>
            <w:tcW w:w="2594" w:type="dxa"/>
            <w:tcBorders>
              <w:top w:val="nil" w:sz="6" w:space="0" w:color="auto"/>
              <w:left w:val="nil" w:sz="6" w:space="0" w:color="auto"/>
              <w:bottom w:val="single" w:sz="8" w:space="0" w:color="000000"/>
              <w:right w:val="nil" w:sz="6" w:space="0" w:color="auto"/>
            </w:tcBorders>
          </w:tcPr>
          <w:p>
            <w:pPr>
              <w:pStyle w:val="TableParagraph"/>
              <w:spacing w:line="240" w:lineRule="auto" w:before="75"/>
              <w:ind w:right="53"/>
              <w:jc w:val="center"/>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c>
        <w:tc>
          <w:tcPr>
            <w:tcW w:w="1135" w:type="dxa"/>
            <w:tcBorders>
              <w:top w:val="nil" w:sz="6" w:space="0" w:color="auto"/>
              <w:left w:val="nil" w:sz="6" w:space="0" w:color="auto"/>
              <w:bottom w:val="single" w:sz="8" w:space="0" w:color="000000"/>
              <w:right w:val="nil" w:sz="6" w:space="0" w:color="auto"/>
            </w:tcBorders>
          </w:tcPr>
          <w:p>
            <w:pPr>
              <w:pStyle w:val="TableParagraph"/>
              <w:spacing w:line="240" w:lineRule="auto" w:before="119"/>
              <w:ind w:right="205"/>
              <w:jc w:val="right"/>
              <w:rPr>
                <w:rFonts w:ascii="Times New Roman" w:hAnsi="Times New Roman" w:cs="Times New Roman" w:eastAsia="Times New Roman" w:hint="default"/>
                <w:sz w:val="15"/>
                <w:szCs w:val="15"/>
              </w:rPr>
            </w:pPr>
            <w:r>
              <w:rPr>
                <w:rFonts w:ascii="Times New Roman"/>
                <w:spacing w:val="-1"/>
                <w:sz w:val="15"/>
              </w:rPr>
              <w:t>5,740,965</w:t>
            </w:r>
          </w:p>
        </w:tc>
        <w:tc>
          <w:tcPr>
            <w:tcW w:w="1124" w:type="dxa"/>
            <w:tcBorders>
              <w:top w:val="nil" w:sz="6" w:space="0" w:color="auto"/>
              <w:left w:val="nil" w:sz="6" w:space="0" w:color="auto"/>
              <w:bottom w:val="single" w:sz="8" w:space="0" w:color="000000"/>
              <w:right w:val="nil" w:sz="6" w:space="0" w:color="auto"/>
            </w:tcBorders>
          </w:tcPr>
          <w:p>
            <w:pPr>
              <w:pStyle w:val="TableParagraph"/>
              <w:spacing w:line="240" w:lineRule="auto" w:before="119"/>
              <w:ind w:right="135"/>
              <w:jc w:val="right"/>
              <w:rPr>
                <w:rFonts w:ascii="Times New Roman" w:hAnsi="Times New Roman" w:cs="Times New Roman" w:eastAsia="Times New Roman" w:hint="default"/>
                <w:sz w:val="15"/>
                <w:szCs w:val="15"/>
              </w:rPr>
            </w:pPr>
            <w:r>
              <w:rPr>
                <w:rFonts w:ascii="Times New Roman"/>
                <w:spacing w:val="-1"/>
                <w:w w:val="95"/>
                <w:sz w:val="15"/>
              </w:rPr>
              <w:t>95,878,118</w:t>
            </w:r>
          </w:p>
        </w:tc>
        <w:tc>
          <w:tcPr>
            <w:tcW w:w="953" w:type="dxa"/>
            <w:tcBorders>
              <w:top w:val="nil" w:sz="6" w:space="0" w:color="auto"/>
              <w:left w:val="nil" w:sz="6" w:space="0" w:color="auto"/>
              <w:bottom w:val="single" w:sz="8" w:space="0" w:color="000000"/>
              <w:right w:val="nil" w:sz="6" w:space="0" w:color="auto"/>
            </w:tcBorders>
          </w:tcPr>
          <w:p>
            <w:pPr/>
          </w:p>
        </w:tc>
        <w:tc>
          <w:tcPr>
            <w:tcW w:w="1139" w:type="dxa"/>
            <w:tcBorders>
              <w:top w:val="nil" w:sz="6" w:space="0" w:color="auto"/>
              <w:left w:val="nil" w:sz="6" w:space="0" w:color="auto"/>
              <w:bottom w:val="single" w:sz="8" w:space="0" w:color="000000"/>
              <w:right w:val="nil" w:sz="6" w:space="0" w:color="auto"/>
            </w:tcBorders>
          </w:tcPr>
          <w:p>
            <w:pPr>
              <w:pStyle w:val="TableParagraph"/>
              <w:spacing w:line="240" w:lineRule="auto" w:before="119"/>
              <w:ind w:right="170"/>
              <w:jc w:val="right"/>
              <w:rPr>
                <w:rFonts w:ascii="Times New Roman" w:hAnsi="Times New Roman" w:cs="Times New Roman" w:eastAsia="Times New Roman" w:hint="default"/>
                <w:sz w:val="15"/>
                <w:szCs w:val="15"/>
              </w:rPr>
            </w:pPr>
            <w:r>
              <w:rPr>
                <w:rFonts w:ascii="Times New Roman"/>
                <w:spacing w:val="-1"/>
                <w:sz w:val="15"/>
              </w:rPr>
              <w:t>101,619,083</w:t>
            </w:r>
          </w:p>
        </w:tc>
        <w:tc>
          <w:tcPr>
            <w:tcW w:w="1285" w:type="dxa"/>
            <w:tcBorders>
              <w:top w:val="nil" w:sz="6" w:space="0" w:color="auto"/>
              <w:left w:val="nil" w:sz="6" w:space="0" w:color="auto"/>
              <w:bottom w:val="single" w:sz="8" w:space="0" w:color="000000"/>
              <w:right w:val="nil" w:sz="6" w:space="0" w:color="auto"/>
            </w:tcBorders>
          </w:tcPr>
          <w:p>
            <w:pPr/>
          </w:p>
        </w:tc>
      </w:tr>
    </w:tbl>
    <w:p>
      <w:pPr>
        <w:spacing w:line="331" w:lineRule="auto" w:before="83"/>
        <w:ind w:left="875" w:right="164" w:firstLine="0"/>
        <w:jc w:val="both"/>
        <w:rPr>
          <w:rFonts w:ascii="Times New Roman" w:hAnsi="Times New Roman" w:cs="Times New Roman" w:eastAsia="Times New Roman" w:hint="default"/>
          <w:sz w:val="21"/>
          <w:szCs w:val="21"/>
        </w:rPr>
      </w:pPr>
      <w:r>
        <w:rPr/>
        <w:pict>
          <v:shape style="position:absolute;margin-left:120.360001pt;margin-top:-206.006378pt;width:412.019855pt;height:204.54pt;mso-position-horizontal-relative:page;mso-position-vertical-relative:paragraph;z-index:-987040" type="#_x0000_t75" stroked="false">
            <v:imagedata r:id="rId87" o:title=""/>
          </v:shape>
        </w:pict>
      </w:r>
      <w:r>
        <w:rPr>
          <w:rFonts w:ascii="宋体" w:hAnsi="宋体" w:cs="宋体" w:eastAsia="宋体" w:hint="default"/>
          <w:sz w:val="21"/>
          <w:szCs w:val="21"/>
        </w:rPr>
        <w:t>注</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4"/>
          <w:sz w:val="21"/>
          <w:szCs w:val="21"/>
        </w:rPr>
        <w:t> </w:t>
      </w:r>
      <w:r>
        <w:rPr>
          <w:rFonts w:ascii="Times New Roman" w:hAnsi="Times New Roman" w:cs="Times New Roman" w:eastAsia="Times New Roman" w:hint="default"/>
          <w:sz w:val="21"/>
          <w:szCs w:val="21"/>
        </w:rPr>
        <w:t>2001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月本公司出资设立东软</w:t>
      </w:r>
      <w:r>
        <w:rPr>
          <w:rFonts w:ascii="Times New Roman" w:hAnsi="Times New Roman" w:cs="Times New Roman" w:eastAsia="Times New Roman" w:hint="default"/>
          <w:sz w:val="21"/>
          <w:szCs w:val="21"/>
        </w:rPr>
        <w:t>(</w:t>
      </w:r>
      <w:r>
        <w:rPr>
          <w:rFonts w:ascii="宋体" w:hAnsi="宋体" w:cs="宋体" w:eastAsia="宋体" w:hint="default"/>
          <w:sz w:val="21"/>
          <w:szCs w:val="21"/>
        </w:rPr>
        <w:t>日本</w:t>
      </w:r>
      <w:r>
        <w:rPr>
          <w:rFonts w:ascii="Times New Roman" w:hAnsi="Times New Roman" w:cs="Times New Roman" w:eastAsia="Times New Roman" w:hint="default"/>
          <w:sz w:val="21"/>
          <w:szCs w:val="21"/>
        </w:rPr>
        <w:t>)</w:t>
      </w:r>
      <w:r>
        <w:rPr>
          <w:rFonts w:ascii="宋体" w:hAnsi="宋体" w:cs="宋体" w:eastAsia="宋体" w:hint="default"/>
          <w:sz w:val="21"/>
          <w:szCs w:val="21"/>
        </w:rPr>
        <w:t>有限公司</w:t>
      </w:r>
      <w:r>
        <w:rPr>
          <w:rFonts w:ascii="Times New Roman" w:hAnsi="Times New Roman" w:cs="Times New Roman" w:eastAsia="Times New Roman" w:hint="default"/>
          <w:sz w:val="21"/>
          <w:szCs w:val="21"/>
        </w:rPr>
        <w:t>,</w:t>
      </w:r>
      <w:r>
        <w:rPr>
          <w:rFonts w:ascii="宋体" w:hAnsi="宋体" w:cs="宋体" w:eastAsia="宋体" w:hint="default"/>
          <w:sz w:val="21"/>
          <w:szCs w:val="21"/>
        </w:rPr>
        <w:t>持股比例</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60%</w:t>
      </w:r>
      <w:r>
        <w:rPr>
          <w:rFonts w:ascii="宋体" w:hAnsi="宋体" w:cs="宋体" w:eastAsia="宋体" w:hint="default"/>
          <w:sz w:val="21"/>
          <w:szCs w:val="21"/>
        </w:rPr>
        <w:t>，</w:t>
      </w:r>
      <w:r>
        <w:rPr>
          <w:rFonts w:ascii="Times New Roman" w:hAnsi="Times New Roman" w:cs="Times New Roman" w:eastAsia="Times New Roman" w:hint="default"/>
          <w:sz w:val="21"/>
          <w:szCs w:val="21"/>
        </w:rPr>
        <w:t>2003</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月本</w:t>
      </w:r>
      <w:r>
        <w:rPr>
          <w:rFonts w:ascii="宋体" w:hAnsi="宋体" w:cs="宋体" w:eastAsia="宋体" w:hint="default"/>
          <w:spacing w:val="-2"/>
          <w:sz w:val="21"/>
          <w:szCs w:val="21"/>
        </w:rPr>
        <w:t> </w:t>
      </w:r>
      <w:r>
        <w:rPr>
          <w:rFonts w:ascii="宋体" w:hAnsi="宋体" w:cs="宋体" w:eastAsia="宋体" w:hint="default"/>
          <w:sz w:val="21"/>
          <w:szCs w:val="21"/>
        </w:rPr>
        <w:t>公司出资收购了东软</w:t>
      </w:r>
      <w:r>
        <w:rPr>
          <w:rFonts w:ascii="Times New Roman" w:hAnsi="Times New Roman" w:cs="Times New Roman" w:eastAsia="Times New Roman" w:hint="default"/>
          <w:sz w:val="21"/>
          <w:szCs w:val="21"/>
        </w:rPr>
        <w:t>(</w:t>
      </w:r>
      <w:r>
        <w:rPr>
          <w:rFonts w:ascii="宋体" w:hAnsi="宋体" w:cs="宋体" w:eastAsia="宋体" w:hint="default"/>
          <w:sz w:val="21"/>
          <w:szCs w:val="21"/>
        </w:rPr>
        <w:t>日本</w:t>
      </w:r>
      <w:r>
        <w:rPr>
          <w:rFonts w:ascii="Times New Roman" w:hAnsi="Times New Roman" w:cs="Times New Roman" w:eastAsia="Times New Roman" w:hint="default"/>
          <w:sz w:val="21"/>
          <w:szCs w:val="21"/>
        </w:rPr>
        <w:t>)</w:t>
      </w:r>
      <w:r>
        <w:rPr>
          <w:rFonts w:ascii="宋体" w:hAnsi="宋体" w:cs="宋体" w:eastAsia="宋体" w:hint="default"/>
          <w:sz w:val="21"/>
          <w:szCs w:val="21"/>
        </w:rPr>
        <w:t>有限公司剩余 </w:t>
      </w:r>
      <w:r>
        <w:rPr>
          <w:rFonts w:ascii="Times New Roman" w:hAnsi="Times New Roman" w:cs="Times New Roman" w:eastAsia="Times New Roman" w:hint="default"/>
          <w:sz w:val="21"/>
          <w:szCs w:val="21"/>
        </w:rPr>
        <w:t>40%</w:t>
      </w:r>
      <w:r>
        <w:rPr>
          <w:rFonts w:ascii="宋体" w:hAnsi="宋体" w:cs="宋体" w:eastAsia="宋体" w:hint="default"/>
          <w:sz w:val="21"/>
          <w:szCs w:val="21"/>
        </w:rPr>
        <w:t>股权</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购买价高于应享有的净资产份额之差 额部分确认为股权投资差额，并自</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2004</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月起按</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年进行平均摊销，</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1</w:t>
      </w:r>
    </w:p>
    <w:p>
      <w:pPr>
        <w:spacing w:before="20"/>
        <w:ind w:left="875" w:right="0" w:firstLine="0"/>
        <w:jc w:val="both"/>
        <w:rPr>
          <w:rFonts w:ascii="Times New Roman" w:hAnsi="Times New Roman" w:cs="Times New Roman" w:eastAsia="Times New Roman" w:hint="default"/>
          <w:sz w:val="21"/>
          <w:szCs w:val="21"/>
        </w:rPr>
      </w:pPr>
      <w:r>
        <w:rPr>
          <w:rFonts w:ascii="宋体" w:hAnsi="宋体" w:cs="宋体" w:eastAsia="宋体" w:hint="default"/>
          <w:sz w:val="21"/>
          <w:szCs w:val="21"/>
        </w:rPr>
        <w:t>日根据《企业会计准则第 </w:t>
      </w:r>
      <w:r>
        <w:rPr>
          <w:rFonts w:ascii="Times New Roman" w:hAnsi="Times New Roman" w:cs="Times New Roman" w:eastAsia="Times New Roman" w:hint="default"/>
          <w:sz w:val="21"/>
          <w:szCs w:val="21"/>
        </w:rPr>
        <w:t>38  </w:t>
      </w:r>
      <w:r>
        <w:rPr>
          <w:rFonts w:ascii="宋体" w:hAnsi="宋体" w:cs="宋体" w:eastAsia="宋体" w:hint="default"/>
          <w:sz w:val="21"/>
          <w:szCs w:val="21"/>
        </w:rPr>
        <w:t>号－首次执行企业会计准则》的规定，本公司将截止</w:t>
      </w:r>
      <w:r>
        <w:rPr>
          <w:rFonts w:ascii="宋体" w:hAnsi="宋体" w:cs="宋体" w:eastAsia="宋体" w:hint="default"/>
          <w:spacing w:val="7"/>
          <w:sz w:val="21"/>
          <w:szCs w:val="21"/>
        </w:rPr>
        <w:t> </w:t>
      </w:r>
      <w:r>
        <w:rPr>
          <w:rFonts w:ascii="Times New Roman" w:hAnsi="Times New Roman" w:cs="Times New Roman" w:eastAsia="Times New Roman" w:hint="default"/>
          <w:sz w:val="21"/>
          <w:szCs w:val="21"/>
        </w:rPr>
        <w:t>2006</w:t>
      </w:r>
    </w:p>
    <w:p>
      <w:pPr>
        <w:spacing w:before="110"/>
        <w:ind w:left="875" w:right="0" w:firstLine="0"/>
        <w:jc w:val="both"/>
        <w:rPr>
          <w:rFonts w:ascii="宋体" w:hAnsi="宋体" w:cs="宋体" w:eastAsia="宋体" w:hint="default"/>
          <w:sz w:val="21"/>
          <w:szCs w:val="21"/>
        </w:rPr>
      </w:pPr>
      <w:r>
        <w:rPr>
          <w:rFonts w:ascii="宋体" w:hAnsi="宋体" w:cs="宋体" w:eastAsia="宋体" w:hint="default"/>
          <w:sz w:val="21"/>
          <w:szCs w:val="21"/>
        </w:rPr>
        <w:t>年末的该股权投资差额的借方摊销余额在编制合并财务报表时列报为商誉；</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line="331" w:lineRule="auto" w:before="0"/>
        <w:ind w:left="875" w:right="107" w:hanging="1"/>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本公司之子公司东软</w:t>
      </w:r>
      <w:r>
        <w:rPr>
          <w:rFonts w:ascii="Times New Roman" w:hAnsi="Times New Roman" w:cs="Times New Roman" w:eastAsia="Times New Roman" w:hint="default"/>
          <w:sz w:val="21"/>
          <w:szCs w:val="21"/>
        </w:rPr>
        <w:t>(</w:t>
      </w:r>
      <w:r>
        <w:rPr>
          <w:rFonts w:ascii="宋体" w:hAnsi="宋体" w:cs="宋体" w:eastAsia="宋体" w:hint="default"/>
          <w:sz w:val="21"/>
          <w:szCs w:val="21"/>
        </w:rPr>
        <w:t>日本</w:t>
      </w:r>
      <w:r>
        <w:rPr>
          <w:rFonts w:ascii="Times New Roman" w:hAnsi="Times New Roman" w:cs="Times New Roman" w:eastAsia="Times New Roman" w:hint="default"/>
          <w:sz w:val="21"/>
          <w:szCs w:val="21"/>
        </w:rPr>
        <w:t>)</w:t>
      </w:r>
      <w:r>
        <w:rPr>
          <w:rFonts w:ascii="宋体" w:hAnsi="宋体" w:cs="宋体" w:eastAsia="宋体" w:hint="default"/>
          <w:sz w:val="21"/>
          <w:szCs w:val="21"/>
        </w:rPr>
        <w:t>有限公司于</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2004</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月收购了大连东软金融信息技术 有限公司 </w:t>
      </w:r>
      <w:r>
        <w:rPr>
          <w:rFonts w:ascii="Times New Roman" w:hAnsi="Times New Roman" w:cs="Times New Roman" w:eastAsia="Times New Roman" w:hint="default"/>
          <w:sz w:val="21"/>
          <w:szCs w:val="21"/>
        </w:rPr>
        <w:t>31%</w:t>
      </w:r>
      <w:r>
        <w:rPr>
          <w:rFonts w:ascii="宋体" w:hAnsi="宋体" w:cs="宋体" w:eastAsia="宋体" w:hint="default"/>
          <w:sz w:val="21"/>
          <w:szCs w:val="21"/>
        </w:rPr>
        <w:t>的股权</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购买价高于应享有的净资产份额之差额部分确认为股权投资差额， 并自</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2004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月起按</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年进行平均摊销，</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日根据《企业会计准则第</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w:t>
      </w:r>
    </w:p>
    <w:p>
      <w:pPr>
        <w:spacing w:line="331" w:lineRule="auto" w:before="20"/>
        <w:ind w:left="875" w:right="163" w:firstLine="0"/>
        <w:jc w:val="both"/>
        <w:rPr>
          <w:rFonts w:ascii="宋体" w:hAnsi="宋体" w:cs="宋体" w:eastAsia="宋体" w:hint="default"/>
          <w:sz w:val="21"/>
          <w:szCs w:val="21"/>
        </w:rPr>
      </w:pPr>
      <w:r>
        <w:rPr>
          <w:rFonts w:ascii="宋体" w:hAnsi="宋体" w:cs="宋体" w:eastAsia="宋体" w:hint="default"/>
          <w:sz w:val="21"/>
          <w:szCs w:val="21"/>
        </w:rPr>
        <w:t>－首次执行企业会计准则》的规定，将截止</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年末的股权投资差额的借方摊销余额在 编制合并财务报表时列报为商誉；</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line="331" w:lineRule="auto" w:before="0"/>
        <w:ind w:left="875" w:right="165" w:hanging="1"/>
        <w:jc w:val="both"/>
        <w:rPr>
          <w:rFonts w:ascii="宋体" w:hAnsi="宋体" w:cs="宋体" w:eastAsia="宋体" w:hint="default"/>
          <w:sz w:val="21"/>
          <w:szCs w:val="21"/>
        </w:rPr>
      </w:pPr>
      <w:r>
        <w:rPr>
          <w:rFonts w:ascii="宋体" w:hAnsi="宋体" w:cs="宋体" w:eastAsia="宋体" w:hint="default"/>
          <w:sz w:val="21"/>
          <w:szCs w:val="21"/>
        </w:rPr>
        <w:t>注 </w:t>
      </w: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2007 </w:t>
      </w: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月本公司收购北京兰瑞科创信息技术有限公司</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14%</w:t>
      </w:r>
      <w:r>
        <w:rPr>
          <w:rFonts w:ascii="宋体" w:hAnsi="宋体" w:cs="宋体" w:eastAsia="宋体" w:hint="default"/>
          <w:sz w:val="21"/>
          <w:szCs w:val="21"/>
        </w:rPr>
        <w:t>的股权，购买价高于 应享有的可辨认净资产的公允价值之差额部分在编制合并财务报表时列报为商誉；</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line="331" w:lineRule="auto" w:before="0"/>
        <w:ind w:left="875" w:right="165" w:firstLine="0"/>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7"/>
          <w:sz w:val="21"/>
          <w:szCs w:val="21"/>
        </w:rPr>
        <w:t> </w:t>
      </w:r>
      <w:r>
        <w:rPr>
          <w:rFonts w:ascii="Times New Roman" w:hAnsi="Times New Roman" w:cs="Times New Roman" w:eastAsia="Times New Roman" w:hint="default"/>
          <w:spacing w:val="-6"/>
          <w:sz w:val="21"/>
          <w:szCs w:val="21"/>
        </w:rPr>
        <w:t>4</w:t>
      </w:r>
      <w:r>
        <w:rPr>
          <w:rFonts w:ascii="宋体" w:hAnsi="宋体" w:cs="宋体" w:eastAsia="宋体" w:hint="default"/>
          <w:spacing w:val="-6"/>
          <w:sz w:val="21"/>
          <w:szCs w:val="21"/>
        </w:rPr>
        <w:t>：</w:t>
      </w:r>
      <w:r>
        <w:rPr>
          <w:rFonts w:ascii="Times New Roman" w:hAnsi="Times New Roman" w:cs="Times New Roman" w:eastAsia="Times New Roman" w:hint="default"/>
          <w:spacing w:val="-6"/>
          <w:sz w:val="21"/>
          <w:szCs w:val="21"/>
        </w:rPr>
        <w:t>2004</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日，本公司对辽宁东软创业投资有限公司增加投资</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500</w:t>
      </w:r>
      <w:r>
        <w:rPr>
          <w:rFonts w:ascii="Times New Roman" w:hAnsi="Times New Roman" w:cs="Times New Roman" w:eastAsia="Times New Roman" w:hint="default"/>
          <w:spacing w:val="-4"/>
          <w:sz w:val="21"/>
          <w:szCs w:val="21"/>
        </w:rPr>
        <w:t> </w:t>
      </w:r>
      <w:r>
        <w:rPr>
          <w:rFonts w:ascii="宋体" w:hAnsi="宋体" w:cs="宋体" w:eastAsia="宋体" w:hint="default"/>
          <w:spacing w:val="-7"/>
          <w:sz w:val="21"/>
          <w:szCs w:val="21"/>
        </w:rPr>
        <w:t>万元，取得</w:t>
      </w:r>
      <w:r>
        <w:rPr>
          <w:rFonts w:ascii="宋体" w:hAnsi="宋体" w:cs="宋体" w:eastAsia="宋体" w:hint="default"/>
          <w:sz w:val="21"/>
          <w:szCs w:val="21"/>
        </w:rPr>
        <w:t> </w:t>
      </w:r>
      <w:r>
        <w:rPr>
          <w:rFonts w:ascii="Times New Roman" w:hAnsi="Times New Roman" w:cs="Times New Roman" w:eastAsia="Times New Roman" w:hint="default"/>
          <w:spacing w:val="-1"/>
          <w:sz w:val="21"/>
          <w:szCs w:val="21"/>
        </w:rPr>
        <w:t>4.76%</w:t>
      </w:r>
      <w:r>
        <w:rPr>
          <w:rFonts w:ascii="宋体" w:hAnsi="宋体" w:cs="宋体" w:eastAsia="宋体" w:hint="default"/>
          <w:spacing w:val="-1"/>
          <w:sz w:val="21"/>
          <w:szCs w:val="21"/>
        </w:rPr>
        <w:t>股权，购买价高于应享有的可辨认净资产的公允价值之差额部分在编制合并财务报</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表时列报为商誉；</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spacing w:line="328" w:lineRule="auto" w:before="0"/>
        <w:ind w:left="875" w:right="162" w:firstLine="0"/>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月，本集团之子公司北京东软越通软件技术有限公司以</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299</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万元取得北 京源越通软件技术有限公司</w:t>
      </w:r>
      <w:r>
        <w:rPr>
          <w:rFonts w:ascii="宋体" w:hAnsi="宋体" w:cs="宋体" w:eastAsia="宋体" w:hint="default"/>
          <w:spacing w:val="35"/>
          <w:sz w:val="21"/>
          <w:szCs w:val="21"/>
        </w:rPr>
        <w:t> </w:t>
      </w:r>
      <w:r>
        <w:rPr>
          <w:rFonts w:ascii="Times New Roman" w:hAnsi="Times New Roman" w:cs="Times New Roman" w:eastAsia="Times New Roman" w:hint="default"/>
          <w:sz w:val="21"/>
          <w:szCs w:val="21"/>
        </w:rPr>
        <w:t>74%</w:t>
      </w:r>
      <w:r>
        <w:rPr>
          <w:rFonts w:ascii="宋体" w:hAnsi="宋体" w:cs="宋体" w:eastAsia="宋体" w:hint="default"/>
          <w:sz w:val="21"/>
          <w:szCs w:val="21"/>
        </w:rPr>
        <w:t>的股权，购买价高于应享有的可辨认净资产的公允价值</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之差额部分在编制合并财务报表时列报为商誉；</w:t>
      </w:r>
    </w:p>
    <w:p>
      <w:pPr>
        <w:spacing w:after="0" w:line="328" w:lineRule="auto"/>
        <w:jc w:val="both"/>
        <w:rPr>
          <w:rFonts w:ascii="宋体" w:hAnsi="宋体" w:cs="宋体" w:eastAsia="宋体" w:hint="default"/>
          <w:sz w:val="21"/>
          <w:szCs w:val="21"/>
        </w:rPr>
        <w:sectPr>
          <w:pgSz w:w="11900" w:h="16840"/>
          <w:pgMar w:header="0" w:footer="1003" w:top="1540" w:bottom="1200" w:left="1640" w:right="1120"/>
        </w:sectPr>
      </w:pPr>
    </w:p>
    <w:p>
      <w:pPr>
        <w:spacing w:line="240" w:lineRule="auto" w:before="10"/>
        <w:rPr>
          <w:rFonts w:ascii="宋体" w:hAnsi="宋体" w:cs="宋体" w:eastAsia="宋体" w:hint="default"/>
          <w:sz w:val="8"/>
          <w:szCs w:val="8"/>
        </w:rPr>
      </w:pPr>
    </w:p>
    <w:p>
      <w:pPr>
        <w:spacing w:line="333" w:lineRule="auto" w:before="35"/>
        <w:ind w:left="875" w:right="95"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6</w:t>
      </w:r>
      <w:r>
        <w:rPr>
          <w:rFonts w:ascii="宋体" w:hAnsi="宋体" w:cs="宋体" w:eastAsia="宋体" w:hint="default"/>
          <w:sz w:val="21"/>
          <w:szCs w:val="21"/>
        </w:rPr>
        <w:t>：</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月，本公司之子公司东软（欧洲）有限公司（以下简称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东软欧洲</w:t>
      </w:r>
      <w:r>
        <w:rPr>
          <w:rFonts w:ascii="Times New Roman" w:hAnsi="Times New Roman" w:cs="Times New Roman" w:eastAsia="Times New Roman" w:hint="default"/>
          <w:sz w:val="21"/>
          <w:szCs w:val="21"/>
        </w:rPr>
        <w:t>”</w:t>
      </w:r>
      <w:r>
        <w:rPr>
          <w:rFonts w:ascii="宋体" w:hAnsi="宋体" w:cs="宋体" w:eastAsia="宋体" w:hint="default"/>
          <w:sz w:val="21"/>
          <w:szCs w:val="21"/>
        </w:rPr>
        <w:t>）购 买</w:t>
      </w:r>
      <w:r>
        <w:rPr>
          <w:rFonts w:ascii="宋体" w:hAnsi="宋体" w:cs="宋体" w:eastAsia="宋体" w:hint="default"/>
          <w:spacing w:val="-51"/>
          <w:sz w:val="21"/>
          <w:szCs w:val="21"/>
        </w:rPr>
        <w:t> </w:t>
      </w:r>
      <w:r>
        <w:rPr>
          <w:rFonts w:ascii="Times New Roman" w:hAnsi="Times New Roman" w:cs="Times New Roman" w:eastAsia="Times New Roman" w:hint="default"/>
          <w:w w:val="99"/>
          <w:sz w:val="21"/>
          <w:szCs w:val="21"/>
        </w:rPr>
        <w:t>Sesca</w:t>
      </w:r>
      <w:r>
        <w:rPr>
          <w:rFonts w:ascii="Times New Roman" w:hAnsi="Times New Roman" w:cs="Times New Roman" w:eastAsia="Times New Roman" w:hint="default"/>
          <w:spacing w:val="2"/>
          <w:w w:val="99"/>
          <w:sz w:val="21"/>
          <w:szCs w:val="21"/>
        </w:rPr>
        <w:t> </w:t>
      </w:r>
      <w:r>
        <w:rPr>
          <w:rFonts w:ascii="Times New Roman" w:hAnsi="Times New Roman" w:cs="Times New Roman" w:eastAsia="Times New Roman" w:hint="default"/>
          <w:sz w:val="21"/>
          <w:szCs w:val="21"/>
        </w:rPr>
        <w:t>Mobile</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pacing w:val="-1"/>
          <w:w w:val="99"/>
          <w:sz w:val="21"/>
          <w:szCs w:val="21"/>
        </w:rPr>
        <w:t>Software</w:t>
      </w:r>
      <w:r>
        <w:rPr>
          <w:rFonts w:ascii="Times New Roman" w:hAnsi="Times New Roman" w:cs="Times New Roman" w:eastAsia="Times New Roman" w:hint="default"/>
          <w:spacing w:val="2"/>
          <w:w w:val="99"/>
          <w:sz w:val="21"/>
          <w:szCs w:val="21"/>
        </w:rPr>
        <w:t> </w:t>
      </w:r>
      <w:r>
        <w:rPr>
          <w:rFonts w:ascii="Times New Roman" w:hAnsi="Times New Roman" w:cs="Times New Roman" w:eastAsia="Times New Roman" w:hint="default"/>
          <w:spacing w:val="-11"/>
          <w:w w:val="99"/>
          <w:sz w:val="21"/>
          <w:szCs w:val="21"/>
        </w:rPr>
        <w:t>Oy</w:t>
      </w:r>
      <w:r>
        <w:rPr>
          <w:rFonts w:ascii="宋体" w:hAnsi="宋体" w:cs="宋体" w:eastAsia="宋体" w:hint="default"/>
          <w:spacing w:val="-11"/>
          <w:w w:val="99"/>
          <w:sz w:val="21"/>
          <w:szCs w:val="21"/>
        </w:rPr>
        <w:t>（后更名为</w:t>
      </w:r>
      <w:r>
        <w:rPr>
          <w:rFonts w:ascii="宋体" w:hAnsi="宋体" w:cs="宋体" w:eastAsia="宋体" w:hint="default"/>
          <w:spacing w:val="-51"/>
          <w:w w:val="99"/>
          <w:sz w:val="21"/>
          <w:szCs w:val="21"/>
        </w:rPr>
        <w:t> </w:t>
      </w:r>
      <w:r>
        <w:rPr>
          <w:rFonts w:ascii="Times New Roman" w:hAnsi="Times New Roman" w:cs="Times New Roman" w:eastAsia="Times New Roman" w:hint="default"/>
          <w:spacing w:val="-1"/>
          <w:w w:val="99"/>
          <w:sz w:val="21"/>
          <w:szCs w:val="21"/>
        </w:rPr>
        <w:t>Neusoft</w:t>
      </w:r>
      <w:r>
        <w:rPr>
          <w:rFonts w:ascii="Times New Roman" w:hAnsi="Times New Roman" w:cs="Times New Roman" w:eastAsia="Times New Roman" w:hint="default"/>
          <w:spacing w:val="1"/>
          <w:w w:val="99"/>
          <w:sz w:val="21"/>
          <w:szCs w:val="21"/>
        </w:rPr>
        <w:t> </w:t>
      </w:r>
      <w:r>
        <w:rPr>
          <w:rFonts w:ascii="Times New Roman" w:hAnsi="Times New Roman" w:cs="Times New Roman" w:eastAsia="Times New Roman" w:hint="default"/>
          <w:spacing w:val="-1"/>
          <w:w w:val="99"/>
          <w:sz w:val="21"/>
          <w:szCs w:val="21"/>
        </w:rPr>
        <w:t>Mobile</w:t>
      </w:r>
      <w:r>
        <w:rPr>
          <w:rFonts w:ascii="Times New Roman" w:hAnsi="Times New Roman" w:cs="Times New Roman" w:eastAsia="Times New Roman" w:hint="default"/>
          <w:spacing w:val="2"/>
          <w:w w:val="99"/>
          <w:sz w:val="21"/>
          <w:szCs w:val="21"/>
        </w:rPr>
        <w:t> </w:t>
      </w:r>
      <w:r>
        <w:rPr>
          <w:rFonts w:ascii="Times New Roman" w:hAnsi="Times New Roman" w:cs="Times New Roman" w:eastAsia="Times New Roman" w:hint="default"/>
          <w:spacing w:val="-1"/>
          <w:w w:val="99"/>
          <w:sz w:val="21"/>
          <w:szCs w:val="21"/>
        </w:rPr>
        <w:t>Solutions</w:t>
      </w:r>
      <w:r>
        <w:rPr>
          <w:rFonts w:ascii="Times New Roman" w:hAnsi="Times New Roman" w:cs="Times New Roman" w:eastAsia="Times New Roman" w:hint="default"/>
          <w:spacing w:val="2"/>
          <w:w w:val="99"/>
          <w:sz w:val="21"/>
          <w:szCs w:val="21"/>
        </w:rPr>
        <w:t> </w:t>
      </w:r>
      <w:r>
        <w:rPr>
          <w:rFonts w:ascii="Times New Roman" w:hAnsi="Times New Roman" w:cs="Times New Roman" w:eastAsia="Times New Roman" w:hint="default"/>
          <w:spacing w:val="-17"/>
          <w:w w:val="99"/>
          <w:sz w:val="21"/>
          <w:szCs w:val="21"/>
        </w:rPr>
        <w:t>Oy</w:t>
      </w:r>
      <w:r>
        <w:rPr>
          <w:rFonts w:ascii="宋体" w:hAnsi="宋体" w:cs="宋体" w:eastAsia="宋体" w:hint="default"/>
          <w:spacing w:val="-17"/>
          <w:w w:val="99"/>
          <w:sz w:val="21"/>
          <w:szCs w:val="21"/>
        </w:rPr>
        <w:t>）、</w:t>
      </w:r>
      <w:r>
        <w:rPr>
          <w:rFonts w:ascii="Times New Roman" w:hAnsi="Times New Roman" w:cs="Times New Roman" w:eastAsia="Times New Roman" w:hint="default"/>
          <w:spacing w:val="-17"/>
          <w:w w:val="99"/>
          <w:sz w:val="21"/>
          <w:szCs w:val="21"/>
        </w:rPr>
        <w:t>Almitas</w:t>
      </w:r>
      <w:r>
        <w:rPr>
          <w:rFonts w:ascii="Times New Roman" w:hAnsi="Times New Roman" w:cs="Times New Roman" w:eastAsia="Times New Roman" w:hint="default"/>
          <w:spacing w:val="2"/>
          <w:w w:val="99"/>
          <w:sz w:val="21"/>
          <w:szCs w:val="21"/>
        </w:rPr>
        <w:t> </w:t>
      </w:r>
      <w:r>
        <w:rPr>
          <w:rFonts w:ascii="Times New Roman" w:hAnsi="Times New Roman" w:cs="Times New Roman" w:eastAsia="Times New Roman" w:hint="default"/>
          <w:spacing w:val="-1"/>
          <w:w w:val="99"/>
          <w:sz w:val="21"/>
          <w:szCs w:val="21"/>
        </w:rPr>
        <w:t>Oy</w:t>
      </w:r>
      <w:r>
        <w:rPr>
          <w:rFonts w:ascii="Times New Roman" w:hAnsi="Times New Roman" w:cs="Times New Roman" w:eastAsia="Times New Roman" w:hint="default"/>
          <w:spacing w:val="4"/>
          <w:w w:val="99"/>
          <w:sz w:val="21"/>
          <w:szCs w:val="21"/>
        </w:rPr>
        <w:t> </w:t>
      </w:r>
      <w:r>
        <w:rPr>
          <w:rFonts w:ascii="宋体" w:hAnsi="宋体" w:cs="宋体" w:eastAsia="宋体" w:hint="default"/>
          <w:sz w:val="21"/>
          <w:szCs w:val="21"/>
        </w:rPr>
        <w:t>和</w:t>
      </w:r>
      <w:r>
        <w:rPr>
          <w:rFonts w:ascii="宋体" w:hAnsi="宋体" w:cs="宋体" w:eastAsia="宋体" w:hint="default"/>
          <w:spacing w:val="-51"/>
          <w:sz w:val="21"/>
          <w:szCs w:val="21"/>
        </w:rPr>
        <w:t> </w:t>
      </w:r>
      <w:r>
        <w:rPr>
          <w:rFonts w:ascii="Times New Roman" w:hAnsi="Times New Roman" w:cs="Times New Roman" w:eastAsia="Times New Roman" w:hint="default"/>
          <w:w w:val="99"/>
          <w:sz w:val="21"/>
          <w:szCs w:val="21"/>
        </w:rPr>
        <w:t>Sesca</w:t>
      </w:r>
      <w:r>
        <w:rPr>
          <w:rFonts w:ascii="Times New Roman" w:hAnsi="Times New Roman" w:cs="Times New Roman" w:eastAsia="Times New Roman" w:hint="default"/>
          <w:spacing w:val="-48"/>
          <w:w w:val="99"/>
          <w:sz w:val="21"/>
          <w:szCs w:val="21"/>
        </w:rPr>
        <w:t> </w:t>
      </w:r>
      <w:r>
        <w:rPr>
          <w:rFonts w:ascii="Times New Roman" w:hAnsi="Times New Roman" w:cs="Times New Roman" w:eastAsia="Times New Roman" w:hint="default"/>
          <w:sz w:val="21"/>
          <w:szCs w:val="21"/>
        </w:rPr>
        <w:t>Technologies</w:t>
      </w:r>
      <w:r>
        <w:rPr>
          <w:rFonts w:ascii="Times New Roman" w:hAnsi="Times New Roman" w:cs="Times New Roman" w:eastAsia="Times New Roman" w:hint="default"/>
          <w:spacing w:val="-7"/>
          <w:sz w:val="21"/>
          <w:szCs w:val="21"/>
        </w:rPr>
        <w:t> </w:t>
      </w:r>
      <w:r>
        <w:rPr>
          <w:rFonts w:ascii="Times New Roman" w:hAnsi="Times New Roman" w:cs="Times New Roman" w:eastAsia="Times New Roman" w:hint="default"/>
          <w:sz w:val="21"/>
          <w:szCs w:val="21"/>
        </w:rPr>
        <w:t>SRL</w:t>
      </w:r>
      <w:r>
        <w:rPr>
          <w:rFonts w:ascii="宋体" w:hAnsi="宋体" w:cs="宋体" w:eastAsia="宋体" w:hint="default"/>
          <w:sz w:val="21"/>
          <w:szCs w:val="21"/>
        </w:rPr>
        <w:t>（后更名为</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Neusoft</w:t>
      </w:r>
      <w:r>
        <w:rPr>
          <w:rFonts w:ascii="Times New Roman" w:hAnsi="Times New Roman" w:cs="Times New Roman" w:eastAsia="Times New Roman" w:hint="default"/>
          <w:spacing w:val="-7"/>
          <w:sz w:val="21"/>
          <w:szCs w:val="21"/>
        </w:rPr>
        <w:t> </w:t>
      </w:r>
      <w:r>
        <w:rPr>
          <w:rFonts w:ascii="Times New Roman" w:hAnsi="Times New Roman" w:cs="Times New Roman" w:eastAsia="Times New Roman" w:hint="default"/>
          <w:sz w:val="21"/>
          <w:szCs w:val="21"/>
        </w:rPr>
        <w:t>Mobile</w:t>
      </w:r>
      <w:r>
        <w:rPr>
          <w:rFonts w:ascii="Times New Roman" w:hAnsi="Times New Roman" w:cs="Times New Roman" w:eastAsia="Times New Roman" w:hint="default"/>
          <w:spacing w:val="-6"/>
          <w:sz w:val="21"/>
          <w:szCs w:val="21"/>
        </w:rPr>
        <w:t> </w:t>
      </w:r>
      <w:r>
        <w:rPr>
          <w:rFonts w:ascii="Times New Roman" w:hAnsi="Times New Roman" w:cs="Times New Roman" w:eastAsia="Times New Roman" w:hint="default"/>
          <w:sz w:val="21"/>
          <w:szCs w:val="21"/>
        </w:rPr>
        <w:t>Solutions</w:t>
      </w:r>
      <w:r>
        <w:rPr>
          <w:rFonts w:ascii="Times New Roman" w:hAnsi="Times New Roman" w:cs="Times New Roman" w:eastAsia="Times New Roman" w:hint="default"/>
          <w:spacing w:val="-6"/>
          <w:sz w:val="21"/>
          <w:szCs w:val="21"/>
        </w:rPr>
        <w:t> </w:t>
      </w:r>
      <w:r>
        <w:rPr>
          <w:rFonts w:ascii="Times New Roman" w:hAnsi="Times New Roman" w:cs="Times New Roman" w:eastAsia="Times New Roman" w:hint="default"/>
          <w:sz w:val="21"/>
          <w:szCs w:val="21"/>
        </w:rPr>
        <w:t>SRL</w:t>
      </w:r>
      <w:r>
        <w:rPr>
          <w:rFonts w:ascii="宋体" w:hAnsi="宋体" w:cs="宋体" w:eastAsia="宋体" w:hint="default"/>
          <w:sz w:val="21"/>
          <w:szCs w:val="21"/>
        </w:rPr>
        <w:t>）三家公司</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的股权，交易 对价分别为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350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万欧元，</w:t>
      </w:r>
      <w:r>
        <w:rPr>
          <w:rFonts w:ascii="Times New Roman" w:hAnsi="Times New Roman" w:cs="Times New Roman" w:eastAsia="Times New Roman" w:hint="default"/>
          <w:spacing w:val="-3"/>
          <w:sz w:val="21"/>
          <w:szCs w:val="21"/>
        </w:rPr>
        <w:t>430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万欧元和</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万欧元，合计</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万欧元，购买价高于应享有 的可辨认净资产公允价值之差额在编制合并财务报表时列报为商誉。交易双方同时约定， 如三家公司在</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以及</w:t>
      </w:r>
      <w:r>
        <w:rPr>
          <w:rFonts w:ascii="宋体" w:hAnsi="宋体" w:cs="宋体" w:eastAsia="宋体" w:hint="default"/>
          <w:spacing w:val="-50"/>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pacing w:val="-4"/>
          <w:sz w:val="21"/>
          <w:szCs w:val="21"/>
        </w:rPr>
        <w:t>年达到协议所规定的预期经营成果，东软欧洲将支付最多不</w:t>
      </w:r>
    </w:p>
    <w:p>
      <w:pPr>
        <w:spacing w:before="18"/>
        <w:ind w:left="875" w:right="95" w:firstLine="0"/>
        <w:jc w:val="left"/>
        <w:rPr>
          <w:rFonts w:ascii="宋体" w:hAnsi="宋体" w:cs="宋体" w:eastAsia="宋体" w:hint="default"/>
          <w:sz w:val="21"/>
          <w:szCs w:val="21"/>
        </w:rPr>
      </w:pPr>
      <w:r>
        <w:rPr>
          <w:rFonts w:ascii="宋体" w:hAnsi="宋体" w:cs="宋体" w:eastAsia="宋体" w:hint="default"/>
          <w:sz w:val="21"/>
          <w:szCs w:val="21"/>
        </w:rPr>
        <w:t>超过</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万欧元的追加对价。具体可参见本附注十、承诺事项。</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tbl>
      <w:tblPr>
        <w:tblW w:w="0" w:type="auto"/>
        <w:jc w:val="left"/>
        <w:tblInd w:w="108" w:type="dxa"/>
        <w:tblLayout w:type="fixed"/>
        <w:tblCellMar>
          <w:top w:w="0" w:type="dxa"/>
          <w:left w:w="0" w:type="dxa"/>
          <w:bottom w:w="0" w:type="dxa"/>
          <w:right w:w="0" w:type="dxa"/>
        </w:tblCellMar>
        <w:tblLook w:val="01E0"/>
      </w:tblPr>
      <w:tblGrid>
        <w:gridCol w:w="659"/>
        <w:gridCol w:w="2107"/>
        <w:gridCol w:w="1144"/>
        <w:gridCol w:w="1226"/>
        <w:gridCol w:w="1257"/>
        <w:gridCol w:w="1253"/>
        <w:gridCol w:w="1244"/>
      </w:tblGrid>
      <w:tr>
        <w:trPr>
          <w:trHeight w:val="351"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十八</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2107" w:type="dxa"/>
            <w:tcBorders>
              <w:top w:val="nil" w:sz="6" w:space="0" w:color="auto"/>
              <w:left w:val="nil" w:sz="6" w:space="0" w:color="auto"/>
              <w:bottom w:val="single" w:sz="8" w:space="0" w:color="000000"/>
              <w:right w:val="nil" w:sz="6" w:space="0" w:color="auto"/>
            </w:tcBorders>
          </w:tcPr>
          <w:p>
            <w:pPr>
              <w:pStyle w:val="TableParagraph"/>
              <w:spacing w:line="240" w:lineRule="auto" w:before="35"/>
              <w:ind w:left="104"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6124" w:type="dxa"/>
            <w:gridSpan w:val="5"/>
            <w:tcBorders>
              <w:top w:val="nil" w:sz="6" w:space="0" w:color="auto"/>
              <w:left w:val="nil" w:sz="6" w:space="0" w:color="auto"/>
              <w:bottom w:val="single" w:sz="8" w:space="0" w:color="000000"/>
              <w:right w:val="nil" w:sz="6" w:space="0" w:color="auto"/>
            </w:tcBorders>
          </w:tcPr>
          <w:p>
            <w:pPr/>
          </w:p>
        </w:tc>
      </w:tr>
      <w:tr>
        <w:trPr>
          <w:trHeight w:val="498" w:hRule="exact"/>
        </w:trPr>
        <w:tc>
          <w:tcPr>
            <w:tcW w:w="659" w:type="dxa"/>
            <w:tcBorders>
              <w:top w:val="nil" w:sz="6" w:space="0" w:color="auto"/>
              <w:left w:val="nil" w:sz="6" w:space="0" w:color="auto"/>
              <w:bottom w:val="nil" w:sz="6" w:space="0" w:color="auto"/>
              <w:right w:val="nil" w:sz="6" w:space="0" w:color="auto"/>
            </w:tcBorders>
          </w:tcPr>
          <w:p>
            <w:pPr/>
          </w:p>
        </w:tc>
        <w:tc>
          <w:tcPr>
            <w:tcW w:w="2107"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90"/>
                <w:sz w:val="18"/>
                <w:szCs w:val="18"/>
              </w:rPr>
              <w:t> </w:t>
            </w:r>
            <w:r>
              <w:rPr>
                <w:rFonts w:ascii="宋体" w:hAnsi="宋体" w:cs="宋体" w:eastAsia="宋体" w:hint="default"/>
                <w:sz w:val="18"/>
                <w:szCs w:val="18"/>
              </w:rPr>
              <w:t>目</w:t>
            </w:r>
          </w:p>
        </w:tc>
        <w:tc>
          <w:tcPr>
            <w:tcW w:w="1144"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left="200" w:right="0"/>
              <w:jc w:val="left"/>
              <w:rPr>
                <w:rFonts w:ascii="宋体" w:hAnsi="宋体" w:cs="宋体" w:eastAsia="宋体" w:hint="default"/>
                <w:sz w:val="18"/>
                <w:szCs w:val="18"/>
              </w:rPr>
            </w:pPr>
            <w:r>
              <w:rPr>
                <w:rFonts w:ascii="宋体" w:hAnsi="宋体" w:cs="宋体" w:eastAsia="宋体" w:hint="default"/>
                <w:sz w:val="18"/>
                <w:szCs w:val="18"/>
              </w:rPr>
              <w:t>期初金额</w:t>
            </w:r>
          </w:p>
        </w:tc>
        <w:tc>
          <w:tcPr>
            <w:tcW w:w="1226"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right="193"/>
              <w:jc w:val="right"/>
              <w:rPr>
                <w:rFonts w:ascii="宋体" w:hAnsi="宋体" w:cs="宋体" w:eastAsia="宋体" w:hint="default"/>
                <w:sz w:val="18"/>
                <w:szCs w:val="18"/>
              </w:rPr>
            </w:pPr>
            <w:r>
              <w:rPr>
                <w:rFonts w:ascii="宋体" w:hAnsi="宋体" w:cs="宋体" w:eastAsia="宋体" w:hint="default"/>
                <w:sz w:val="18"/>
                <w:szCs w:val="18"/>
              </w:rPr>
              <w:t>本期增加额</w:t>
            </w:r>
          </w:p>
        </w:tc>
        <w:tc>
          <w:tcPr>
            <w:tcW w:w="1257"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left="148" w:right="0"/>
              <w:jc w:val="left"/>
              <w:rPr>
                <w:rFonts w:ascii="宋体" w:hAnsi="宋体" w:cs="宋体" w:eastAsia="宋体" w:hint="default"/>
                <w:sz w:val="18"/>
                <w:szCs w:val="18"/>
              </w:rPr>
            </w:pPr>
            <w:r>
              <w:rPr>
                <w:rFonts w:ascii="宋体" w:hAnsi="宋体" w:cs="宋体" w:eastAsia="宋体" w:hint="default"/>
                <w:sz w:val="18"/>
                <w:szCs w:val="18"/>
              </w:rPr>
              <w:t>本期摊销额</w:t>
            </w:r>
          </w:p>
        </w:tc>
        <w:tc>
          <w:tcPr>
            <w:tcW w:w="1253"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left="127" w:right="0"/>
              <w:jc w:val="left"/>
              <w:rPr>
                <w:rFonts w:ascii="宋体" w:hAnsi="宋体" w:cs="宋体" w:eastAsia="宋体" w:hint="default"/>
                <w:sz w:val="18"/>
                <w:szCs w:val="18"/>
              </w:rPr>
            </w:pPr>
            <w:r>
              <w:rPr>
                <w:rFonts w:ascii="宋体" w:hAnsi="宋体" w:cs="宋体" w:eastAsia="宋体" w:hint="default"/>
                <w:sz w:val="18"/>
                <w:szCs w:val="18"/>
              </w:rPr>
              <w:t>其他减少额</w:t>
            </w:r>
          </w:p>
        </w:tc>
        <w:tc>
          <w:tcPr>
            <w:tcW w:w="1244"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left="225" w:right="0"/>
              <w:jc w:val="left"/>
              <w:rPr>
                <w:rFonts w:ascii="宋体" w:hAnsi="宋体" w:cs="宋体" w:eastAsia="宋体" w:hint="default"/>
                <w:sz w:val="18"/>
                <w:szCs w:val="18"/>
              </w:rPr>
            </w:pPr>
            <w:r>
              <w:rPr>
                <w:rFonts w:ascii="宋体" w:hAnsi="宋体" w:cs="宋体" w:eastAsia="宋体" w:hint="default"/>
                <w:sz w:val="18"/>
                <w:szCs w:val="18"/>
              </w:rPr>
              <w:t>期末金额</w:t>
            </w:r>
          </w:p>
        </w:tc>
      </w:tr>
      <w:tr>
        <w:trPr>
          <w:trHeight w:val="420" w:hRule="exact"/>
        </w:trPr>
        <w:tc>
          <w:tcPr>
            <w:tcW w:w="659" w:type="dxa"/>
            <w:tcBorders>
              <w:top w:val="nil" w:sz="6" w:space="0" w:color="auto"/>
              <w:left w:val="nil" w:sz="6" w:space="0" w:color="auto"/>
              <w:bottom w:val="nil" w:sz="6" w:space="0" w:color="auto"/>
              <w:right w:val="nil" w:sz="6" w:space="0" w:color="auto"/>
            </w:tcBorders>
          </w:tcPr>
          <w:p>
            <w:pPr/>
          </w:p>
        </w:tc>
        <w:tc>
          <w:tcPr>
            <w:tcW w:w="2107"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6"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28"/>
              <w:jc w:val="right"/>
              <w:rPr>
                <w:rFonts w:ascii="Times New Roman" w:hAnsi="Times New Roman" w:cs="Times New Roman" w:eastAsia="Times New Roman" w:hint="default"/>
                <w:sz w:val="18"/>
                <w:szCs w:val="18"/>
              </w:rPr>
            </w:pPr>
            <w:r>
              <w:rPr>
                <w:rFonts w:ascii="Times New Roman"/>
                <w:spacing w:val="-1"/>
                <w:sz w:val="18"/>
              </w:rPr>
              <w:t>29,118,258</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46"/>
              <w:jc w:val="right"/>
              <w:rPr>
                <w:rFonts w:ascii="Times New Roman" w:hAnsi="Times New Roman" w:cs="Times New Roman" w:eastAsia="Times New Roman" w:hint="default"/>
                <w:sz w:val="18"/>
                <w:szCs w:val="18"/>
              </w:rPr>
            </w:pPr>
            <w:r>
              <w:rPr>
                <w:rFonts w:ascii="Times New Roman"/>
                <w:sz w:val="18"/>
              </w:rPr>
              <w:t>7,677,491</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25"/>
              <w:jc w:val="right"/>
              <w:rPr>
                <w:rFonts w:ascii="Times New Roman" w:hAnsi="Times New Roman" w:cs="Times New Roman" w:eastAsia="Times New Roman" w:hint="default"/>
                <w:sz w:val="18"/>
                <w:szCs w:val="18"/>
              </w:rPr>
            </w:pPr>
            <w:r>
              <w:rPr>
                <w:rFonts w:ascii="Times New Roman"/>
                <w:sz w:val="18"/>
              </w:rPr>
              <w:t>4,760,755</w:t>
            </w:r>
          </w:p>
        </w:tc>
        <w:tc>
          <w:tcPr>
            <w:tcW w:w="1253"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0"/>
              <w:jc w:val="right"/>
              <w:rPr>
                <w:rFonts w:ascii="Times New Roman" w:hAnsi="Times New Roman" w:cs="Times New Roman" w:eastAsia="Times New Roman" w:hint="default"/>
                <w:sz w:val="18"/>
                <w:szCs w:val="18"/>
              </w:rPr>
            </w:pPr>
            <w:r>
              <w:rPr>
                <w:rFonts w:ascii="Times New Roman"/>
                <w:sz w:val="18"/>
              </w:rPr>
              <w:t>32,034,994</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21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6" w:right="0"/>
              <w:jc w:val="left"/>
              <w:rPr>
                <w:rFonts w:ascii="宋体" w:hAnsi="宋体" w:cs="宋体" w:eastAsia="宋体" w:hint="default"/>
                <w:sz w:val="18"/>
                <w:szCs w:val="18"/>
              </w:rPr>
            </w:pPr>
            <w:r>
              <w:rPr>
                <w:rFonts w:ascii="宋体" w:hAnsi="宋体" w:cs="宋体" w:eastAsia="宋体" w:hint="default"/>
                <w:sz w:val="18"/>
                <w:szCs w:val="18"/>
              </w:rPr>
              <w:t>经营租入固定资产改良</w:t>
            </w: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0"/>
              <w:jc w:val="right"/>
              <w:rPr>
                <w:rFonts w:ascii="Times New Roman" w:hAnsi="Times New Roman" w:cs="Times New Roman" w:eastAsia="Times New Roman" w:hint="default"/>
                <w:sz w:val="18"/>
                <w:szCs w:val="18"/>
              </w:rPr>
            </w:pPr>
            <w:r>
              <w:rPr>
                <w:rFonts w:ascii="Times New Roman"/>
                <w:sz w:val="18"/>
              </w:rPr>
              <w:t>3,996,683</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7"/>
              <w:jc w:val="right"/>
              <w:rPr>
                <w:rFonts w:ascii="Times New Roman" w:hAnsi="Times New Roman" w:cs="Times New Roman" w:eastAsia="Times New Roman" w:hint="default"/>
                <w:sz w:val="18"/>
                <w:szCs w:val="18"/>
              </w:rPr>
            </w:pPr>
            <w:r>
              <w:rPr>
                <w:rFonts w:ascii="Times New Roman"/>
                <w:sz w:val="18"/>
              </w:rPr>
              <w:t>1,166,244</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1,222,514</w:t>
            </w:r>
          </w:p>
        </w:tc>
        <w:tc>
          <w:tcPr>
            <w:tcW w:w="1253"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0"/>
              <w:jc w:val="right"/>
              <w:rPr>
                <w:rFonts w:ascii="Times New Roman" w:hAnsi="Times New Roman" w:cs="Times New Roman" w:eastAsia="Times New Roman" w:hint="default"/>
                <w:sz w:val="18"/>
                <w:szCs w:val="18"/>
              </w:rPr>
            </w:pPr>
            <w:r>
              <w:rPr>
                <w:rFonts w:ascii="Times New Roman"/>
                <w:sz w:val="18"/>
              </w:rPr>
              <w:t>3,940,413</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21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6" w:right="0"/>
              <w:jc w:val="left"/>
              <w:rPr>
                <w:rFonts w:ascii="宋体" w:hAnsi="宋体" w:cs="宋体" w:eastAsia="宋体" w:hint="default"/>
                <w:sz w:val="18"/>
                <w:szCs w:val="18"/>
              </w:rPr>
            </w:pPr>
            <w:r>
              <w:rPr>
                <w:rFonts w:ascii="宋体" w:hAnsi="宋体" w:cs="宋体" w:eastAsia="宋体" w:hint="default"/>
                <w:sz w:val="18"/>
                <w:szCs w:val="18"/>
              </w:rPr>
              <w:t>景观绿化费</w:t>
            </w: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0"/>
              <w:jc w:val="right"/>
              <w:rPr>
                <w:rFonts w:ascii="Times New Roman" w:hAnsi="Times New Roman" w:cs="Times New Roman" w:eastAsia="Times New Roman" w:hint="default"/>
                <w:sz w:val="18"/>
                <w:szCs w:val="18"/>
              </w:rPr>
            </w:pPr>
            <w:r>
              <w:rPr>
                <w:rFonts w:ascii="Times New Roman"/>
                <w:sz w:val="18"/>
              </w:rPr>
              <w:t>8,306,815</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7"/>
              <w:jc w:val="right"/>
              <w:rPr>
                <w:rFonts w:ascii="Times New Roman" w:hAnsi="Times New Roman" w:cs="Times New Roman" w:eastAsia="Times New Roman" w:hint="default"/>
                <w:sz w:val="18"/>
                <w:szCs w:val="18"/>
              </w:rPr>
            </w:pPr>
            <w:r>
              <w:rPr>
                <w:rFonts w:ascii="Times New Roman"/>
                <w:sz w:val="18"/>
              </w:rPr>
              <w:t>3,862,017</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2,479,927</w:t>
            </w:r>
          </w:p>
        </w:tc>
        <w:tc>
          <w:tcPr>
            <w:tcW w:w="1253"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0"/>
              <w:jc w:val="right"/>
              <w:rPr>
                <w:rFonts w:ascii="Times New Roman" w:hAnsi="Times New Roman" w:cs="Times New Roman" w:eastAsia="Times New Roman" w:hint="default"/>
                <w:sz w:val="18"/>
                <w:szCs w:val="18"/>
              </w:rPr>
            </w:pPr>
            <w:r>
              <w:rPr>
                <w:rFonts w:ascii="Times New Roman"/>
                <w:sz w:val="18"/>
              </w:rPr>
              <w:t>9,688,905</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210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其  他</w:t>
            </w: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0"/>
              <w:jc w:val="right"/>
              <w:rPr>
                <w:rFonts w:ascii="Times New Roman" w:hAnsi="Times New Roman" w:cs="Times New Roman" w:eastAsia="Times New Roman" w:hint="default"/>
                <w:sz w:val="18"/>
                <w:szCs w:val="18"/>
              </w:rPr>
            </w:pPr>
            <w:r>
              <w:rPr>
                <w:rFonts w:ascii="Times New Roman"/>
                <w:sz w:val="18"/>
              </w:rPr>
              <w:t>4,563,929</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7"/>
              <w:jc w:val="right"/>
              <w:rPr>
                <w:rFonts w:ascii="Times New Roman" w:hAnsi="Times New Roman" w:cs="Times New Roman" w:eastAsia="Times New Roman" w:hint="default"/>
                <w:sz w:val="18"/>
                <w:szCs w:val="18"/>
              </w:rPr>
            </w:pPr>
            <w:r>
              <w:rPr>
                <w:rFonts w:ascii="Times New Roman"/>
                <w:sz w:val="18"/>
              </w:rPr>
              <w:t>2,080,791</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1,307,577</w:t>
            </w:r>
          </w:p>
        </w:tc>
        <w:tc>
          <w:tcPr>
            <w:tcW w:w="1253"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0"/>
              <w:jc w:val="right"/>
              <w:rPr>
                <w:rFonts w:ascii="Times New Roman" w:hAnsi="Times New Roman" w:cs="Times New Roman" w:eastAsia="Times New Roman" w:hint="default"/>
                <w:sz w:val="18"/>
                <w:szCs w:val="18"/>
              </w:rPr>
            </w:pPr>
            <w:r>
              <w:rPr>
                <w:rFonts w:ascii="Times New Roman"/>
                <w:sz w:val="18"/>
              </w:rPr>
              <w:t>5,337,143</w:t>
            </w:r>
          </w:p>
        </w:tc>
      </w:tr>
      <w:tr>
        <w:trPr>
          <w:trHeight w:val="324" w:hRule="exact"/>
        </w:trPr>
        <w:tc>
          <w:tcPr>
            <w:tcW w:w="659" w:type="dxa"/>
            <w:tcBorders>
              <w:top w:val="nil" w:sz="6" w:space="0" w:color="auto"/>
              <w:left w:val="nil" w:sz="6" w:space="0" w:color="auto"/>
              <w:bottom w:val="nil" w:sz="6" w:space="0" w:color="auto"/>
              <w:right w:val="nil" w:sz="6" w:space="0" w:color="auto"/>
            </w:tcBorders>
          </w:tcPr>
          <w:p>
            <w:pPr/>
          </w:p>
        </w:tc>
        <w:tc>
          <w:tcPr>
            <w:tcW w:w="2107" w:type="dxa"/>
            <w:tcBorders>
              <w:top w:val="nil" w:sz="6" w:space="0" w:color="auto"/>
              <w:left w:val="nil" w:sz="6" w:space="0" w:color="auto"/>
              <w:bottom w:val="single" w:sz="8" w:space="0" w:color="000000"/>
              <w:right w:val="nil" w:sz="6" w:space="0" w:color="auto"/>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90"/>
                <w:sz w:val="18"/>
                <w:szCs w:val="18"/>
              </w:rPr>
              <w:t> </w:t>
            </w:r>
            <w:r>
              <w:rPr>
                <w:rFonts w:ascii="宋体" w:hAnsi="宋体" w:cs="宋体" w:eastAsia="宋体" w:hint="default"/>
                <w:sz w:val="18"/>
                <w:szCs w:val="18"/>
              </w:rPr>
              <w:t>计</w:t>
            </w:r>
          </w:p>
        </w:tc>
        <w:tc>
          <w:tcPr>
            <w:tcW w:w="1144"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45,985,685</w:t>
            </w:r>
          </w:p>
        </w:tc>
        <w:tc>
          <w:tcPr>
            <w:tcW w:w="1226"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46"/>
              <w:jc w:val="right"/>
              <w:rPr>
                <w:rFonts w:ascii="Times New Roman" w:hAnsi="Times New Roman" w:cs="Times New Roman" w:eastAsia="Times New Roman" w:hint="default"/>
                <w:sz w:val="18"/>
                <w:szCs w:val="18"/>
              </w:rPr>
            </w:pPr>
            <w:r>
              <w:rPr>
                <w:rFonts w:ascii="Times New Roman"/>
                <w:sz w:val="18"/>
              </w:rPr>
              <w:t>14,786,543</w:t>
            </w:r>
          </w:p>
        </w:tc>
        <w:tc>
          <w:tcPr>
            <w:tcW w:w="1257"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9,770,773</w:t>
            </w:r>
          </w:p>
        </w:tc>
        <w:tc>
          <w:tcPr>
            <w:tcW w:w="1253" w:type="dxa"/>
            <w:tcBorders>
              <w:top w:val="nil" w:sz="6" w:space="0" w:color="auto"/>
              <w:left w:val="nil" w:sz="6" w:space="0" w:color="auto"/>
              <w:bottom w:val="single" w:sz="8" w:space="0" w:color="000000"/>
              <w:right w:val="nil" w:sz="6" w:space="0" w:color="auto"/>
            </w:tcBorders>
          </w:tcPr>
          <w:p>
            <w:pPr/>
          </w:p>
        </w:tc>
        <w:tc>
          <w:tcPr>
            <w:tcW w:w="1244"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00"/>
              <w:jc w:val="right"/>
              <w:rPr>
                <w:rFonts w:ascii="Times New Roman" w:hAnsi="Times New Roman" w:cs="Times New Roman" w:eastAsia="Times New Roman" w:hint="default"/>
                <w:sz w:val="18"/>
                <w:szCs w:val="18"/>
              </w:rPr>
            </w:pPr>
            <w:r>
              <w:rPr>
                <w:rFonts w:ascii="Times New Roman"/>
                <w:sz w:val="18"/>
              </w:rPr>
              <w:t>51,001,455</w:t>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spacing w:line="328" w:lineRule="auto" w:before="35"/>
        <w:ind w:left="875" w:right="95" w:hanging="732"/>
        <w:jc w:val="left"/>
        <w:rPr>
          <w:rFonts w:ascii="宋体" w:hAnsi="宋体" w:cs="宋体" w:eastAsia="宋体" w:hint="default"/>
          <w:sz w:val="21"/>
          <w:szCs w:val="21"/>
        </w:rPr>
      </w:pPr>
      <w:r>
        <w:rPr/>
        <w:pict>
          <v:shape style="position:absolute;margin-left:120.360001pt;margin-top:-146.486328pt;width:411.660024pt;height:122.58pt;mso-position-horizontal-relative:page;mso-position-vertical-relative:paragraph;z-index:-987016" type="#_x0000_t75" stroked="false">
            <v:imagedata r:id="rId88" o:title=""/>
          </v:shape>
        </w:pict>
      </w:r>
      <w:r>
        <w:rPr/>
        <w:pict>
          <v:shape style="position:absolute;margin-left:120.360001pt;margin-top:78.033661pt;width:410.280016pt;height:266.1pt;mso-position-horizontal-relative:page;mso-position-vertical-relative:paragraph;z-index:-986992" type="#_x0000_t75" stroked="false">
            <v:imagedata r:id="rId89" o:title=""/>
          </v:shape>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十九</w:t>
      </w:r>
      <w:r>
        <w:rPr>
          <w:rFonts w:ascii="Times New Roman" w:hAnsi="Times New Roman" w:cs="Times New Roman" w:eastAsia="Times New Roman" w:hint="default"/>
          <w:b/>
          <w:bCs/>
          <w:sz w:val="21"/>
          <w:szCs w:val="21"/>
        </w:rPr>
        <w:t>) </w:t>
      </w:r>
      <w:r>
        <w:rPr>
          <w:rFonts w:ascii="宋体" w:hAnsi="宋体" w:cs="宋体" w:eastAsia="宋体" w:hint="default"/>
          <w:sz w:val="21"/>
          <w:szCs w:val="21"/>
        </w:rPr>
        <w:t>递延所得税资产和递延所得税负债</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递延所得税资产和递延所得税负债不以抵销后的净额列示</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1"/>
          <w:szCs w:val="11"/>
        </w:rPr>
      </w:pPr>
    </w:p>
    <w:tbl>
      <w:tblPr>
        <w:tblW w:w="0" w:type="auto"/>
        <w:jc w:val="left"/>
        <w:tblInd w:w="767" w:type="dxa"/>
        <w:tblLayout w:type="fixed"/>
        <w:tblCellMar>
          <w:top w:w="0" w:type="dxa"/>
          <w:left w:w="0" w:type="dxa"/>
          <w:bottom w:w="0" w:type="dxa"/>
          <w:right w:w="0" w:type="dxa"/>
        </w:tblCellMar>
        <w:tblLook w:val="01E0"/>
      </w:tblPr>
      <w:tblGrid>
        <w:gridCol w:w="5008"/>
        <w:gridCol w:w="1714"/>
        <w:gridCol w:w="1479"/>
      </w:tblGrid>
      <w:tr>
        <w:trPr>
          <w:trHeight w:val="351" w:hRule="exact"/>
        </w:trPr>
        <w:tc>
          <w:tcPr>
            <w:tcW w:w="5008" w:type="dxa"/>
            <w:tcBorders>
              <w:top w:val="nil" w:sz="6" w:space="0" w:color="auto"/>
              <w:left w:val="nil" w:sz="6" w:space="0" w:color="auto"/>
              <w:bottom w:val="single" w:sz="8" w:space="0" w:color="000000"/>
              <w:right w:val="nil" w:sz="6" w:space="0" w:color="auto"/>
            </w:tcBorders>
          </w:tcPr>
          <w:p>
            <w:pPr>
              <w:pStyle w:val="TableParagraph"/>
              <w:tabs>
                <w:tab w:pos="646" w:val="left" w:leader="none"/>
              </w:tabs>
              <w:spacing w:line="240" w:lineRule="auto" w:before="35"/>
              <w:ind w:left="107"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已确认的递延所得税资产和递延所得税负债</w:t>
            </w:r>
          </w:p>
        </w:tc>
        <w:tc>
          <w:tcPr>
            <w:tcW w:w="3193" w:type="dxa"/>
            <w:gridSpan w:val="2"/>
            <w:tcBorders>
              <w:top w:val="nil" w:sz="6" w:space="0" w:color="auto"/>
              <w:left w:val="nil" w:sz="6" w:space="0" w:color="auto"/>
              <w:bottom w:val="single" w:sz="8" w:space="0" w:color="000000"/>
              <w:right w:val="nil" w:sz="6" w:space="0" w:color="auto"/>
            </w:tcBorders>
          </w:tcPr>
          <w:p>
            <w:pPr/>
          </w:p>
        </w:tc>
      </w:tr>
      <w:tr>
        <w:trPr>
          <w:trHeight w:val="478" w:hRule="exact"/>
        </w:trPr>
        <w:tc>
          <w:tcPr>
            <w:tcW w:w="5008" w:type="dxa"/>
            <w:tcBorders>
              <w:top w:val="single" w:sz="8" w:space="0" w:color="000000"/>
              <w:left w:val="nil" w:sz="6" w:space="0" w:color="auto"/>
              <w:bottom w:val="nil" w:sz="6" w:space="0" w:color="auto"/>
              <w:right w:val="nil" w:sz="6" w:space="0" w:color="auto"/>
            </w:tcBorders>
          </w:tcPr>
          <w:p>
            <w:pPr>
              <w:pStyle w:val="TableParagraph"/>
              <w:spacing w:line="240" w:lineRule="auto" w:before="94"/>
              <w:ind w:right="143"/>
              <w:jc w:val="center"/>
              <w:rPr>
                <w:rFonts w:ascii="宋体" w:hAnsi="宋体" w:cs="宋体" w:eastAsia="宋体" w:hint="default"/>
                <w:sz w:val="21"/>
                <w:szCs w:val="21"/>
              </w:rPr>
            </w:pPr>
            <w:r>
              <w:rPr>
                <w:rFonts w:ascii="宋体" w:hAnsi="宋体" w:cs="宋体" w:eastAsia="宋体" w:hint="default"/>
                <w:sz w:val="21"/>
                <w:szCs w:val="21"/>
              </w:rPr>
              <w:t>项    目</w:t>
            </w:r>
          </w:p>
        </w:tc>
        <w:tc>
          <w:tcPr>
            <w:tcW w:w="1714" w:type="dxa"/>
            <w:tcBorders>
              <w:top w:val="single" w:sz="8" w:space="0" w:color="000000"/>
              <w:left w:val="nil" w:sz="6" w:space="0" w:color="auto"/>
              <w:bottom w:val="nil" w:sz="6" w:space="0" w:color="auto"/>
              <w:right w:val="nil" w:sz="6" w:space="0" w:color="auto"/>
            </w:tcBorders>
          </w:tcPr>
          <w:p>
            <w:pPr>
              <w:pStyle w:val="TableParagraph"/>
              <w:spacing w:line="240" w:lineRule="auto" w:before="94"/>
              <w:ind w:left="355" w:right="0"/>
              <w:jc w:val="left"/>
              <w:rPr>
                <w:rFonts w:ascii="宋体" w:hAnsi="宋体" w:cs="宋体" w:eastAsia="宋体" w:hint="default"/>
                <w:sz w:val="21"/>
                <w:szCs w:val="21"/>
              </w:rPr>
            </w:pPr>
            <w:r>
              <w:rPr>
                <w:rFonts w:ascii="宋体" w:hAnsi="宋体" w:cs="宋体" w:eastAsia="宋体" w:hint="default"/>
                <w:sz w:val="21"/>
                <w:szCs w:val="21"/>
              </w:rPr>
              <w:t>期末数</w:t>
            </w:r>
          </w:p>
        </w:tc>
        <w:tc>
          <w:tcPr>
            <w:tcW w:w="1479" w:type="dxa"/>
            <w:tcBorders>
              <w:top w:val="single" w:sz="8" w:space="0" w:color="000000"/>
              <w:left w:val="nil" w:sz="6" w:space="0" w:color="auto"/>
              <w:bottom w:val="nil" w:sz="6" w:space="0" w:color="auto"/>
              <w:right w:val="nil" w:sz="6" w:space="0" w:color="auto"/>
            </w:tcBorders>
          </w:tcPr>
          <w:p>
            <w:pPr>
              <w:pStyle w:val="TableParagraph"/>
              <w:spacing w:line="240" w:lineRule="auto" w:before="94"/>
              <w:ind w:left="311" w:right="0"/>
              <w:jc w:val="left"/>
              <w:rPr>
                <w:rFonts w:ascii="宋体" w:hAnsi="宋体" w:cs="宋体" w:eastAsia="宋体" w:hint="default"/>
                <w:sz w:val="21"/>
                <w:szCs w:val="21"/>
              </w:rPr>
            </w:pPr>
            <w:r>
              <w:rPr>
                <w:rFonts w:ascii="宋体" w:hAnsi="宋体" w:cs="宋体" w:eastAsia="宋体" w:hint="default"/>
                <w:sz w:val="21"/>
                <w:szCs w:val="21"/>
              </w:rPr>
              <w:t>期初数</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06"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714" w:type="dxa"/>
            <w:tcBorders>
              <w:top w:val="nil" w:sz="6" w:space="0" w:color="auto"/>
              <w:left w:val="nil" w:sz="6" w:space="0" w:color="auto"/>
              <w:bottom w:val="nil" w:sz="6" w:space="0" w:color="auto"/>
              <w:right w:val="nil" w:sz="6" w:space="0" w:color="auto"/>
            </w:tcBorders>
          </w:tcPr>
          <w:p>
            <w:pPr/>
          </w:p>
        </w:tc>
        <w:tc>
          <w:tcPr>
            <w:tcW w:w="1479" w:type="dxa"/>
            <w:tcBorders>
              <w:top w:val="nil" w:sz="6" w:space="0" w:color="auto"/>
              <w:left w:val="nil" w:sz="6" w:space="0" w:color="auto"/>
              <w:bottom w:val="nil" w:sz="6" w:space="0" w:color="auto"/>
              <w:right w:val="nil" w:sz="6" w:space="0" w:color="auto"/>
            </w:tcBorders>
          </w:tcPr>
          <w:p>
            <w:pPr/>
          </w:p>
        </w:tc>
      </w:tr>
      <w:tr>
        <w:trPr>
          <w:trHeight w:val="423"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6" w:right="0"/>
              <w:jc w:val="left"/>
              <w:rPr>
                <w:rFonts w:ascii="宋体" w:hAnsi="宋体" w:cs="宋体" w:eastAsia="宋体" w:hint="default"/>
                <w:sz w:val="21"/>
                <w:szCs w:val="21"/>
              </w:rPr>
            </w:pPr>
            <w:r>
              <w:rPr>
                <w:rFonts w:ascii="宋体" w:hAnsi="宋体" w:cs="宋体" w:eastAsia="宋体" w:hint="default"/>
                <w:sz w:val="21"/>
                <w:szCs w:val="21"/>
              </w:rPr>
              <w:t>长期资产减值</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310"/>
              <w:jc w:val="right"/>
              <w:rPr>
                <w:rFonts w:ascii="Times New Roman" w:hAnsi="Times New Roman" w:cs="Times New Roman" w:eastAsia="Times New Roman" w:hint="default"/>
                <w:sz w:val="21"/>
                <w:szCs w:val="21"/>
              </w:rPr>
            </w:pPr>
            <w:r>
              <w:rPr>
                <w:rFonts w:ascii="Times New Roman"/>
                <w:spacing w:val="-1"/>
                <w:sz w:val="21"/>
              </w:rPr>
              <w:t>638,725</w:t>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9"/>
              <w:jc w:val="right"/>
              <w:rPr>
                <w:rFonts w:ascii="Times New Roman" w:hAnsi="Times New Roman" w:cs="Times New Roman" w:eastAsia="Times New Roman" w:hint="default"/>
                <w:sz w:val="21"/>
                <w:szCs w:val="21"/>
              </w:rPr>
            </w:pPr>
            <w:r>
              <w:rPr>
                <w:rFonts w:ascii="Times New Roman"/>
                <w:spacing w:val="-1"/>
                <w:sz w:val="21"/>
              </w:rPr>
              <w:t>595,351</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超过税法标准计提的减值准备</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10"/>
              <w:jc w:val="right"/>
              <w:rPr>
                <w:rFonts w:ascii="Times New Roman" w:hAnsi="Times New Roman" w:cs="Times New Roman" w:eastAsia="Times New Roman" w:hint="default"/>
                <w:sz w:val="21"/>
                <w:szCs w:val="21"/>
              </w:rPr>
            </w:pPr>
            <w:r>
              <w:rPr>
                <w:rFonts w:ascii="Times New Roman"/>
                <w:spacing w:val="-1"/>
                <w:sz w:val="21"/>
              </w:rPr>
              <w:t>5,979,693</w:t>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99"/>
              <w:jc w:val="right"/>
              <w:rPr>
                <w:rFonts w:ascii="Times New Roman" w:hAnsi="Times New Roman" w:cs="Times New Roman" w:eastAsia="Times New Roman" w:hint="default"/>
                <w:sz w:val="21"/>
                <w:szCs w:val="21"/>
              </w:rPr>
            </w:pPr>
            <w:r>
              <w:rPr>
                <w:rFonts w:ascii="Times New Roman"/>
                <w:spacing w:val="-1"/>
                <w:sz w:val="21"/>
              </w:rPr>
              <w:t>3,388,581</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10"/>
              <w:jc w:val="right"/>
              <w:rPr>
                <w:rFonts w:ascii="Times New Roman" w:hAnsi="Times New Roman" w:cs="Times New Roman" w:eastAsia="Times New Roman" w:hint="default"/>
                <w:sz w:val="21"/>
                <w:szCs w:val="21"/>
              </w:rPr>
            </w:pPr>
            <w:r>
              <w:rPr>
                <w:rFonts w:ascii="Times New Roman"/>
                <w:spacing w:val="-1"/>
                <w:sz w:val="21"/>
              </w:rPr>
              <w:t>1,378,190</w:t>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9"/>
              <w:jc w:val="right"/>
              <w:rPr>
                <w:rFonts w:ascii="Times New Roman" w:hAnsi="Times New Roman" w:cs="Times New Roman" w:eastAsia="Times New Roman" w:hint="default"/>
                <w:sz w:val="21"/>
                <w:szCs w:val="21"/>
              </w:rPr>
            </w:pPr>
            <w:r>
              <w:rPr>
                <w:rFonts w:ascii="Times New Roman"/>
                <w:spacing w:val="-1"/>
                <w:sz w:val="21"/>
              </w:rPr>
              <w:t>1,231,996</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资产公允价值变动</w:t>
            </w:r>
          </w:p>
        </w:tc>
        <w:tc>
          <w:tcPr>
            <w:tcW w:w="1714" w:type="dxa"/>
            <w:tcBorders>
              <w:top w:val="nil" w:sz="6" w:space="0" w:color="auto"/>
              <w:left w:val="nil" w:sz="6" w:space="0" w:color="auto"/>
              <w:bottom w:val="nil" w:sz="6" w:space="0" w:color="auto"/>
              <w:right w:val="nil" w:sz="6" w:space="0" w:color="auto"/>
            </w:tcBorders>
          </w:tcPr>
          <w:p>
            <w:pP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9"/>
              <w:jc w:val="right"/>
              <w:rPr>
                <w:rFonts w:ascii="Times New Roman" w:hAnsi="Times New Roman" w:cs="Times New Roman" w:eastAsia="Times New Roman" w:hint="default"/>
                <w:sz w:val="21"/>
                <w:szCs w:val="21"/>
              </w:rPr>
            </w:pPr>
            <w:r>
              <w:rPr>
                <w:rFonts w:ascii="Times New Roman"/>
                <w:spacing w:val="-1"/>
                <w:sz w:val="21"/>
              </w:rPr>
              <w:t>876,014</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开办费摊销</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10"/>
              <w:jc w:val="right"/>
              <w:rPr>
                <w:rFonts w:ascii="Times New Roman" w:hAnsi="Times New Roman" w:cs="Times New Roman" w:eastAsia="Times New Roman" w:hint="default"/>
                <w:sz w:val="21"/>
                <w:szCs w:val="21"/>
              </w:rPr>
            </w:pPr>
            <w:r>
              <w:rPr>
                <w:rFonts w:ascii="Times New Roman"/>
                <w:spacing w:val="-1"/>
                <w:sz w:val="21"/>
              </w:rPr>
              <w:t>9,377</w:t>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97"/>
              <w:jc w:val="right"/>
              <w:rPr>
                <w:rFonts w:ascii="Times New Roman" w:hAnsi="Times New Roman" w:cs="Times New Roman" w:eastAsia="Times New Roman" w:hint="default"/>
                <w:sz w:val="21"/>
                <w:szCs w:val="21"/>
              </w:rPr>
            </w:pPr>
            <w:r>
              <w:rPr>
                <w:rFonts w:ascii="Times New Roman"/>
                <w:spacing w:val="-1"/>
                <w:sz w:val="21"/>
              </w:rPr>
              <w:t>12,495</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预提费用</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10"/>
              <w:jc w:val="right"/>
              <w:rPr>
                <w:rFonts w:ascii="Times New Roman" w:hAnsi="Times New Roman" w:cs="Times New Roman" w:eastAsia="Times New Roman" w:hint="default"/>
                <w:sz w:val="21"/>
                <w:szCs w:val="21"/>
              </w:rPr>
            </w:pPr>
            <w:r>
              <w:rPr>
                <w:rFonts w:ascii="Times New Roman"/>
                <w:spacing w:val="-1"/>
                <w:sz w:val="21"/>
              </w:rPr>
              <w:t>12,204,425</w:t>
            </w:r>
            <w:r>
              <w:rPr>
                <w:rFonts w:ascii="Times New Roman"/>
                <w:sz w:val="21"/>
              </w:rPr>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8"/>
              <w:jc w:val="right"/>
              <w:rPr>
                <w:rFonts w:ascii="Times New Roman" w:hAnsi="Times New Roman" w:cs="Times New Roman" w:eastAsia="Times New Roman" w:hint="default"/>
                <w:sz w:val="21"/>
                <w:szCs w:val="21"/>
              </w:rPr>
            </w:pPr>
            <w:r>
              <w:rPr>
                <w:rFonts w:ascii="Times New Roman"/>
                <w:spacing w:val="-1"/>
                <w:sz w:val="21"/>
              </w:rPr>
              <w:t>12,673,030</w:t>
            </w:r>
            <w:r>
              <w:rPr>
                <w:rFonts w:ascii="Times New Roman"/>
                <w:sz w:val="21"/>
              </w:rPr>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存货跌价准备</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10"/>
              <w:jc w:val="right"/>
              <w:rPr>
                <w:rFonts w:ascii="Times New Roman" w:hAnsi="Times New Roman" w:cs="Times New Roman" w:eastAsia="Times New Roman" w:hint="default"/>
                <w:sz w:val="21"/>
                <w:szCs w:val="21"/>
              </w:rPr>
            </w:pPr>
            <w:r>
              <w:rPr>
                <w:rFonts w:ascii="Times New Roman"/>
                <w:spacing w:val="-1"/>
                <w:sz w:val="21"/>
              </w:rPr>
              <w:t>1,641,982</w:t>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9"/>
              <w:jc w:val="right"/>
              <w:rPr>
                <w:rFonts w:ascii="Times New Roman" w:hAnsi="Times New Roman" w:cs="Times New Roman" w:eastAsia="Times New Roman" w:hint="default"/>
                <w:sz w:val="21"/>
                <w:szCs w:val="21"/>
              </w:rPr>
            </w:pPr>
            <w:r>
              <w:rPr>
                <w:rFonts w:ascii="Times New Roman"/>
                <w:spacing w:val="-1"/>
                <w:sz w:val="21"/>
              </w:rPr>
              <w:t>1,610,923</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固定资产折旧及其他资产摊销</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09"/>
              <w:jc w:val="right"/>
              <w:rPr>
                <w:rFonts w:ascii="Times New Roman" w:hAnsi="Times New Roman" w:cs="Times New Roman" w:eastAsia="Times New Roman" w:hint="default"/>
                <w:sz w:val="21"/>
                <w:szCs w:val="21"/>
              </w:rPr>
            </w:pPr>
            <w:r>
              <w:rPr>
                <w:rFonts w:ascii="Times New Roman"/>
                <w:spacing w:val="-1"/>
                <w:sz w:val="21"/>
              </w:rPr>
              <w:t>24,983</w:t>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98"/>
              <w:jc w:val="right"/>
              <w:rPr>
                <w:rFonts w:ascii="Times New Roman" w:hAnsi="Times New Roman" w:cs="Times New Roman" w:eastAsia="Times New Roman" w:hint="default"/>
                <w:sz w:val="21"/>
                <w:szCs w:val="21"/>
              </w:rPr>
            </w:pPr>
            <w:r>
              <w:rPr>
                <w:rFonts w:ascii="Times New Roman"/>
                <w:spacing w:val="-1"/>
                <w:sz w:val="21"/>
              </w:rPr>
              <w:t>70,977</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10"/>
              <w:jc w:val="right"/>
              <w:rPr>
                <w:rFonts w:ascii="Times New Roman" w:hAnsi="Times New Roman" w:cs="Times New Roman" w:eastAsia="Times New Roman" w:hint="default"/>
                <w:sz w:val="21"/>
                <w:szCs w:val="21"/>
              </w:rPr>
            </w:pPr>
            <w:r>
              <w:rPr>
                <w:rFonts w:ascii="Times New Roman"/>
                <w:spacing w:val="-1"/>
                <w:sz w:val="21"/>
              </w:rPr>
              <w:t>10,848,773</w:t>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9"/>
              <w:jc w:val="right"/>
              <w:rPr>
                <w:rFonts w:ascii="Times New Roman" w:hAnsi="Times New Roman" w:cs="Times New Roman" w:eastAsia="Times New Roman" w:hint="default"/>
                <w:sz w:val="21"/>
                <w:szCs w:val="21"/>
              </w:rPr>
            </w:pPr>
            <w:r>
              <w:rPr>
                <w:rFonts w:ascii="Times New Roman"/>
                <w:spacing w:val="-1"/>
                <w:sz w:val="21"/>
              </w:rPr>
              <w:t>3,377,629</w:t>
            </w:r>
          </w:p>
        </w:tc>
      </w:tr>
      <w:tr>
        <w:trPr>
          <w:trHeight w:val="410" w:hRule="exact"/>
        </w:trPr>
        <w:tc>
          <w:tcPr>
            <w:tcW w:w="500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其  他</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09"/>
              <w:jc w:val="right"/>
              <w:rPr>
                <w:rFonts w:ascii="Times New Roman" w:hAnsi="Times New Roman" w:cs="Times New Roman" w:eastAsia="Times New Roman" w:hint="default"/>
                <w:sz w:val="21"/>
                <w:szCs w:val="21"/>
              </w:rPr>
            </w:pPr>
            <w:r>
              <w:rPr>
                <w:rFonts w:ascii="Times New Roman"/>
                <w:spacing w:val="-1"/>
                <w:sz w:val="21"/>
              </w:rPr>
              <w:t>1,189,555</w:t>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9"/>
              <w:jc w:val="right"/>
              <w:rPr>
                <w:rFonts w:ascii="Times New Roman" w:hAnsi="Times New Roman" w:cs="Times New Roman" w:eastAsia="Times New Roman" w:hint="default"/>
                <w:sz w:val="21"/>
                <w:szCs w:val="21"/>
              </w:rPr>
            </w:pPr>
            <w:r>
              <w:rPr>
                <w:rFonts w:ascii="Times New Roman"/>
                <w:spacing w:val="-1"/>
                <w:sz w:val="21"/>
              </w:rPr>
              <w:t>1,152,048</w:t>
            </w:r>
          </w:p>
        </w:tc>
      </w:tr>
      <w:tr>
        <w:trPr>
          <w:trHeight w:val="340" w:hRule="exact"/>
        </w:trPr>
        <w:tc>
          <w:tcPr>
            <w:tcW w:w="5008"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小  计</w:t>
            </w:r>
          </w:p>
        </w:tc>
        <w:tc>
          <w:tcPr>
            <w:tcW w:w="1714" w:type="dxa"/>
            <w:tcBorders>
              <w:top w:val="nil" w:sz="6" w:space="0" w:color="auto"/>
              <w:left w:val="nil" w:sz="6" w:space="0" w:color="auto"/>
              <w:bottom w:val="single" w:sz="8" w:space="0" w:color="000000"/>
              <w:right w:val="nil" w:sz="6" w:space="0" w:color="auto"/>
            </w:tcBorders>
          </w:tcPr>
          <w:p>
            <w:pPr>
              <w:pStyle w:val="TableParagraph"/>
              <w:spacing w:line="240" w:lineRule="auto" w:before="85"/>
              <w:ind w:right="310"/>
              <w:jc w:val="right"/>
              <w:rPr>
                <w:rFonts w:ascii="Times New Roman" w:hAnsi="Times New Roman" w:cs="Times New Roman" w:eastAsia="Times New Roman" w:hint="default"/>
                <w:sz w:val="21"/>
                <w:szCs w:val="21"/>
              </w:rPr>
            </w:pPr>
            <w:r>
              <w:rPr>
                <w:rFonts w:ascii="Times New Roman"/>
                <w:spacing w:val="-1"/>
                <w:sz w:val="21"/>
              </w:rPr>
              <w:t>33,915,703</w:t>
            </w:r>
            <w:r>
              <w:rPr>
                <w:rFonts w:ascii="Times New Roman"/>
                <w:sz w:val="21"/>
              </w:rPr>
            </w:r>
          </w:p>
        </w:tc>
        <w:tc>
          <w:tcPr>
            <w:tcW w:w="1479" w:type="dxa"/>
            <w:tcBorders>
              <w:top w:val="nil" w:sz="6" w:space="0" w:color="auto"/>
              <w:left w:val="nil" w:sz="6" w:space="0" w:color="auto"/>
              <w:bottom w:val="single" w:sz="8" w:space="0" w:color="000000"/>
              <w:right w:val="nil" w:sz="6" w:space="0" w:color="auto"/>
            </w:tcBorders>
          </w:tcPr>
          <w:p>
            <w:pPr>
              <w:pStyle w:val="TableParagraph"/>
              <w:spacing w:line="240" w:lineRule="auto" w:before="85"/>
              <w:ind w:right="98"/>
              <w:jc w:val="right"/>
              <w:rPr>
                <w:rFonts w:ascii="Times New Roman" w:hAnsi="Times New Roman" w:cs="Times New Roman" w:eastAsia="Times New Roman" w:hint="default"/>
                <w:sz w:val="21"/>
                <w:szCs w:val="21"/>
              </w:rPr>
            </w:pPr>
            <w:r>
              <w:rPr>
                <w:rFonts w:ascii="Times New Roman"/>
                <w:spacing w:val="-1"/>
                <w:sz w:val="21"/>
              </w:rPr>
              <w:t>24,989,044</w:t>
            </w:r>
            <w:r>
              <w:rPr>
                <w:rFonts w:ascii="Times New Roman"/>
                <w:sz w:val="21"/>
              </w:rPr>
            </w:r>
          </w:p>
        </w:tc>
      </w:tr>
    </w:tbl>
    <w:p>
      <w:pPr>
        <w:spacing w:after="0" w:line="240" w:lineRule="auto"/>
        <w:jc w:val="right"/>
        <w:rPr>
          <w:rFonts w:ascii="Times New Roman" w:hAnsi="Times New Roman" w:cs="Times New Roman" w:eastAsia="Times New Roman" w:hint="default"/>
          <w:sz w:val="21"/>
          <w:szCs w:val="21"/>
        </w:rPr>
        <w:sectPr>
          <w:pgSz w:w="11900" w:h="16840"/>
          <w:pgMar w:header="0" w:footer="1003" w:top="1540" w:bottom="1200" w:left="1640" w:right="1080"/>
        </w:sectPr>
      </w:pPr>
    </w:p>
    <w:p>
      <w:pPr>
        <w:spacing w:line="240" w:lineRule="auto" w:before="4"/>
        <w:rPr>
          <w:rFonts w:ascii="宋体" w:hAnsi="宋体" w:cs="宋体" w:eastAsia="宋体" w:hint="default"/>
          <w:sz w:val="10"/>
          <w:szCs w:val="10"/>
        </w:rPr>
      </w:pPr>
    </w:p>
    <w:tbl>
      <w:tblPr>
        <w:tblW w:w="0" w:type="auto"/>
        <w:jc w:val="left"/>
        <w:tblInd w:w="732" w:type="dxa"/>
        <w:tblLayout w:type="fixed"/>
        <w:tblCellMar>
          <w:top w:w="0" w:type="dxa"/>
          <w:left w:w="0" w:type="dxa"/>
          <w:bottom w:w="0" w:type="dxa"/>
          <w:right w:w="0" w:type="dxa"/>
        </w:tblCellMar>
        <w:tblLook w:val="01E0"/>
      </w:tblPr>
      <w:tblGrid>
        <w:gridCol w:w="4954"/>
        <w:gridCol w:w="1781"/>
        <w:gridCol w:w="1487"/>
      </w:tblGrid>
      <w:tr>
        <w:trPr>
          <w:trHeight w:val="1653" w:hRule="exact"/>
        </w:trPr>
        <w:tc>
          <w:tcPr>
            <w:tcW w:w="4954" w:type="dxa"/>
            <w:tcBorders>
              <w:top w:val="nil" w:sz="6" w:space="0" w:color="auto"/>
              <w:left w:val="nil" w:sz="6" w:space="0" w:color="auto"/>
              <w:bottom w:val="nil" w:sz="6" w:space="0" w:color="auto"/>
              <w:right w:val="nil" w:sz="6" w:space="0" w:color="auto"/>
            </w:tcBorders>
          </w:tcPr>
          <w:p>
            <w:pPr>
              <w:pStyle w:val="TableParagraph"/>
              <w:spacing w:line="357" w:lineRule="auto" w:before="35"/>
              <w:ind w:left="121" w:right="422" w:firstLine="1904"/>
              <w:jc w:val="left"/>
              <w:rPr>
                <w:rFonts w:ascii="宋体" w:hAnsi="宋体" w:cs="宋体" w:eastAsia="宋体" w:hint="default"/>
                <w:sz w:val="21"/>
                <w:szCs w:val="21"/>
              </w:rPr>
            </w:pPr>
            <w:r>
              <w:rPr>
                <w:rFonts w:ascii="宋体" w:hAnsi="宋体" w:cs="宋体" w:eastAsia="宋体" w:hint="default"/>
                <w:sz w:val="21"/>
                <w:szCs w:val="21"/>
              </w:rPr>
              <w:t>项    目 递延所得税负债：</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交易性金融工具、衍生金融工具的估值</w:t>
            </w:r>
            <w:r>
              <w:rPr>
                <w:rFonts w:ascii="宋体" w:hAnsi="宋体" w:cs="宋体" w:eastAsia="宋体" w:hint="default"/>
                <w:sz w:val="21"/>
                <w:szCs w:val="21"/>
              </w:rPr>
              <w:t> 计入资本公积的可供出售金融资产公允价值变动</w:t>
            </w:r>
          </w:p>
        </w:tc>
        <w:tc>
          <w:tcPr>
            <w:tcW w:w="178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22" w:right="0"/>
              <w:jc w:val="left"/>
              <w:rPr>
                <w:rFonts w:ascii="宋体" w:hAnsi="宋体" w:cs="宋体" w:eastAsia="宋体" w:hint="default"/>
                <w:sz w:val="21"/>
                <w:szCs w:val="21"/>
              </w:rPr>
            </w:pPr>
            <w:r>
              <w:rPr>
                <w:rFonts w:ascii="宋体" w:hAnsi="宋体" w:cs="宋体" w:eastAsia="宋体" w:hint="default"/>
                <w:sz w:val="21"/>
                <w:szCs w:val="21"/>
              </w:rPr>
              <w:t>期末数</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12" w:right="0"/>
              <w:jc w:val="left"/>
              <w:rPr>
                <w:rFonts w:ascii="宋体" w:hAnsi="宋体" w:cs="宋体" w:eastAsia="宋体" w:hint="default"/>
                <w:sz w:val="21"/>
                <w:szCs w:val="21"/>
              </w:rPr>
            </w:pPr>
            <w:r>
              <w:rPr>
                <w:rFonts w:ascii="宋体" w:hAnsi="宋体" w:cs="宋体" w:eastAsia="宋体" w:hint="default"/>
                <w:sz w:val="21"/>
                <w:szCs w:val="21"/>
              </w:rPr>
              <w:t>期初数</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37" w:right="0"/>
              <w:jc w:val="left"/>
              <w:rPr>
                <w:rFonts w:ascii="Times New Roman" w:hAnsi="Times New Roman" w:cs="Times New Roman" w:eastAsia="Times New Roman" w:hint="default"/>
                <w:sz w:val="21"/>
                <w:szCs w:val="21"/>
              </w:rPr>
            </w:pPr>
            <w:r>
              <w:rPr>
                <w:rFonts w:ascii="Times New Roman"/>
                <w:sz w:val="21"/>
              </w:rPr>
              <w:t>5,091,701</w:t>
            </w:r>
          </w:p>
        </w:tc>
      </w:tr>
      <w:tr>
        <w:trPr>
          <w:trHeight w:val="410" w:hRule="exact"/>
        </w:trPr>
        <w:tc>
          <w:tcPr>
            <w:tcW w:w="495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资产公允价值变动</w:t>
            </w:r>
          </w:p>
        </w:tc>
        <w:tc>
          <w:tcPr>
            <w:tcW w:w="1781"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10"/>
              <w:jc w:val="right"/>
              <w:rPr>
                <w:rFonts w:ascii="Times New Roman" w:hAnsi="Times New Roman" w:cs="Times New Roman" w:eastAsia="Times New Roman" w:hint="default"/>
                <w:sz w:val="21"/>
                <w:szCs w:val="21"/>
              </w:rPr>
            </w:pPr>
            <w:r>
              <w:rPr>
                <w:rFonts w:ascii="Times New Roman"/>
                <w:spacing w:val="-1"/>
                <w:sz w:val="21"/>
              </w:rPr>
              <w:t>43,636</w:t>
            </w:r>
          </w:p>
        </w:tc>
        <w:tc>
          <w:tcPr>
            <w:tcW w:w="1487" w:type="dxa"/>
            <w:tcBorders>
              <w:top w:val="nil" w:sz="6" w:space="0" w:color="auto"/>
              <w:left w:val="nil" w:sz="6" w:space="0" w:color="auto"/>
              <w:bottom w:val="nil" w:sz="6" w:space="0" w:color="auto"/>
              <w:right w:val="nil" w:sz="6" w:space="0" w:color="auto"/>
            </w:tcBorders>
          </w:tcPr>
          <w:p>
            <w:pPr/>
          </w:p>
        </w:tc>
      </w:tr>
      <w:tr>
        <w:trPr>
          <w:trHeight w:val="410" w:hRule="exact"/>
        </w:trPr>
        <w:tc>
          <w:tcPr>
            <w:tcW w:w="495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其    他</w:t>
            </w:r>
          </w:p>
        </w:tc>
        <w:tc>
          <w:tcPr>
            <w:tcW w:w="178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10"/>
              <w:jc w:val="right"/>
              <w:rPr>
                <w:rFonts w:ascii="Times New Roman" w:hAnsi="Times New Roman" w:cs="Times New Roman" w:eastAsia="Times New Roman" w:hint="default"/>
                <w:sz w:val="21"/>
                <w:szCs w:val="21"/>
              </w:rPr>
            </w:pPr>
            <w:r>
              <w:rPr>
                <w:rFonts w:ascii="Times New Roman"/>
                <w:spacing w:val="-1"/>
                <w:sz w:val="21"/>
              </w:rPr>
              <w:t>2,599,048</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21"/>
                <w:szCs w:val="21"/>
              </w:rPr>
            </w:pPr>
            <w:r>
              <w:rPr>
                <w:rFonts w:ascii="Times New Roman"/>
                <w:spacing w:val="-1"/>
                <w:sz w:val="21"/>
              </w:rPr>
              <w:t>2,807,584</w:t>
            </w:r>
          </w:p>
        </w:tc>
      </w:tr>
      <w:tr>
        <w:trPr>
          <w:trHeight w:val="340" w:hRule="exact"/>
        </w:trPr>
        <w:tc>
          <w:tcPr>
            <w:tcW w:w="4954"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小    计</w:t>
            </w:r>
          </w:p>
        </w:tc>
        <w:tc>
          <w:tcPr>
            <w:tcW w:w="1781"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310"/>
              <w:jc w:val="right"/>
              <w:rPr>
                <w:rFonts w:ascii="Times New Roman" w:hAnsi="Times New Roman" w:cs="Times New Roman" w:eastAsia="Times New Roman" w:hint="default"/>
                <w:sz w:val="21"/>
                <w:szCs w:val="21"/>
              </w:rPr>
            </w:pPr>
            <w:r>
              <w:rPr>
                <w:rFonts w:ascii="Times New Roman"/>
                <w:spacing w:val="-1"/>
                <w:sz w:val="21"/>
              </w:rPr>
              <w:t>2,642,684</w:t>
            </w:r>
          </w:p>
        </w:tc>
        <w:tc>
          <w:tcPr>
            <w:tcW w:w="1487"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21"/>
                <w:szCs w:val="21"/>
              </w:rPr>
            </w:pPr>
            <w:r>
              <w:rPr>
                <w:rFonts w:ascii="Times New Roman"/>
                <w:spacing w:val="-1"/>
                <w:sz w:val="21"/>
              </w:rPr>
              <w:t>7,899,285</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1393" w:val="left" w:leader="none"/>
        </w:tabs>
        <w:spacing w:before="35"/>
        <w:ind w:left="855" w:right="0" w:firstLine="0"/>
        <w:jc w:val="left"/>
        <w:rPr>
          <w:rFonts w:ascii="宋体" w:hAnsi="宋体" w:cs="宋体" w:eastAsia="宋体" w:hint="default"/>
          <w:sz w:val="21"/>
          <w:szCs w:val="21"/>
        </w:rPr>
      </w:pPr>
      <w:r>
        <w:rPr/>
        <w:pict>
          <v:group style="position:absolute;margin-left:88.140007pt;margin-top:-168.386337pt;width:444.3pt;height:144.550pt;mso-position-horizontal-relative:page;mso-position-vertical-relative:paragraph;z-index:-986176" coordorigin="1763,-3368" coordsize="8886,2891">
            <v:group style="position:absolute;left:1768;top:-3363;width:8877;height:2" coordorigin="1768,-3363" coordsize="8877,2">
              <v:shape style="position:absolute;left:1768;top:-3363;width:8877;height:2" coordorigin="1768,-3363" coordsize="8877,0" path="m1768,-3363l10644,-3363e" filled="false" stroked="true" strokeweight=".47998pt" strokecolor="#000000">
                <v:path arrowok="t"/>
              </v:shape>
            </v:group>
            <v:group style="position:absolute;left:2407;top:-3349;width:4862;height:2" coordorigin="2407,-3349" coordsize="4862,2">
              <v:shape style="position:absolute;left:2407;top:-3349;width:4862;height:2" coordorigin="2407,-3349" coordsize="4862,0" path="m2407,-3349l7268,-3349e" filled="false" stroked="true" strokeweight=".96002pt" strokecolor="#000000">
                <v:path arrowok="t"/>
              </v:shape>
            </v:group>
            <v:group style="position:absolute;left:7268;top:-3349;width:20;height:2" coordorigin="7268,-3349" coordsize="20,2">
              <v:shape style="position:absolute;left:7268;top:-3349;width:20;height:2" coordorigin="7268,-3349" coordsize="20,0" path="m7268,-3349l7288,-3349e" filled="false" stroked="true" strokeweight=".96002pt" strokecolor="#000000">
                <v:path arrowok="t"/>
              </v:shape>
            </v:group>
            <v:group style="position:absolute;left:7288;top:-3349;width:1631;height:2" coordorigin="7288,-3349" coordsize="1631,2">
              <v:shape style="position:absolute;left:7288;top:-3349;width:1631;height:2" coordorigin="7288,-3349" coordsize="1631,0" path="m7288,-3349l8918,-3349e" filled="false" stroked="true" strokeweight=".96pt" strokecolor="#000000">
                <v:path arrowok="t"/>
              </v:shape>
            </v:group>
            <v:group style="position:absolute;left:8918;top:-3349;width:1690;height:2" coordorigin="8918,-3349" coordsize="1690,2">
              <v:shape style="position:absolute;left:8918;top:-3349;width:1690;height:2" coordorigin="8918,-3349" coordsize="1690,0" path="m8918,-3349l10608,-3349e" filled="false" stroked="true" strokeweight=".96002pt" strokecolor="#000000">
                <v:path arrowok="t"/>
              </v:shape>
              <v:shape style="position:absolute;left:2407;top:-3339;width:8206;height:2862" type="#_x0000_t75" stroked="false">
                <v:imagedata r:id="rId90" o:title=""/>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引起暂时性差异的资产或负债项目对应的暂时性差异</w:t>
      </w:r>
    </w:p>
    <w:p>
      <w:pPr>
        <w:spacing w:line="6589" w:lineRule="exact"/>
        <w:ind w:left="723" w:right="0" w:firstLine="0"/>
        <w:rPr>
          <w:rFonts w:ascii="宋体" w:hAnsi="宋体" w:cs="宋体" w:eastAsia="宋体" w:hint="default"/>
          <w:sz w:val="20"/>
          <w:szCs w:val="20"/>
        </w:rPr>
      </w:pPr>
      <w:r>
        <w:rPr>
          <w:rFonts w:ascii="宋体" w:hAnsi="宋体" w:cs="宋体" w:eastAsia="宋体" w:hint="default"/>
          <w:position w:val="-131"/>
          <w:sz w:val="20"/>
          <w:szCs w:val="20"/>
        </w:rPr>
        <w:pict>
          <v:group style="width:413.6pt;height:329.5pt;mso-position-horizontal-relative:char;mso-position-vertical-relative:line" coordorigin="0,0" coordsize="8272,6590">
            <v:group style="position:absolute;left:24;top:10;width:4773;height:2" coordorigin="24,10" coordsize="4773,2">
              <v:shape style="position:absolute;left:24;top:10;width:4773;height:2" coordorigin="24,10" coordsize="4773,0" path="m24,10l4796,10e" filled="false" stroked="true" strokeweight=".96002pt" strokecolor="#000000">
                <v:path arrowok="t"/>
              </v:shape>
            </v:group>
            <v:group style="position:absolute;left:4796;top:10;width:3459;height:2" coordorigin="4796,10" coordsize="3459,2">
              <v:shape style="position:absolute;left:4796;top:10;width:3459;height:2" coordorigin="4796,10" coordsize="3459,0" path="m4796,10l8255,10e" filled="false" stroked="true" strokeweight=".96002pt" strokecolor="#000000">
                <v:path arrowok="t"/>
              </v:shape>
            </v:group>
            <v:group style="position:absolute;left:10;top:6580;width:4787;height:2" coordorigin="10,6580" coordsize="4787,2">
              <v:shape style="position:absolute;left:10;top:6580;width:4787;height:2" coordorigin="10,6580" coordsize="4787,0" path="m10,6580l4796,6580e" filled="false" stroked="true" strokeweight=".96001pt" strokecolor="#000000">
                <v:path arrowok="t"/>
              </v:shape>
              <v:shape style="position:absolute;left:24;top:19;width:8233;height:6551" type="#_x0000_t75" stroked="false">
                <v:imagedata r:id="rId91" o:title=""/>
              </v:shape>
            </v:group>
            <v:group style="position:absolute;left:4796;top:6580;width:3466;height:2" coordorigin="4796,6580" coordsize="3466,2">
              <v:shape style="position:absolute;left:4796;top:6580;width:3466;height:2" coordorigin="4796,6580" coordsize="3466,0" path="m4796,6580l8262,6580e" filled="false" stroked="true" strokeweight=".96001pt" strokecolor="#000000">
                <v:path arrowok="t"/>
              </v:shape>
              <v:shape style="position:absolute;left:1991;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    目</w:t>
                      </w:r>
                    </w:p>
                  </w:txbxContent>
                </v:textbox>
                <w10:wrap type="none"/>
              </v:shape>
              <v:shape style="position:absolute;left:5796;top:178;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暂时性差异金额</w:t>
                      </w:r>
                    </w:p>
                  </w:txbxContent>
                </v:textbox>
                <w10:wrap type="none"/>
              </v:shape>
              <v:shape style="position:absolute;left:131;top:588;width:147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递延所得税资产</w:t>
                      </w:r>
                    </w:p>
                  </w:txbxContent>
                </v:textbox>
                <w10:wrap type="none"/>
              </v:shape>
              <v:shape style="position:absolute;left:131;top:997;width:2730;height:390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长期资产减值</w:t>
                      </w:r>
                    </w:p>
                    <w:p>
                      <w:pPr>
                        <w:spacing w:line="357" w:lineRule="auto" w:before="135"/>
                        <w:ind w:left="0" w:right="0" w:firstLine="0"/>
                        <w:jc w:val="left"/>
                        <w:rPr>
                          <w:rFonts w:ascii="宋体" w:hAnsi="宋体" w:cs="宋体" w:eastAsia="宋体" w:hint="default"/>
                          <w:sz w:val="21"/>
                          <w:szCs w:val="21"/>
                        </w:rPr>
                      </w:pPr>
                      <w:r>
                        <w:rPr>
                          <w:rFonts w:ascii="宋体" w:hAnsi="宋体" w:cs="宋体" w:eastAsia="宋体" w:hint="default"/>
                          <w:sz w:val="21"/>
                          <w:szCs w:val="21"/>
                        </w:rPr>
                        <w:t>超过税法标准计提的减值准备 预计负债</w:t>
                      </w:r>
                    </w:p>
                    <w:p>
                      <w:pPr>
                        <w:spacing w:line="357" w:lineRule="auto" w:before="31"/>
                        <w:ind w:left="0" w:right="1468" w:firstLine="0"/>
                        <w:jc w:val="left"/>
                        <w:rPr>
                          <w:rFonts w:ascii="宋体" w:hAnsi="宋体" w:cs="宋体" w:eastAsia="宋体" w:hint="default"/>
                          <w:sz w:val="21"/>
                          <w:szCs w:val="21"/>
                        </w:rPr>
                      </w:pPr>
                      <w:r>
                        <w:rPr>
                          <w:rFonts w:ascii="宋体" w:hAnsi="宋体" w:cs="宋体" w:eastAsia="宋体" w:hint="default"/>
                          <w:sz w:val="21"/>
                          <w:szCs w:val="21"/>
                        </w:rPr>
                        <w:t>开办费摊销 预提费用 存货跌价准备</w:t>
                      </w:r>
                    </w:p>
                    <w:p>
                      <w:pPr>
                        <w:spacing w:line="357" w:lineRule="auto" w:before="31"/>
                        <w:ind w:left="0" w:right="0" w:firstLine="0"/>
                        <w:jc w:val="left"/>
                        <w:rPr>
                          <w:rFonts w:ascii="宋体" w:hAnsi="宋体" w:cs="宋体" w:eastAsia="宋体" w:hint="default"/>
                          <w:sz w:val="21"/>
                          <w:szCs w:val="21"/>
                        </w:rPr>
                      </w:pPr>
                      <w:r>
                        <w:rPr>
                          <w:rFonts w:ascii="宋体" w:hAnsi="宋体" w:cs="宋体" w:eastAsia="宋体" w:hint="default"/>
                          <w:sz w:val="21"/>
                          <w:szCs w:val="21"/>
                        </w:rPr>
                        <w:t>固定资产折旧及其他资产摊销 政府补助</w:t>
                      </w:r>
                    </w:p>
                    <w:p>
                      <w:pPr>
                        <w:spacing w:before="32"/>
                        <w:ind w:left="0" w:right="0" w:firstLine="0"/>
                        <w:jc w:val="left"/>
                        <w:rPr>
                          <w:rFonts w:ascii="宋体" w:hAnsi="宋体" w:cs="宋体" w:eastAsia="宋体" w:hint="default"/>
                          <w:sz w:val="21"/>
                          <w:szCs w:val="21"/>
                        </w:rPr>
                      </w:pPr>
                      <w:r>
                        <w:rPr>
                          <w:rFonts w:ascii="宋体" w:hAnsi="宋体" w:cs="宋体" w:eastAsia="宋体" w:hint="default"/>
                          <w:sz w:val="21"/>
                          <w:szCs w:val="21"/>
                        </w:rPr>
                        <w:t>其    他</w:t>
                      </w:r>
                    </w:p>
                    <w:p>
                      <w:pPr>
                        <w:spacing w:before="134"/>
                        <w:ind w:left="0" w:right="553" w:firstLine="0"/>
                        <w:jc w:val="right"/>
                        <w:rPr>
                          <w:rFonts w:ascii="宋体" w:hAnsi="宋体" w:cs="宋体" w:eastAsia="宋体" w:hint="default"/>
                          <w:sz w:val="21"/>
                          <w:szCs w:val="21"/>
                        </w:rPr>
                      </w:pPr>
                      <w:r>
                        <w:rPr>
                          <w:rFonts w:ascii="宋体" w:hAnsi="宋体" w:cs="宋体" w:eastAsia="宋体" w:hint="default"/>
                          <w:sz w:val="21"/>
                          <w:szCs w:val="21"/>
                        </w:rPr>
                        <w:t>合 </w:t>
                      </w:r>
                    </w:p>
                  </w:txbxContent>
                </v:textbox>
                <w10:wrap type="none"/>
              </v:shape>
              <v:shape style="position:absolute;left:2411;top:4687;width:10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 </w:t>
                      </w:r>
                    </w:p>
                  </w:txbxContent>
                </v:textbox>
                <w10:wrap type="none"/>
              </v:shape>
              <v:shape style="position:absolute;left:2621;top:4687;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7103;top:1023;width:1051;height:3900" type="#_x0000_t202" filled="false" stroked="false">
                <v:textbox inset="0,0,0,0">
                  <w:txbxContent>
                    <w:p>
                      <w:pPr>
                        <w:spacing w:line="214" w:lineRule="exact" w:before="0"/>
                        <w:ind w:left="207" w:right="0" w:firstLine="0"/>
                        <w:jc w:val="center"/>
                        <w:rPr>
                          <w:rFonts w:ascii="Times New Roman" w:hAnsi="Times New Roman" w:cs="Times New Roman" w:eastAsia="Times New Roman" w:hint="default"/>
                          <w:sz w:val="21"/>
                          <w:szCs w:val="21"/>
                        </w:rPr>
                      </w:pPr>
                      <w:r>
                        <w:rPr>
                          <w:rFonts w:ascii="Times New Roman"/>
                          <w:spacing w:val="-1"/>
                          <w:sz w:val="21"/>
                        </w:rPr>
                        <w:t>6,387,251</w:t>
                      </w:r>
                    </w:p>
                    <w:p>
                      <w:pPr>
                        <w:spacing w:before="169"/>
                        <w:ind w:left="103" w:right="0" w:firstLine="0"/>
                        <w:jc w:val="center"/>
                        <w:rPr>
                          <w:rFonts w:ascii="Times New Roman" w:hAnsi="Times New Roman" w:cs="Times New Roman" w:eastAsia="Times New Roman" w:hint="default"/>
                          <w:sz w:val="21"/>
                          <w:szCs w:val="21"/>
                        </w:rPr>
                      </w:pPr>
                      <w:r>
                        <w:rPr>
                          <w:rFonts w:ascii="Times New Roman"/>
                          <w:spacing w:val="-1"/>
                          <w:sz w:val="21"/>
                        </w:rPr>
                        <w:t>53,435,860</w:t>
                      </w:r>
                    </w:p>
                    <w:p>
                      <w:pPr>
                        <w:spacing w:before="169"/>
                        <w:ind w:left="103" w:right="0" w:firstLine="0"/>
                        <w:jc w:val="center"/>
                        <w:rPr>
                          <w:rFonts w:ascii="Times New Roman" w:hAnsi="Times New Roman" w:cs="Times New Roman" w:eastAsia="Times New Roman" w:hint="default"/>
                          <w:sz w:val="21"/>
                          <w:szCs w:val="21"/>
                        </w:rPr>
                      </w:pPr>
                      <w:r>
                        <w:rPr>
                          <w:rFonts w:ascii="Times New Roman"/>
                          <w:spacing w:val="-1"/>
                          <w:sz w:val="21"/>
                        </w:rPr>
                        <w:t>12,428,018</w:t>
                      </w:r>
                    </w:p>
                    <w:p>
                      <w:pPr>
                        <w:spacing w:before="167"/>
                        <w:ind w:left="470" w:right="0" w:firstLine="0"/>
                        <w:jc w:val="center"/>
                        <w:rPr>
                          <w:rFonts w:ascii="Times New Roman" w:hAnsi="Times New Roman" w:cs="Times New Roman" w:eastAsia="Times New Roman" w:hint="default"/>
                          <w:sz w:val="21"/>
                          <w:szCs w:val="21"/>
                        </w:rPr>
                      </w:pPr>
                      <w:r>
                        <w:rPr>
                          <w:rFonts w:ascii="Times New Roman"/>
                          <w:spacing w:val="-1"/>
                          <w:sz w:val="21"/>
                        </w:rPr>
                        <w:t>37,508</w:t>
                      </w:r>
                    </w:p>
                    <w:p>
                      <w:pPr>
                        <w:spacing w:before="169"/>
                        <w:ind w:left="7" w:right="0" w:firstLine="0"/>
                        <w:jc w:val="left"/>
                        <w:rPr>
                          <w:rFonts w:ascii="Times New Roman" w:hAnsi="Times New Roman" w:cs="Times New Roman" w:eastAsia="Times New Roman" w:hint="default"/>
                          <w:sz w:val="21"/>
                          <w:szCs w:val="21"/>
                        </w:rPr>
                      </w:pPr>
                      <w:r>
                        <w:rPr>
                          <w:rFonts w:ascii="Times New Roman"/>
                          <w:spacing w:val="-2"/>
                          <w:sz w:val="21"/>
                        </w:rPr>
                        <w:t>115,536,342</w:t>
                      </w:r>
                    </w:p>
                    <w:p>
                      <w:pPr>
                        <w:spacing w:before="169"/>
                        <w:ind w:left="103" w:right="0" w:firstLine="0"/>
                        <w:jc w:val="center"/>
                        <w:rPr>
                          <w:rFonts w:ascii="Times New Roman" w:hAnsi="Times New Roman" w:cs="Times New Roman" w:eastAsia="Times New Roman" w:hint="default"/>
                          <w:sz w:val="21"/>
                          <w:szCs w:val="21"/>
                        </w:rPr>
                      </w:pPr>
                      <w:r>
                        <w:rPr>
                          <w:rFonts w:ascii="Times New Roman"/>
                          <w:spacing w:val="-1"/>
                          <w:sz w:val="21"/>
                        </w:rPr>
                        <w:t>16,419,818</w:t>
                      </w:r>
                    </w:p>
                    <w:p>
                      <w:pPr>
                        <w:spacing w:before="167"/>
                        <w:ind w:left="365" w:right="0" w:firstLine="0"/>
                        <w:jc w:val="center"/>
                        <w:rPr>
                          <w:rFonts w:ascii="Times New Roman" w:hAnsi="Times New Roman" w:cs="Times New Roman" w:eastAsia="Times New Roman" w:hint="default"/>
                          <w:sz w:val="21"/>
                          <w:szCs w:val="21"/>
                        </w:rPr>
                      </w:pPr>
                      <w:r>
                        <w:rPr>
                          <w:rFonts w:ascii="Times New Roman"/>
                          <w:spacing w:val="-1"/>
                          <w:sz w:val="21"/>
                        </w:rPr>
                        <w:t>146,570</w:t>
                      </w:r>
                    </w:p>
                    <w:p>
                      <w:pPr>
                        <w:spacing w:before="169"/>
                        <w:ind w:left="0" w:right="0" w:firstLine="0"/>
                        <w:jc w:val="center"/>
                        <w:rPr>
                          <w:rFonts w:ascii="Times New Roman" w:hAnsi="Times New Roman" w:cs="Times New Roman" w:eastAsia="Times New Roman" w:hint="default"/>
                          <w:sz w:val="21"/>
                          <w:szCs w:val="21"/>
                        </w:rPr>
                      </w:pPr>
                      <w:r>
                        <w:rPr>
                          <w:rFonts w:ascii="Times New Roman"/>
                          <w:spacing w:val="-1"/>
                          <w:sz w:val="21"/>
                        </w:rPr>
                        <w:t>100,993,492</w:t>
                      </w:r>
                    </w:p>
                    <w:p>
                      <w:pPr>
                        <w:spacing w:before="169"/>
                        <w:ind w:left="207" w:right="0" w:firstLine="0"/>
                        <w:jc w:val="center"/>
                        <w:rPr>
                          <w:rFonts w:ascii="Times New Roman" w:hAnsi="Times New Roman" w:cs="Times New Roman" w:eastAsia="Times New Roman" w:hint="default"/>
                          <w:sz w:val="21"/>
                          <w:szCs w:val="21"/>
                        </w:rPr>
                      </w:pPr>
                      <w:r>
                        <w:rPr>
                          <w:rFonts w:ascii="Times New Roman"/>
                          <w:spacing w:val="-1"/>
                          <w:sz w:val="21"/>
                        </w:rPr>
                        <w:t>2,973,887</w:t>
                      </w:r>
                    </w:p>
                    <w:p>
                      <w:pPr>
                        <w:spacing w:line="237" w:lineRule="exact" w:before="167"/>
                        <w:ind w:left="0" w:right="0" w:firstLine="0"/>
                        <w:jc w:val="center"/>
                        <w:rPr>
                          <w:rFonts w:ascii="Times New Roman" w:hAnsi="Times New Roman" w:cs="Times New Roman" w:eastAsia="Times New Roman" w:hint="default"/>
                          <w:sz w:val="21"/>
                          <w:szCs w:val="21"/>
                        </w:rPr>
                      </w:pPr>
                      <w:r>
                        <w:rPr>
                          <w:rFonts w:ascii="Times New Roman"/>
                          <w:spacing w:val="-1"/>
                          <w:sz w:val="21"/>
                        </w:rPr>
                        <w:t>308,358,746</w:t>
                      </w:r>
                    </w:p>
                  </w:txbxContent>
                </v:textbox>
                <w10:wrap type="none"/>
              </v:shape>
              <v:shape style="position:absolute;left:131;top:5097;width:1680;height:103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递延所得税负债</w:t>
                      </w:r>
                    </w:p>
                    <w:p>
                      <w:pPr>
                        <w:spacing w:line="410" w:lineRule="atLeas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资产公允价值变动 其    他</w:t>
                      </w:r>
                    </w:p>
                  </w:txbxContent>
                </v:textbox>
                <w10:wrap type="none"/>
              </v:shape>
              <v:shape style="position:absolute;left:1991;top:632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    计</w:t>
                      </w:r>
                    </w:p>
                  </w:txbxContent>
                </v:textbox>
                <w10:wrap type="none"/>
              </v:shape>
              <v:shape style="position:absolute;left:7207;top:5533;width:946;height:1030" type="#_x0000_t202" filled="false" stroked="false">
                <v:textbox inset="0,0,0,0">
                  <w:txbxContent>
                    <w:p>
                      <w:pPr>
                        <w:spacing w:line="214" w:lineRule="exact" w:before="0"/>
                        <w:ind w:left="261" w:right="0" w:firstLine="0"/>
                        <w:jc w:val="left"/>
                        <w:rPr>
                          <w:rFonts w:ascii="Times New Roman" w:hAnsi="Times New Roman" w:cs="Times New Roman" w:eastAsia="Times New Roman" w:hint="default"/>
                          <w:sz w:val="21"/>
                          <w:szCs w:val="21"/>
                        </w:rPr>
                      </w:pPr>
                      <w:r>
                        <w:rPr>
                          <w:rFonts w:ascii="Times New Roman"/>
                          <w:sz w:val="21"/>
                        </w:rPr>
                        <w:t>436,360</w:t>
                      </w:r>
                    </w:p>
                    <w:p>
                      <w:pPr>
                        <w:spacing w:before="167"/>
                        <w:ind w:left="0" w:right="0" w:firstLine="0"/>
                        <w:jc w:val="left"/>
                        <w:rPr>
                          <w:rFonts w:ascii="Times New Roman" w:hAnsi="Times New Roman" w:cs="Times New Roman" w:eastAsia="Times New Roman" w:hint="default"/>
                          <w:sz w:val="21"/>
                          <w:szCs w:val="21"/>
                        </w:rPr>
                      </w:pPr>
                      <w:r>
                        <w:rPr>
                          <w:rFonts w:ascii="Times New Roman"/>
                          <w:spacing w:val="-1"/>
                          <w:sz w:val="21"/>
                        </w:rPr>
                        <w:t>17,326,989</w:t>
                      </w:r>
                    </w:p>
                    <w:p>
                      <w:pPr>
                        <w:spacing w:line="237" w:lineRule="exact" w:before="169"/>
                        <w:ind w:left="0" w:right="0" w:firstLine="0"/>
                        <w:jc w:val="left"/>
                        <w:rPr>
                          <w:rFonts w:ascii="Times New Roman" w:hAnsi="Times New Roman" w:cs="Times New Roman" w:eastAsia="Times New Roman" w:hint="default"/>
                          <w:sz w:val="21"/>
                          <w:szCs w:val="21"/>
                        </w:rPr>
                      </w:pPr>
                      <w:r>
                        <w:rPr>
                          <w:rFonts w:ascii="Times New Roman"/>
                          <w:spacing w:val="-1"/>
                          <w:sz w:val="21"/>
                        </w:rPr>
                        <w:t>17,763,349</w:t>
                      </w:r>
                    </w:p>
                  </w:txbxContent>
                </v:textbox>
                <w10:wrap type="none"/>
              </v:shape>
            </v:group>
          </v:group>
        </w:pict>
      </w:r>
      <w:r>
        <w:rPr>
          <w:rFonts w:ascii="宋体" w:hAnsi="宋体" w:cs="宋体" w:eastAsia="宋体" w:hint="default"/>
          <w:position w:val="-131"/>
          <w:sz w:val="20"/>
          <w:szCs w:val="20"/>
        </w:rPr>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spacing w:before="35"/>
        <w:ind w:left="12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11"/>
          <w:sz w:val="21"/>
          <w:szCs w:val="21"/>
        </w:rPr>
        <w:t> </w:t>
      </w:r>
      <w:r>
        <w:rPr>
          <w:rFonts w:ascii="宋体" w:hAnsi="宋体" w:cs="宋体" w:eastAsia="宋体" w:hint="default"/>
          <w:sz w:val="21"/>
          <w:szCs w:val="21"/>
        </w:rPr>
        <w:t>资产减值准备</w:t>
      </w:r>
    </w:p>
    <w:p>
      <w:pPr>
        <w:spacing w:line="2480" w:lineRule="exact"/>
        <w:ind w:left="723"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13.6pt;height:124.05pt;mso-position-horizontal-relative:char;mso-position-vertical-relative:line" coordorigin="0,0" coordsize="8272,2481">
            <v:group style="position:absolute;left:31;top:10;width:1767;height:2" coordorigin="31,10" coordsize="1767,2">
              <v:shape style="position:absolute;left:31;top:10;width:1767;height:2" coordorigin="31,10" coordsize="1767,0" path="m31,10l1798,10e" filled="false" stroked="true" strokeweight=".95999pt" strokecolor="#000000">
                <v:path arrowok="t"/>
              </v:shape>
            </v:group>
            <v:group style="position:absolute;left:1798;top:10;width:1128;height:2" coordorigin="1798,10" coordsize="1128,2">
              <v:shape style="position:absolute;left:1798;top:10;width:1128;height:2" coordorigin="1798,10" coordsize="1128,0" path="m1798,10l2926,10e" filled="false" stroked="true" strokeweight=".95999pt" strokecolor="#000000">
                <v:path arrowok="t"/>
              </v:shape>
            </v:group>
            <v:group style="position:absolute;left:2926;top:10;width:1066;height:2" coordorigin="2926,10" coordsize="1066,2">
              <v:shape style="position:absolute;left:2926;top:10;width:1066;height:2" coordorigin="2926,10" coordsize="1066,0" path="m2926,10l3991,10e" filled="false" stroked="true" strokeweight=".95999pt" strokecolor="#000000">
                <v:path arrowok="t"/>
              </v:shape>
            </v:group>
            <v:group style="position:absolute;left:3991;top:10;width:3108;height:2" coordorigin="3991,10" coordsize="3108,2">
              <v:shape style="position:absolute;left:3991;top:10;width:3108;height:2" coordorigin="3991,10" coordsize="3108,0" path="m3991,10l7099,10e" filled="false" stroked="true" strokeweight=".95999pt" strokecolor="#000000">
                <v:path arrowok="t"/>
              </v:shape>
            </v:group>
            <v:group style="position:absolute;left:7099;top:10;width:1156;height:2" coordorigin="7099,10" coordsize="1156,2">
              <v:shape style="position:absolute;left:7099;top:10;width:1156;height:2" coordorigin="7099,10" coordsize="1156,0" path="m7099,10l8255,10e" filled="false" stroked="true" strokeweight=".95999pt" strokecolor="#000000">
                <v:path arrowok="t"/>
              </v:shape>
            </v:group>
            <v:group style="position:absolute;left:10;top:2471;width:1788;height:2" coordorigin="10,2471" coordsize="1788,2">
              <v:shape style="position:absolute;left:10;top:2471;width:1788;height:2" coordorigin="10,2471" coordsize="1788,0" path="m10,2471l1798,2471e" filled="false" stroked="true" strokeweight=".95999pt" strokecolor="#000000">
                <v:path arrowok="t"/>
              </v:shape>
            </v:group>
            <v:group style="position:absolute;left:1798;top:2471;width:1128;height:2" coordorigin="1798,2471" coordsize="1128,2">
              <v:shape style="position:absolute;left:1798;top:2471;width:1128;height:2" coordorigin="1798,2471" coordsize="1128,0" path="m1798,2471l2926,2471e" filled="false" stroked="true" strokeweight=".95999pt" strokecolor="#000000">
                <v:path arrowok="t"/>
              </v:shape>
            </v:group>
            <v:group style="position:absolute;left:2926;top:2471;width:1066;height:2" coordorigin="2926,2471" coordsize="1066,2">
              <v:shape style="position:absolute;left:2926;top:2471;width:1066;height:2" coordorigin="2926,2471" coordsize="1066,0" path="m2926,2471l3991,2471e" filled="false" stroked="true" strokeweight=".95999pt" strokecolor="#000000">
                <v:path arrowok="t"/>
              </v:shape>
            </v:group>
            <v:group style="position:absolute;left:3991;top:2471;width:1034;height:2" coordorigin="3991,2471" coordsize="1034,2">
              <v:shape style="position:absolute;left:3991;top:2471;width:1034;height:2" coordorigin="3991,2471" coordsize="1034,0" path="m3991,2471l5024,2471e" filled="false" stroked="true" strokeweight=".95999pt" strokecolor="#000000">
                <v:path arrowok="t"/>
              </v:shape>
            </v:group>
            <v:group style="position:absolute;left:5024;top:2471;width:1029;height:2" coordorigin="5024,2471" coordsize="1029,2">
              <v:shape style="position:absolute;left:5024;top:2471;width:1029;height:2" coordorigin="5024,2471" coordsize="1029,0" path="m5024,2471l6053,2471e" filled="false" stroked="true" strokeweight=".95999pt" strokecolor="#000000">
                <v:path arrowok="t"/>
              </v:shape>
            </v:group>
            <v:group style="position:absolute;left:6053;top:2471;width:1047;height:2" coordorigin="6053,2471" coordsize="1047,2">
              <v:shape style="position:absolute;left:6053;top:2471;width:1047;height:2" coordorigin="6053,2471" coordsize="1047,0" path="m6053,2471l7099,2471e" filled="false" stroked="true" strokeweight=".95999pt" strokecolor="#000000">
                <v:path arrowok="t"/>
              </v:shape>
              <v:shape style="position:absolute;left:24;top:19;width:8232;height:2442" type="#_x0000_t75" stroked="false">
                <v:imagedata r:id="rId92" o:title=""/>
              </v:shape>
            </v:group>
            <v:group style="position:absolute;left:7099;top:2471;width:1163;height:2" coordorigin="7099,2471" coordsize="1163,2">
              <v:shape style="position:absolute;left:7099;top:2471;width:1163;height:2" coordorigin="7099,2471" coordsize="1163,0" path="m7099,2471l8262,2471e" filled="false" stroked="true" strokeweight=".95999pt" strokecolor="#000000">
                <v:path arrowok="t"/>
              </v:shape>
              <v:shape style="position:absolute;left:5189;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shape style="position:absolute;left:596;top:407;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2006;top:4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期初金额</w:t>
                      </w:r>
                    </w:p>
                  </w:txbxContent>
                </v:textbox>
                <w10:wrap type="none"/>
              </v:shape>
              <v:shape style="position:absolute;left:3103;top:4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7321;top:4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期末金额</w:t>
                      </w:r>
                    </w:p>
                  </w:txbxContent>
                </v:textbox>
                <w10:wrap type="none"/>
              </v:shape>
              <v:shape style="position:absolute;left:4288;top:622;width:2668;height:190" type="#_x0000_t202" filled="false" stroked="false">
                <v:textbox inset="0,0,0,0">
                  <w:txbxContent>
                    <w:p>
                      <w:pPr>
                        <w:tabs>
                          <w:tab w:pos="1029" w:val="left" w:leader="none"/>
                          <w:tab w:pos="1917" w:val="left" w:leader="none"/>
                        </w:tabs>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转 回</w:t>
                        <w:tab/>
                        <w:t>转 销</w:t>
                        <w:tab/>
                        <w:t>其 他</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xbxContent>
                </v:textbox>
                <w10:wrap type="none"/>
              </v:shape>
              <v:shape style="position:absolute;left:131;top:103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2011;top:1052;width:2911;height:180" type="#_x0000_t202" filled="false" stroked="false">
                <v:textbox inset="0,0,0,0">
                  <w:txbxContent>
                    <w:p>
                      <w:pPr>
                        <w:tabs>
                          <w:tab w:pos="1065" w:val="left" w:leader="none"/>
                          <w:tab w:pos="2098"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59,440,533</w:t>
                        <w:tab/>
                        <w:t>28,051,859</w:t>
                        <w:tab/>
                        <w:t>16,973,079</w:t>
                      </w:r>
                    </w:p>
                  </w:txbxContent>
                </v:textbox>
                <w10:wrap type="none"/>
              </v:shape>
              <v:shape style="position:absolute;left:5543;top:1052;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6,800</w:t>
                      </w:r>
                    </w:p>
                  </w:txbxContent>
                </v:textbox>
                <w10:wrap type="none"/>
              </v:shape>
              <v:shape style="position:absolute;left:6500;top:105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17,095</w:t>
                      </w:r>
                    </w:p>
                  </w:txbxContent>
                </v:textbox>
                <w10:wrap type="none"/>
              </v:shape>
              <v:shape style="position:absolute;left:7341;top:1052;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70,495,418</w:t>
                      </w:r>
                    </w:p>
                  </w:txbxContent>
                </v:textbox>
                <w10:wrap type="none"/>
              </v:shape>
              <v:shape style="position:absolute;left:131;top:144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存货跌价准备</w:t>
                      </w:r>
                    </w:p>
                  </w:txbxContent>
                </v:textbox>
                <w10:wrap type="none"/>
              </v:shape>
              <v:shape style="position:absolute;left:2011;top:1461;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16,313,574</w:t>
                      </w:r>
                    </w:p>
                  </w:txbxContent>
                </v:textbox>
                <w10:wrap type="none"/>
              </v:shape>
              <v:shape style="position:absolute;left:3302;top:1461;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847,391</w:t>
                      </w:r>
                    </w:p>
                  </w:txbxContent>
                </v:textbox>
                <w10:wrap type="none"/>
              </v:shape>
              <v:shape style="position:absolute;left:4335;top:1461;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536,798</w:t>
                      </w:r>
                    </w:p>
                  </w:txbxContent>
                </v:textbox>
                <w10:wrap type="none"/>
              </v:shape>
              <v:shape style="position:absolute;left:7342;top:146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16,624,167</w:t>
                      </w:r>
                    </w:p>
                  </w:txbxContent>
                </v:textbox>
                <w10:wrap type="none"/>
              </v:shape>
              <v:shape style="position:absolute;left:131;top:1852;width:15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长期股权投资减值</w:t>
                      </w:r>
                    </w:p>
                  </w:txbxContent>
                </v:textbox>
                <w10:wrap type="none"/>
              </v:shape>
              <v:shape style="position:absolute;left:2101;top:207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9,820,000</w:t>
                      </w:r>
                    </w:p>
                  </w:txbxContent>
                </v:textbox>
                <w10:wrap type="none"/>
              </v:shape>
              <v:shape style="position:absolute;left:3167;top:207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1,388,039</w:t>
                      </w:r>
                    </w:p>
                  </w:txbxContent>
                </v:textbox>
                <w10:wrap type="none"/>
              </v:shape>
              <v:shape style="position:absolute;left:7349;top:2072;width:80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11,208,039</w:t>
                      </w:r>
                    </w:p>
                  </w:txbxContent>
                </v:textbox>
                <w10:wrap type="none"/>
              </v:shape>
              <v:shape style="position:absolute;left:131;top:225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准备</w:t>
                      </w:r>
                    </w:p>
                  </w:txbxContent>
                </v:textbox>
                <w10:wrap type="none"/>
              </v:shape>
            </v:group>
          </v:group>
        </w:pict>
      </w:r>
      <w:r>
        <w:rPr>
          <w:rFonts w:ascii="宋体" w:hAnsi="宋体" w:cs="宋体" w:eastAsia="宋体" w:hint="default"/>
          <w:position w:val="-49"/>
          <w:sz w:val="20"/>
          <w:szCs w:val="20"/>
        </w:rPr>
      </w:r>
    </w:p>
    <w:p>
      <w:pPr>
        <w:spacing w:after="0" w:line="2480" w:lineRule="exact"/>
        <w:rPr>
          <w:rFonts w:ascii="宋体" w:hAnsi="宋体" w:cs="宋体" w:eastAsia="宋体" w:hint="default"/>
          <w:sz w:val="20"/>
          <w:szCs w:val="20"/>
        </w:rPr>
        <w:sectPr>
          <w:pgSz w:w="11900" w:h="16840"/>
          <w:pgMar w:header="0" w:footer="1003" w:top="1540" w:bottom="1200" w:left="1660" w:right="1140"/>
        </w:sectPr>
      </w:pPr>
    </w:p>
    <w:p>
      <w:pPr>
        <w:spacing w:line="240" w:lineRule="auto" w:before="12"/>
        <w:rPr>
          <w:rFonts w:ascii="宋体" w:hAnsi="宋体" w:cs="宋体" w:eastAsia="宋体" w:hint="default"/>
          <w:sz w:val="12"/>
          <w:szCs w:val="12"/>
        </w:rPr>
      </w:pPr>
    </w:p>
    <w:tbl>
      <w:tblPr>
        <w:tblW w:w="0" w:type="auto"/>
        <w:jc w:val="left"/>
        <w:tblInd w:w="732" w:type="dxa"/>
        <w:tblLayout w:type="fixed"/>
        <w:tblCellMar>
          <w:top w:w="0" w:type="dxa"/>
          <w:left w:w="0" w:type="dxa"/>
          <w:bottom w:w="0" w:type="dxa"/>
          <w:right w:w="0" w:type="dxa"/>
        </w:tblCellMar>
        <w:tblLook w:val="01E0"/>
      </w:tblPr>
      <w:tblGrid>
        <w:gridCol w:w="1779"/>
        <w:gridCol w:w="1161"/>
        <w:gridCol w:w="1049"/>
        <w:gridCol w:w="1056"/>
        <w:gridCol w:w="1022"/>
        <w:gridCol w:w="1047"/>
        <w:gridCol w:w="1138"/>
      </w:tblGrid>
      <w:tr>
        <w:trPr>
          <w:trHeight w:val="492" w:hRule="exact"/>
        </w:trPr>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tabs>
                <w:tab w:pos="1036" w:val="left" w:leader="none"/>
              </w:tabs>
              <w:spacing w:line="240" w:lineRule="auto"/>
              <w:ind w:left="586"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17" w:right="0"/>
              <w:jc w:val="left"/>
              <w:rPr>
                <w:rFonts w:ascii="宋体" w:hAnsi="宋体" w:cs="宋体" w:eastAsia="宋体" w:hint="default"/>
                <w:sz w:val="18"/>
                <w:szCs w:val="18"/>
              </w:rPr>
            </w:pPr>
            <w:r>
              <w:rPr>
                <w:rFonts w:ascii="宋体" w:hAnsi="宋体" w:cs="宋体" w:eastAsia="宋体" w:hint="default"/>
                <w:sz w:val="18"/>
                <w:szCs w:val="18"/>
              </w:rPr>
              <w:t>期初金额</w:t>
            </w:r>
          </w:p>
        </w:tc>
        <w:tc>
          <w:tcPr>
            <w:tcW w:w="104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5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056" w:type="dxa"/>
            <w:tcBorders>
              <w:top w:val="nil" w:sz="6" w:space="0" w:color="auto"/>
              <w:left w:val="nil" w:sz="6" w:space="0" w:color="auto"/>
              <w:bottom w:val="nil" w:sz="6" w:space="0" w:color="auto"/>
              <w:right w:val="nil" w:sz="6" w:space="0" w:color="auto"/>
            </w:tcBorders>
          </w:tcPr>
          <w:p>
            <w:pP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6"/>
              <w:jc w:val="right"/>
              <w:rPr>
                <w:rFonts w:ascii="宋体" w:hAnsi="宋体" w:cs="宋体" w:eastAsia="宋体" w:hint="default"/>
                <w:sz w:val="18"/>
                <w:szCs w:val="18"/>
              </w:rPr>
            </w:pPr>
            <w:r>
              <w:rPr>
                <w:rFonts w:ascii="宋体" w:hAnsi="宋体" w:cs="宋体" w:eastAsia="宋体" w:hint="default"/>
                <w:sz w:val="18"/>
                <w:szCs w:val="18"/>
              </w:rPr>
              <w:t>本期减少</w:t>
            </w:r>
          </w:p>
        </w:tc>
        <w:tc>
          <w:tcPr>
            <w:tcW w:w="1047" w:type="dxa"/>
            <w:tcBorders>
              <w:top w:val="nil" w:sz="6" w:space="0" w:color="auto"/>
              <w:left w:val="nil" w:sz="6" w:space="0" w:color="auto"/>
              <w:bottom w:val="nil" w:sz="6" w:space="0" w:color="auto"/>
              <w:right w:val="nil" w:sz="6" w:space="0" w:color="auto"/>
            </w:tcBorders>
          </w:tcPr>
          <w:p>
            <w:pP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97" w:right="0"/>
              <w:jc w:val="left"/>
              <w:rPr>
                <w:rFonts w:ascii="宋体" w:hAnsi="宋体" w:cs="宋体" w:eastAsia="宋体" w:hint="default"/>
                <w:sz w:val="18"/>
                <w:szCs w:val="18"/>
              </w:rPr>
            </w:pPr>
            <w:r>
              <w:rPr>
                <w:rFonts w:ascii="宋体" w:hAnsi="宋体" w:cs="宋体" w:eastAsia="宋体" w:hint="default"/>
                <w:sz w:val="18"/>
                <w:szCs w:val="18"/>
              </w:rPr>
              <w:t>期末金额</w:t>
            </w:r>
          </w:p>
        </w:tc>
      </w:tr>
      <w:tr>
        <w:trPr>
          <w:trHeight w:val="318" w:hRule="exact"/>
        </w:trPr>
        <w:tc>
          <w:tcPr>
            <w:tcW w:w="1779" w:type="dxa"/>
            <w:tcBorders>
              <w:top w:val="nil" w:sz="6" w:space="0" w:color="auto"/>
              <w:left w:val="nil" w:sz="6" w:space="0" w:color="auto"/>
              <w:bottom w:val="nil" w:sz="6" w:space="0" w:color="auto"/>
              <w:right w:val="nil" w:sz="6" w:space="0" w:color="auto"/>
            </w:tcBorders>
          </w:tcPr>
          <w:p>
            <w:pPr/>
          </w:p>
        </w:tc>
        <w:tc>
          <w:tcPr>
            <w:tcW w:w="1161" w:type="dxa"/>
            <w:tcBorders>
              <w:top w:val="nil" w:sz="6" w:space="0" w:color="auto"/>
              <w:left w:val="nil" w:sz="6" w:space="0" w:color="auto"/>
              <w:bottom w:val="nil" w:sz="6" w:space="0" w:color="auto"/>
              <w:right w:val="nil" w:sz="6" w:space="0" w:color="auto"/>
            </w:tcBorders>
          </w:tcPr>
          <w:p>
            <w:pPr/>
          </w:p>
        </w:tc>
        <w:tc>
          <w:tcPr>
            <w:tcW w:w="1049"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Style w:val="TableParagraph"/>
              <w:spacing w:line="197" w:lineRule="exact"/>
              <w:ind w:right="26"/>
              <w:jc w:val="center"/>
              <w:rPr>
                <w:rFonts w:ascii="宋体" w:hAnsi="宋体" w:cs="宋体" w:eastAsia="宋体" w:hint="default"/>
                <w:sz w:val="18"/>
                <w:szCs w:val="18"/>
              </w:rPr>
            </w:pPr>
            <w:r>
              <w:rPr>
                <w:rFonts w:ascii="宋体" w:hAnsi="宋体" w:cs="宋体" w:eastAsia="宋体" w:hint="default"/>
                <w:sz w:val="18"/>
                <w:szCs w:val="18"/>
              </w:rPr>
              <w:t>转 回</w:t>
            </w:r>
          </w:p>
        </w:tc>
        <w:tc>
          <w:tcPr>
            <w:tcW w:w="1022" w:type="dxa"/>
            <w:tcBorders>
              <w:top w:val="nil" w:sz="6" w:space="0" w:color="auto"/>
              <w:left w:val="nil" w:sz="6" w:space="0" w:color="auto"/>
              <w:bottom w:val="nil" w:sz="6" w:space="0" w:color="auto"/>
              <w:right w:val="nil" w:sz="6" w:space="0" w:color="auto"/>
            </w:tcBorders>
          </w:tcPr>
          <w:p>
            <w:pPr>
              <w:pStyle w:val="TableParagraph"/>
              <w:spacing w:line="197" w:lineRule="exact"/>
              <w:ind w:left="262" w:right="0"/>
              <w:jc w:val="left"/>
              <w:rPr>
                <w:rFonts w:ascii="宋体" w:hAnsi="宋体" w:cs="宋体" w:eastAsia="宋体" w:hint="default"/>
                <w:sz w:val="18"/>
                <w:szCs w:val="18"/>
              </w:rPr>
            </w:pPr>
            <w:r>
              <w:rPr>
                <w:rFonts w:ascii="宋体" w:hAnsi="宋体" w:cs="宋体" w:eastAsia="宋体" w:hint="default"/>
                <w:sz w:val="18"/>
                <w:szCs w:val="18"/>
              </w:rPr>
              <w:t>转 销</w:t>
            </w:r>
          </w:p>
        </w:tc>
        <w:tc>
          <w:tcPr>
            <w:tcW w:w="1047" w:type="dxa"/>
            <w:tcBorders>
              <w:top w:val="nil" w:sz="6" w:space="0" w:color="auto"/>
              <w:left w:val="nil" w:sz="6" w:space="0" w:color="auto"/>
              <w:bottom w:val="nil" w:sz="6" w:space="0" w:color="auto"/>
              <w:right w:val="nil" w:sz="6" w:space="0" w:color="auto"/>
            </w:tcBorders>
          </w:tcPr>
          <w:p>
            <w:pPr>
              <w:pStyle w:val="TableParagraph"/>
              <w:spacing w:line="211" w:lineRule="exact"/>
              <w:ind w:right="166"/>
              <w:jc w:val="right"/>
              <w:rPr>
                <w:rFonts w:ascii="Times New Roman" w:hAnsi="Times New Roman" w:cs="Times New Roman" w:eastAsia="Times New Roman" w:hint="default"/>
                <w:sz w:val="18"/>
                <w:szCs w:val="18"/>
              </w:rPr>
            </w:pPr>
            <w:r>
              <w:rPr>
                <w:rFonts w:ascii="宋体" w:hAnsi="宋体" w:cs="宋体" w:eastAsia="宋体" w:hint="default"/>
                <w:sz w:val="18"/>
                <w:szCs w:val="18"/>
              </w:rPr>
              <w:t>其 他</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c>
          <w:tcPr>
            <w:tcW w:w="1138" w:type="dxa"/>
            <w:tcBorders>
              <w:top w:val="nil" w:sz="6" w:space="0" w:color="auto"/>
              <w:left w:val="nil" w:sz="6" w:space="0" w:color="auto"/>
              <w:bottom w:val="nil" w:sz="6" w:space="0" w:color="auto"/>
              <w:right w:val="nil" w:sz="6" w:space="0" w:color="auto"/>
            </w:tcBorders>
          </w:tcPr>
          <w:p>
            <w:pPr/>
          </w:p>
        </w:tc>
      </w:tr>
      <w:tr>
        <w:trPr>
          <w:trHeight w:val="415" w:hRule="exact"/>
        </w:trPr>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1" w:right="0"/>
              <w:jc w:val="left"/>
              <w:rPr>
                <w:rFonts w:ascii="宋体" w:hAnsi="宋体" w:cs="宋体" w:eastAsia="宋体" w:hint="default"/>
                <w:sz w:val="18"/>
                <w:szCs w:val="18"/>
              </w:rPr>
            </w:pPr>
            <w:r>
              <w:rPr>
                <w:rFonts w:ascii="宋体" w:hAnsi="宋体" w:cs="宋体" w:eastAsia="宋体" w:hint="default"/>
                <w:sz w:val="18"/>
                <w:szCs w:val="18"/>
              </w:rPr>
              <w:t>固定资产减值准备</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25"/>
              <w:jc w:val="right"/>
              <w:rPr>
                <w:rFonts w:ascii="Times New Roman" w:hAnsi="Times New Roman" w:cs="Times New Roman" w:eastAsia="Times New Roman" w:hint="default"/>
                <w:sz w:val="18"/>
                <w:szCs w:val="18"/>
              </w:rPr>
            </w:pPr>
            <w:r>
              <w:rPr>
                <w:rFonts w:ascii="Times New Roman"/>
                <w:sz w:val="18"/>
              </w:rPr>
              <w:t>3,089,172</w:t>
            </w:r>
          </w:p>
        </w:tc>
        <w:tc>
          <w:tcPr>
            <w:tcW w:w="1049"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26"/>
              <w:jc w:val="right"/>
              <w:rPr>
                <w:rFonts w:ascii="Times New Roman" w:hAnsi="Times New Roman" w:cs="Times New Roman" w:eastAsia="Times New Roman" w:hint="default"/>
                <w:sz w:val="18"/>
                <w:szCs w:val="18"/>
              </w:rPr>
            </w:pPr>
            <w:r>
              <w:rPr>
                <w:rFonts w:ascii="Times New Roman"/>
                <w:sz w:val="18"/>
              </w:rPr>
              <w:t>485,284</w:t>
            </w:r>
          </w:p>
        </w:tc>
        <w:tc>
          <w:tcPr>
            <w:tcW w:w="1047" w:type="dxa"/>
            <w:tcBorders>
              <w:top w:val="nil" w:sz="6" w:space="0" w:color="auto"/>
              <w:left w:val="nil" w:sz="6" w:space="0" w:color="auto"/>
              <w:bottom w:val="nil" w:sz="6" w:space="0" w:color="auto"/>
              <w:right w:val="nil" w:sz="6" w:space="0" w:color="auto"/>
            </w:tcBorders>
          </w:tcPr>
          <w:p>
            <w:pP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6"/>
              <w:jc w:val="right"/>
              <w:rPr>
                <w:rFonts w:ascii="Times New Roman" w:hAnsi="Times New Roman" w:cs="Times New Roman" w:eastAsia="Times New Roman" w:hint="default"/>
                <w:sz w:val="18"/>
                <w:szCs w:val="18"/>
              </w:rPr>
            </w:pPr>
            <w:r>
              <w:rPr>
                <w:rFonts w:ascii="Times New Roman"/>
                <w:sz w:val="18"/>
              </w:rPr>
              <w:t>2,603,888</w:t>
            </w:r>
          </w:p>
        </w:tc>
      </w:tr>
      <w:tr>
        <w:trPr>
          <w:trHeight w:val="410" w:hRule="exact"/>
        </w:trPr>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无形资产减值准备</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1,513,469</w:t>
            </w:r>
          </w:p>
        </w:tc>
        <w:tc>
          <w:tcPr>
            <w:tcW w:w="1049"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6"/>
              <w:jc w:val="right"/>
              <w:rPr>
                <w:rFonts w:ascii="Times New Roman" w:hAnsi="Times New Roman" w:cs="Times New Roman" w:eastAsia="Times New Roman" w:hint="default"/>
                <w:sz w:val="18"/>
                <w:szCs w:val="18"/>
              </w:rPr>
            </w:pPr>
            <w:r>
              <w:rPr>
                <w:rFonts w:ascii="Times New Roman"/>
                <w:sz w:val="18"/>
              </w:rPr>
              <w:t>1,284,283</w:t>
            </w:r>
          </w:p>
        </w:tc>
        <w:tc>
          <w:tcPr>
            <w:tcW w:w="1047" w:type="dxa"/>
            <w:tcBorders>
              <w:top w:val="nil" w:sz="6" w:space="0" w:color="auto"/>
              <w:left w:val="nil" w:sz="6" w:space="0" w:color="auto"/>
              <w:bottom w:val="nil" w:sz="6" w:space="0" w:color="auto"/>
              <w:right w:val="nil" w:sz="6" w:space="0" w:color="auto"/>
            </w:tcBorders>
          </w:tcPr>
          <w:p>
            <w:pP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229,186</w:t>
            </w:r>
          </w:p>
        </w:tc>
      </w:tr>
      <w:tr>
        <w:trPr>
          <w:trHeight w:val="324" w:hRule="exact"/>
        </w:trPr>
        <w:tc>
          <w:tcPr>
            <w:tcW w:w="1779" w:type="dxa"/>
            <w:tcBorders>
              <w:top w:val="nil" w:sz="6" w:space="0" w:color="auto"/>
              <w:left w:val="nil" w:sz="6" w:space="0" w:color="auto"/>
              <w:bottom w:val="single" w:sz="8" w:space="0" w:color="000000"/>
              <w:right w:val="nil" w:sz="6" w:space="0" w:color="auto"/>
            </w:tcBorders>
          </w:tcPr>
          <w:p>
            <w:pPr>
              <w:pStyle w:val="TableParagraph"/>
              <w:spacing w:line="240" w:lineRule="auto" w:before="49"/>
              <w:ind w:left="542" w:right="0"/>
              <w:jc w:val="left"/>
              <w:rPr>
                <w:rFonts w:ascii="宋体" w:hAnsi="宋体" w:cs="宋体" w:eastAsia="宋体" w:hint="default"/>
                <w:sz w:val="18"/>
                <w:szCs w:val="18"/>
              </w:rPr>
            </w:pPr>
            <w:r>
              <w:rPr>
                <w:rFonts w:ascii="宋体" w:hAnsi="宋体" w:cs="宋体" w:eastAsia="宋体" w:hint="default"/>
                <w:sz w:val="18"/>
                <w:szCs w:val="18"/>
              </w:rPr>
              <w:t>合    计 </w:t>
            </w:r>
          </w:p>
        </w:tc>
        <w:tc>
          <w:tcPr>
            <w:tcW w:w="1161"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90,176,748</w:t>
            </w:r>
          </w:p>
        </w:tc>
        <w:tc>
          <w:tcPr>
            <w:tcW w:w="1049"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left="127" w:right="0"/>
              <w:jc w:val="left"/>
              <w:rPr>
                <w:rFonts w:ascii="Times New Roman" w:hAnsi="Times New Roman" w:cs="Times New Roman" w:eastAsia="Times New Roman" w:hint="default"/>
                <w:sz w:val="18"/>
                <w:szCs w:val="18"/>
              </w:rPr>
            </w:pPr>
            <w:r>
              <w:rPr>
                <w:rFonts w:ascii="Times New Roman"/>
                <w:sz w:val="18"/>
              </w:rPr>
              <w:t>30,287,289</w:t>
            </w:r>
          </w:p>
        </w:tc>
        <w:tc>
          <w:tcPr>
            <w:tcW w:w="1056"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20"/>
              <w:jc w:val="center"/>
              <w:rPr>
                <w:rFonts w:ascii="Times New Roman" w:hAnsi="Times New Roman" w:cs="Times New Roman" w:eastAsia="Times New Roman" w:hint="default"/>
                <w:sz w:val="18"/>
                <w:szCs w:val="18"/>
              </w:rPr>
            </w:pPr>
            <w:r>
              <w:rPr>
                <w:rFonts w:ascii="Times New Roman"/>
                <w:sz w:val="18"/>
              </w:rPr>
              <w:t>17,509,877</w:t>
            </w:r>
          </w:p>
        </w:tc>
        <w:tc>
          <w:tcPr>
            <w:tcW w:w="1022"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26"/>
              <w:jc w:val="right"/>
              <w:rPr>
                <w:rFonts w:ascii="Times New Roman" w:hAnsi="Times New Roman" w:cs="Times New Roman" w:eastAsia="Times New Roman" w:hint="default"/>
                <w:sz w:val="18"/>
                <w:szCs w:val="18"/>
              </w:rPr>
            </w:pPr>
            <w:r>
              <w:rPr>
                <w:rFonts w:ascii="Times New Roman"/>
                <w:sz w:val="18"/>
              </w:rPr>
              <w:t>1,776,367</w:t>
            </w:r>
          </w:p>
        </w:tc>
        <w:tc>
          <w:tcPr>
            <w:tcW w:w="1047"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17,095</w:t>
            </w:r>
          </w:p>
        </w:tc>
        <w:tc>
          <w:tcPr>
            <w:tcW w:w="1138"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08"/>
              <w:jc w:val="right"/>
              <w:rPr>
                <w:rFonts w:ascii="Times New Roman" w:hAnsi="Times New Roman" w:cs="Times New Roman" w:eastAsia="Times New Roman" w:hint="default"/>
                <w:sz w:val="18"/>
                <w:szCs w:val="18"/>
              </w:rPr>
            </w:pPr>
            <w:r>
              <w:rPr>
                <w:rFonts w:ascii="Times New Roman"/>
                <w:sz w:val="18"/>
              </w:rPr>
              <w:t>101,160,698</w:t>
            </w:r>
          </w:p>
        </w:tc>
      </w:tr>
    </w:tbl>
    <w:p>
      <w:pPr>
        <w:spacing w:before="83"/>
        <w:ind w:left="855" w:right="0" w:firstLine="0"/>
        <w:jc w:val="left"/>
        <w:rPr>
          <w:rFonts w:ascii="宋体" w:hAnsi="宋体" w:cs="宋体" w:eastAsia="宋体" w:hint="default"/>
          <w:sz w:val="21"/>
          <w:szCs w:val="21"/>
        </w:rPr>
      </w:pPr>
      <w:r>
        <w:rPr/>
        <w:pict>
          <v:group style="position:absolute;margin-left:88.140007pt;margin-top:-105.026001pt;width:444.3pt;height:103.6pt;mso-position-horizontal-relative:page;mso-position-vertical-relative:paragraph;z-index:-985576" coordorigin="1763,-2101" coordsize="8886,2072">
            <v:group style="position:absolute;left:1768;top:-2096;width:8877;height:2" coordorigin="1768,-2096" coordsize="8877,2">
              <v:shape style="position:absolute;left:1768;top:-2096;width:8877;height:2" coordorigin="1768,-2096" coordsize="8877,0" path="m1768,-2096l10644,-2096e" filled="false" stroked="true" strokeweight=".47998pt" strokecolor="#000000">
                <v:path arrowok="t"/>
              </v:shape>
            </v:group>
            <v:group style="position:absolute;left:2414;top:-2081;width:1767;height:2" coordorigin="2414,-2081" coordsize="1767,2">
              <v:shape style="position:absolute;left:2414;top:-2081;width:1767;height:2" coordorigin="2414,-2081" coordsize="1767,0" path="m2414,-2081l4181,-2081e" filled="false" stroked="true" strokeweight=".96002pt" strokecolor="#000000">
                <v:path arrowok="t"/>
              </v:shape>
            </v:group>
            <v:group style="position:absolute;left:4181;top:-2081;width:1128;height:2" coordorigin="4181,-2081" coordsize="1128,2">
              <v:shape style="position:absolute;left:4181;top:-2081;width:1128;height:2" coordorigin="4181,-2081" coordsize="1128,0" path="m4181,-2081l5309,-2081e" filled="false" stroked="true" strokeweight=".96002pt" strokecolor="#000000">
                <v:path arrowok="t"/>
              </v:shape>
            </v:group>
            <v:group style="position:absolute;left:5309;top:-2081;width:1066;height:2" coordorigin="5309,-2081" coordsize="1066,2">
              <v:shape style="position:absolute;left:5309;top:-2081;width:1066;height:2" coordorigin="5309,-2081" coordsize="1066,0" path="m5309,-2081l6374,-2081e" filled="false" stroked="true" strokeweight=".96002pt" strokecolor="#000000">
                <v:path arrowok="t"/>
              </v:shape>
            </v:group>
            <v:group style="position:absolute;left:6374;top:-2081;width:3108;height:2" coordorigin="6374,-2081" coordsize="3108,2">
              <v:shape style="position:absolute;left:6374;top:-2081;width:3108;height:2" coordorigin="6374,-2081" coordsize="3108,0" path="m6374,-2081l9482,-2081e" filled="false" stroked="true" strokeweight=".96002pt" strokecolor="#000000">
                <v:path arrowok="t"/>
              </v:shape>
            </v:group>
            <v:group style="position:absolute;left:9482;top:-2081;width:1156;height:2" coordorigin="9482,-2081" coordsize="1156,2">
              <v:shape style="position:absolute;left:9482;top:-2081;width:1156;height:2" coordorigin="9482,-2081" coordsize="1156,0" path="m9482,-2081l10638,-2081e" filled="false" stroked="true" strokeweight=".96002pt" strokecolor="#000000">
                <v:path arrowok="t"/>
              </v:shape>
              <v:shape style="position:absolute;left:2407;top:-2072;width:8232;height:2042" type="#_x0000_t75" stroked="false">
                <v:imagedata r:id="rId93" o:title=""/>
              </v:shape>
            </v:group>
            <w10:wrap type="none"/>
          </v:group>
        </w:pict>
      </w:r>
      <w:r>
        <w:rPr>
          <w:rFonts w:ascii="宋体" w:hAnsi="宋体" w:cs="宋体" w:eastAsia="宋体" w:hint="default"/>
          <w:sz w:val="21"/>
          <w:szCs w:val="21"/>
        </w:rPr>
        <w:t>注：减少的坏账准备主要为合并范围变化以及汇率变动影响。</w:t>
      </w:r>
    </w:p>
    <w:p>
      <w:pPr>
        <w:spacing w:before="125"/>
        <w:ind w:left="12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4"/>
          <w:sz w:val="21"/>
          <w:szCs w:val="21"/>
        </w:rPr>
        <w:t> </w:t>
      </w:r>
      <w:r>
        <w:rPr>
          <w:rFonts w:ascii="宋体" w:hAnsi="宋体" w:cs="宋体" w:eastAsia="宋体" w:hint="default"/>
          <w:sz w:val="21"/>
          <w:szCs w:val="21"/>
        </w:rPr>
        <w:t>交易性金融负债</w:t>
      </w:r>
    </w:p>
    <w:p>
      <w:pPr>
        <w:spacing w:line="850" w:lineRule="exact"/>
        <w:ind w:left="723"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13.6pt;height:42.55pt;mso-position-horizontal-relative:char;mso-position-vertical-relative:line" coordorigin="0,0" coordsize="8272,851">
            <v:group style="position:absolute;left:24;top:10;width:3868;height:2" coordorigin="24,10" coordsize="3868,2">
              <v:shape style="position:absolute;left:24;top:10;width:3868;height:2" coordorigin="24,10" coordsize="3868,0" path="m24,10l3892,10e" filled="false" stroked="true" strokeweight=".96002pt" strokecolor="#000000">
                <v:path arrowok="t"/>
              </v:shape>
            </v:group>
            <v:group style="position:absolute;left:3892;top:10;width:2182;height:2" coordorigin="3892,10" coordsize="2182,2">
              <v:shape style="position:absolute;left:3892;top:10;width:2182;height:2" coordorigin="3892,10" coordsize="2182,0" path="m3892,10l6073,10e" filled="false" stroked="true" strokeweight=".96002pt" strokecolor="#000000">
                <v:path arrowok="t"/>
              </v:shape>
            </v:group>
            <v:group style="position:absolute;left:6073;top:10;width:2182;height:2" coordorigin="6073,10" coordsize="2182,2">
              <v:shape style="position:absolute;left:6073;top:10;width:2182;height:2" coordorigin="6073,10" coordsize="2182,0" path="m6073,10l8255,10e" filled="false" stroked="true" strokeweight=".96002pt" strokecolor="#000000">
                <v:path arrowok="t"/>
              </v:shape>
            </v:group>
            <v:group style="position:absolute;left:10;top:841;width:3882;height:2" coordorigin="10,841" coordsize="3882,2">
              <v:shape style="position:absolute;left:10;top:841;width:3882;height:2" coordorigin="10,841" coordsize="3882,0" path="m10,841l3892,841e" filled="false" stroked="true" strokeweight=".95996pt" strokecolor="#000000">
                <v:path arrowok="t"/>
              </v:shape>
            </v:group>
            <v:group style="position:absolute;left:3892;top:841;width:2182;height:2" coordorigin="3892,841" coordsize="2182,2">
              <v:shape style="position:absolute;left:3892;top:841;width:2182;height:2" coordorigin="3892,841" coordsize="2182,0" path="m3892,841l6073,841e" filled="false" stroked="true" strokeweight=".95996pt" strokecolor="#000000">
                <v:path arrowok="t"/>
              </v:shape>
              <v:shape style="position:absolute;left:24;top:19;width:8243;height:812" type="#_x0000_t75" stroked="false">
                <v:imagedata r:id="rId94" o:title=""/>
              </v:shape>
            </v:group>
            <v:group style="position:absolute;left:6073;top:841;width:2189;height:2" coordorigin="6073,841" coordsize="2189,2">
              <v:shape style="position:absolute;left:6073;top:841;width:2189;height:2" coordorigin="6073,841" coordsize="2189,0" path="m6073,841l8262,841e" filled="false" stroked="true" strokeweight=".95996pt" strokecolor="#000000">
                <v:path arrowok="t"/>
              </v:shape>
              <v:shape style="position:absolute;left:131;top:178;width:2940;height:631" type="#_x0000_t202" filled="false" stroked="false">
                <v:textbox inset="0,0,0,0">
                  <w:txbxContent>
                    <w:p>
                      <w:pPr>
                        <w:spacing w:line="210" w:lineRule="exact" w:before="0"/>
                        <w:ind w:left="1407" w:right="0" w:firstLine="0"/>
                        <w:jc w:val="left"/>
                        <w:rPr>
                          <w:rFonts w:ascii="宋体" w:hAnsi="宋体" w:cs="宋体" w:eastAsia="宋体" w:hint="default"/>
                          <w:sz w:val="21"/>
                          <w:szCs w:val="21"/>
                        </w:rPr>
                      </w:pPr>
                      <w:r>
                        <w:rPr>
                          <w:rFonts w:ascii="宋体" w:hAnsi="宋体" w:cs="宋体" w:eastAsia="宋体" w:hint="default"/>
                          <w:sz w:val="21"/>
                          <w:szCs w:val="21"/>
                        </w:rPr>
                        <w:t>项    目</w:t>
                      </w:r>
                    </w:p>
                    <w:p>
                      <w:pPr>
                        <w:spacing w:line="286" w:lineRule="exact"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衍生金融负债</w:t>
                      </w:r>
                      <w:r>
                        <w:rPr>
                          <w:rFonts w:ascii="Times New Roman" w:hAnsi="Times New Roman" w:cs="Times New Roman" w:eastAsia="Times New Roman" w:hint="default"/>
                          <w:sz w:val="21"/>
                          <w:szCs w:val="21"/>
                        </w:rPr>
                        <w:t>——</w:t>
                      </w:r>
                      <w:r>
                        <w:rPr>
                          <w:rFonts w:ascii="宋体" w:hAnsi="宋体" w:cs="宋体" w:eastAsia="宋体" w:hint="default"/>
                          <w:sz w:val="21"/>
                          <w:szCs w:val="21"/>
                        </w:rPr>
                        <w:t>远期外汇合同</w:t>
                      </w:r>
                    </w:p>
                  </w:txbxContent>
                </v:textbox>
                <w10:wrap type="none"/>
              </v:shape>
              <v:shape style="position:absolute;left:4357;top:17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期末公允价值</w:t>
                      </w:r>
                    </w:p>
                  </w:txbxContent>
                </v:textbox>
                <w10:wrap type="none"/>
              </v:shape>
              <v:shape style="position:absolute;left:6540;top:17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期初公允价值</w:t>
                      </w:r>
                    </w:p>
                  </w:txbxContent>
                </v:textbox>
                <w10:wrap type="none"/>
              </v:shape>
              <v:shape style="position:absolute;left:7313;top:613;width:84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8,760,139</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spacing w:before="35"/>
        <w:ind w:left="12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4"/>
          <w:sz w:val="21"/>
          <w:szCs w:val="21"/>
        </w:rPr>
        <w:t> </w:t>
      </w:r>
      <w:r>
        <w:rPr>
          <w:rFonts w:ascii="宋体" w:hAnsi="宋体" w:cs="宋体" w:eastAsia="宋体" w:hint="default"/>
          <w:sz w:val="21"/>
          <w:szCs w:val="21"/>
        </w:rPr>
        <w:t>应付票据</w:t>
      </w:r>
    </w:p>
    <w:p>
      <w:pPr>
        <w:spacing w:line="861" w:lineRule="exact"/>
        <w:ind w:left="723"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13.6pt;height:43.1pt;mso-position-horizontal-relative:char;mso-position-vertical-relative:line" coordorigin="0,0" coordsize="8272,862">
            <v:group style="position:absolute;left:24;top:10;width:3852;height:2" coordorigin="24,10" coordsize="3852,2">
              <v:shape style="position:absolute;left:24;top:10;width:3852;height:2" coordorigin="24,10" coordsize="3852,0" path="m24,10l3876,10e" filled="false" stroked="true" strokeweight=".96002pt" strokecolor="#000000">
                <v:path arrowok="t"/>
              </v:shape>
            </v:group>
            <v:group style="position:absolute;left:3876;top:10;width:2198;height:2" coordorigin="3876,10" coordsize="2198,2">
              <v:shape style="position:absolute;left:3876;top:10;width:2198;height:2" coordorigin="3876,10" coordsize="2198,0" path="m3876,10l6073,10e" filled="false" stroked="true" strokeweight=".96002pt" strokecolor="#000000">
                <v:path arrowok="t"/>
              </v:shape>
            </v:group>
            <v:group style="position:absolute;left:6073;top:10;width:2182;height:2" coordorigin="6073,10" coordsize="2182,2">
              <v:shape style="position:absolute;left:6073;top:10;width:2182;height:2" coordorigin="6073,10" coordsize="2182,0" path="m6073,10l8255,10e" filled="false" stroked="true" strokeweight=".96002pt" strokecolor="#000000">
                <v:path arrowok="t"/>
              </v:shape>
            </v:group>
            <v:group style="position:absolute;left:10;top:852;width:3867;height:2" coordorigin="10,852" coordsize="3867,2">
              <v:shape style="position:absolute;left:10;top:852;width:3867;height:2" coordorigin="10,852" coordsize="3867,0" path="m10,852l3876,852e" filled="false" stroked="true" strokeweight=".96002pt" strokecolor="#000000">
                <v:path arrowok="t"/>
              </v:shape>
            </v:group>
            <v:group style="position:absolute;left:3876;top:852;width:2198;height:2" coordorigin="3876,852" coordsize="2198,2">
              <v:shape style="position:absolute;left:3876;top:852;width:2198;height:2" coordorigin="3876,852" coordsize="2198,0" path="m3876,852l6073,852e" filled="false" stroked="true" strokeweight=".96002pt" strokecolor="#000000">
                <v:path arrowok="t"/>
              </v:shape>
              <v:shape style="position:absolute;left:24;top:19;width:8243;height:823" type="#_x0000_t75" stroked="false">
                <v:imagedata r:id="rId95" o:title=""/>
              </v:shape>
            </v:group>
            <v:group style="position:absolute;left:6073;top:852;width:2189;height:2" coordorigin="6073,852" coordsize="2189,2">
              <v:shape style="position:absolute;left:6073;top:852;width:2189;height:2" coordorigin="6073,852" coordsize="2189,0" path="m6073,852l8262,852e" filled="false" stroked="true" strokeweight=".96002pt" strokecolor="#000000">
                <v:path arrowok="t"/>
              </v:shape>
              <v:shape style="position:absolute;left:1530;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种    类</w:t>
                      </w:r>
                    </w:p>
                  </w:txbxContent>
                </v:textbox>
                <w10:wrap type="none"/>
              </v:shape>
              <v:shape style="position:absolute;left:4560;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期末金额</w:t>
                      </w:r>
                    </w:p>
                  </w:txbxContent>
                </v:textbox>
                <w10:wrap type="none"/>
              </v:shape>
              <v:shape style="position:absolute;left:6749;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期初金额</w:t>
                      </w:r>
                    </w:p>
                  </w:txbxContent>
                </v:textbox>
                <w10:wrap type="none"/>
              </v:shape>
              <v:shape style="position:absolute;left:131;top:59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银行承兑汇票</w:t>
                      </w:r>
                    </w:p>
                  </w:txbxContent>
                </v:textbox>
                <w10:wrap type="none"/>
              </v:shape>
              <v:shape style="position:absolute;left:4921;top:619;width:105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127,940,447</w:t>
                      </w:r>
                    </w:p>
                  </w:txbxContent>
                </v:textbox>
                <w10:wrap type="none"/>
              </v:shape>
              <v:shape style="position:absolute;left:7207;top:619;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98,323,137</w:t>
                      </w:r>
                    </w:p>
                  </w:txbxContent>
                </v:textbox>
                <w10:wrap type="none"/>
              </v:shape>
            </v:group>
          </v:group>
        </w:pict>
      </w:r>
      <w:r>
        <w:rPr>
          <w:rFonts w:ascii="宋体" w:hAnsi="宋体" w:cs="宋体" w:eastAsia="宋体" w:hint="default"/>
          <w:position w:val="-16"/>
          <w:sz w:val="20"/>
          <w:szCs w:val="20"/>
        </w:rPr>
      </w:r>
    </w:p>
    <w:p>
      <w:pPr>
        <w:spacing w:line="240" w:lineRule="auto" w:before="9"/>
        <w:rPr>
          <w:rFonts w:ascii="宋体" w:hAnsi="宋体" w:cs="宋体" w:eastAsia="宋体" w:hint="default"/>
          <w:sz w:val="5"/>
          <w:szCs w:val="5"/>
        </w:rPr>
      </w:pPr>
    </w:p>
    <w:p>
      <w:pPr>
        <w:spacing w:before="35"/>
        <w:ind w:left="855" w:right="0" w:firstLine="0"/>
        <w:jc w:val="left"/>
        <w:rPr>
          <w:rFonts w:ascii="宋体" w:hAnsi="宋体" w:cs="宋体" w:eastAsia="宋体" w:hint="default"/>
          <w:sz w:val="21"/>
          <w:szCs w:val="21"/>
        </w:rPr>
      </w:pPr>
      <w:r>
        <w:rPr>
          <w:rFonts w:ascii="宋体" w:hAnsi="宋体" w:cs="宋体" w:eastAsia="宋体" w:hint="default"/>
          <w:sz w:val="21"/>
          <w:szCs w:val="21"/>
        </w:rPr>
        <w:t>下一会计期间将到期的金额为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127,940,447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spacing w:before="0"/>
        <w:ind w:left="12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二十三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4"/>
          <w:sz w:val="21"/>
          <w:szCs w:val="21"/>
        </w:rPr>
        <w:t> </w:t>
      </w:r>
      <w:r>
        <w:rPr>
          <w:rFonts w:ascii="宋体" w:hAnsi="宋体" w:cs="宋体" w:eastAsia="宋体" w:hint="default"/>
          <w:sz w:val="21"/>
          <w:szCs w:val="21"/>
        </w:rPr>
        <w:t>应付账款</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393" w:val="left" w:leader="none"/>
        </w:tabs>
        <w:spacing w:before="0"/>
        <w:ind w:left="85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应付账款情况</w:t>
      </w:r>
    </w:p>
    <w:p>
      <w:pPr>
        <w:spacing w:line="852" w:lineRule="exact"/>
        <w:ind w:left="723"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13.6pt;height:42.6pt;mso-position-horizontal-relative:char;mso-position-vertical-relative:line" coordorigin="0,0" coordsize="8272,852">
            <v:group style="position:absolute;left:24;top:10;width:3852;height:2" coordorigin="24,10" coordsize="3852,2">
              <v:shape style="position:absolute;left:24;top:10;width:3852;height:2" coordorigin="24,10" coordsize="3852,0" path="m24,10l3876,10e" filled="false" stroked="true" strokeweight=".95999pt" strokecolor="#000000">
                <v:path arrowok="t"/>
              </v:shape>
            </v:group>
            <v:group style="position:absolute;left:3876;top:10;width:2211;height:2" coordorigin="3876,10" coordsize="2211,2">
              <v:shape style="position:absolute;left:3876;top:10;width:2211;height:2" coordorigin="3876,10" coordsize="2211,0" path="m3876,10l6086,10e" filled="false" stroked="true" strokeweight=".95999pt" strokecolor="#000000">
                <v:path arrowok="t"/>
              </v:shape>
            </v:group>
            <v:group style="position:absolute;left:6086;top:10;width:2169;height:2" coordorigin="6086,10" coordsize="2169,2">
              <v:shape style="position:absolute;left:6086;top:10;width:2169;height:2" coordorigin="6086,10" coordsize="2169,0" path="m6086,10l8255,10e" filled="false" stroked="true" strokeweight=".95999pt" strokecolor="#000000">
                <v:path arrowok="t"/>
              </v:shape>
            </v:group>
            <v:group style="position:absolute;left:10;top:842;width:3867;height:2" coordorigin="10,842" coordsize="3867,2">
              <v:shape style="position:absolute;left:10;top:842;width:3867;height:2" coordorigin="10,842" coordsize="3867,0" path="m10,842l3876,842e" filled="false" stroked="true" strokeweight=".96002pt" strokecolor="#000000">
                <v:path arrowok="t"/>
              </v:shape>
            </v:group>
            <v:group style="position:absolute;left:3876;top:842;width:2211;height:2" coordorigin="3876,842" coordsize="2211,2">
              <v:shape style="position:absolute;left:3876;top:842;width:2211;height:2" coordorigin="3876,842" coordsize="2211,0" path="m3876,842l6086,842e" filled="false" stroked="true" strokeweight=".96002pt" strokecolor="#000000">
                <v:path arrowok="t"/>
              </v:shape>
              <v:shape style="position:absolute;left:24;top:19;width:8237;height:814" type="#_x0000_t75" stroked="false">
                <v:imagedata r:id="rId96" o:title=""/>
              </v:shape>
            </v:group>
            <v:group style="position:absolute;left:6086;top:842;width:2176;height:2" coordorigin="6086,842" coordsize="2176,2">
              <v:shape style="position:absolute;left:6086;top:842;width:2176;height:2" coordorigin="6086,842" coordsize="2176,0" path="m6086,842l8262,842e" filled="false" stroked="true" strokeweight=".96002pt" strokecolor="#000000">
                <v:path arrowok="t"/>
              </v:shape>
              <v:shape style="position:absolute;left:1530;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    目</w:t>
                      </w:r>
                    </w:p>
                  </w:txbxContent>
                </v:textbox>
                <w10:wrap type="none"/>
              </v:shape>
              <v:shape style="position:absolute;left:4566;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期末金额</w:t>
                      </w:r>
                    </w:p>
                  </w:txbxContent>
                </v:textbox>
                <w10:wrap type="none"/>
              </v:shape>
              <v:shape style="position:absolute;left:6756;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期初金额</w:t>
                      </w:r>
                    </w:p>
                  </w:txbxContent>
                </v:textbox>
                <w10:wrap type="none"/>
              </v:shape>
              <v:shape style="position:absolute;left:131;top:589;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采购款</w:t>
                      </w:r>
                    </w:p>
                  </w:txbxContent>
                </v:textbox>
                <w10:wrap type="none"/>
              </v:shape>
              <v:shape style="position:absolute;left:4934;top:615;width:105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483,804,916</w:t>
                      </w:r>
                    </w:p>
                  </w:txbxContent>
                </v:textbox>
                <w10:wrap type="none"/>
              </v:shape>
              <v:shape style="position:absolute;left:7103;top:615;width:105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373,325,540</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tabs>
          <w:tab w:pos="1393" w:val="left" w:leader="none"/>
        </w:tabs>
        <w:spacing w:before="35"/>
        <w:ind w:left="85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期末金额中无欠持本公司</w:t>
      </w:r>
      <w:r>
        <w:rPr>
          <w:rFonts w:ascii="宋体" w:hAnsi="宋体" w:cs="宋体" w:eastAsia="宋体" w:hint="default"/>
          <w:spacing w:val="-44"/>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％以上（含</w:t>
      </w:r>
      <w:r>
        <w:rPr>
          <w:rFonts w:ascii="宋体" w:hAnsi="宋体" w:cs="宋体" w:eastAsia="宋体" w:hint="default"/>
          <w:spacing w:val="-44"/>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％）表决权股份的股东单位款项。</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410" w:val="left" w:leader="none"/>
        </w:tabs>
        <w:spacing w:before="0"/>
        <w:ind w:left="85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期末金额中欠关联方情况：</w:t>
      </w:r>
    </w:p>
    <w:p>
      <w:pPr>
        <w:spacing w:before="109"/>
        <w:ind w:left="1397" w:right="0" w:firstLine="0"/>
        <w:jc w:val="left"/>
        <w:rPr>
          <w:rFonts w:ascii="宋体" w:hAnsi="宋体" w:cs="宋体" w:eastAsia="宋体" w:hint="default"/>
          <w:sz w:val="21"/>
          <w:szCs w:val="21"/>
        </w:rPr>
      </w:pPr>
      <w:r>
        <w:rPr>
          <w:rFonts w:ascii="宋体" w:hAnsi="宋体" w:cs="宋体" w:eastAsia="宋体" w:hint="default"/>
          <w:sz w:val="21"/>
          <w:szCs w:val="21"/>
        </w:rPr>
        <w:t>期末关联方应付款</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8,66</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,39</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r>
        <w:rPr>
          <w:rFonts w:ascii="宋体" w:hAnsi="宋体" w:cs="宋体" w:eastAsia="宋体" w:hint="default"/>
          <w:spacing w:val="-2"/>
          <w:sz w:val="21"/>
          <w:szCs w:val="21"/>
        </w:rPr>
        <w:t>详</w:t>
      </w:r>
      <w:r>
        <w:rPr>
          <w:rFonts w:ascii="宋体" w:hAnsi="宋体" w:cs="宋体" w:eastAsia="宋体" w:hint="default"/>
          <w:sz w:val="21"/>
          <w:szCs w:val="21"/>
        </w:rPr>
        <w:t>见本附注七（四</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pacing w:val="-7"/>
          <w:sz w:val="21"/>
          <w:szCs w:val="21"/>
        </w:rPr>
        <w:t>1</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410" w:val="left" w:leader="none"/>
        </w:tabs>
        <w:spacing w:before="0"/>
        <w:ind w:left="85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tab/>
        <w:t>账龄超过一年的大额应付账款：</w:t>
      </w:r>
    </w:p>
    <w:p>
      <w:pPr>
        <w:spacing w:line="1670" w:lineRule="exact"/>
        <w:ind w:left="723"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12.9pt;height:83.55pt;mso-position-horizontal-relative:char;mso-position-vertical-relative:line" coordorigin="0,0" coordsize="8258,1671">
            <v:group style="position:absolute;left:24;top:10;width:1674;height:2" coordorigin="24,10" coordsize="1674,2">
              <v:shape style="position:absolute;left:24;top:10;width:1674;height:2" coordorigin="24,10" coordsize="1674,0" path="m24,10l1698,10e" filled="false" stroked="true" strokeweight=".96001pt" strokecolor="#000000">
                <v:path arrowok="t"/>
              </v:shape>
            </v:group>
            <v:group style="position:absolute;left:1698;top:10;width:2030;height:2" coordorigin="1698,10" coordsize="2030,2">
              <v:shape style="position:absolute;left:1698;top:10;width:2030;height:2" coordorigin="1698,10" coordsize="2030,0" path="m1698,10l3727,10e" filled="false" stroked="true" strokeweight=".96001pt" strokecolor="#000000">
                <v:path arrowok="t"/>
              </v:shape>
            </v:group>
            <v:group style="position:absolute;left:3727;top:10;width:2028;height:2" coordorigin="3727,10" coordsize="2028,2">
              <v:shape style="position:absolute;left:3727;top:10;width:2028;height:2" coordorigin="3727,10" coordsize="2028,0" path="m3727,10l5755,10e" filled="false" stroked="true" strokeweight=".96001pt" strokecolor="#000000">
                <v:path arrowok="t"/>
              </v:shape>
            </v:group>
            <v:group style="position:absolute;left:5755;top:10;width:2486;height:2" coordorigin="5755,10" coordsize="2486,2">
              <v:shape style="position:absolute;left:5755;top:10;width:2486;height:2" coordorigin="5755,10" coordsize="2486,0" path="m5755,10l8240,10e" filled="false" stroked="true" strokeweight=".96001pt" strokecolor="#000000">
                <v:path arrowok="t"/>
              </v:shape>
            </v:group>
            <v:group style="position:absolute;left:10;top:1661;width:1689;height:2" coordorigin="10,1661" coordsize="1689,2">
              <v:shape style="position:absolute;left:10;top:1661;width:1689;height:2" coordorigin="10,1661" coordsize="1689,0" path="m10,1661l1698,1661e" filled="false" stroked="true" strokeweight=".95999pt" strokecolor="#000000">
                <v:path arrowok="t"/>
              </v:shape>
            </v:group>
            <v:group style="position:absolute;left:1698;top:1661;width:2030;height:2" coordorigin="1698,1661" coordsize="2030,2">
              <v:shape style="position:absolute;left:1698;top:1661;width:2030;height:2" coordorigin="1698,1661" coordsize="2030,0" path="m1698,1661l3727,1661e" filled="false" stroked="true" strokeweight=".95999pt" strokecolor="#000000">
                <v:path arrowok="t"/>
              </v:shape>
            </v:group>
            <v:group style="position:absolute;left:3727;top:1661;width:2028;height:2" coordorigin="3727,1661" coordsize="2028,2">
              <v:shape style="position:absolute;left:3727;top:1661;width:2028;height:2" coordorigin="3727,1661" coordsize="2028,0" path="m3727,1661l5755,1661e" filled="false" stroked="true" strokeweight=".95999pt" strokecolor="#000000">
                <v:path arrowok="t"/>
              </v:shape>
              <v:shape style="position:absolute;left:24;top:19;width:8227;height:1632" type="#_x0000_t75" stroked="false">
                <v:imagedata r:id="rId97" o:title=""/>
              </v:shape>
            </v:group>
            <v:group style="position:absolute;left:5755;top:1661;width:2493;height:2" coordorigin="5755,1661" coordsize="2493,2">
              <v:shape style="position:absolute;left:5755;top:1661;width:2493;height:2" coordorigin="5755,1661" coordsize="2493,0" path="m5755,1661l8248,1661e" filled="false" stroked="true" strokeweight=".95999pt" strokecolor="#000000">
                <v:path arrowok="t"/>
              </v:shape>
              <v:shape style="position:absolute;left:131;top:178;width:1256;height:1439" type="#_x0000_t202" filled="false" stroked="false">
                <v:textbox inset="0,0,0,0">
                  <w:txbxContent>
                    <w:p>
                      <w:pPr>
                        <w:spacing w:line="210" w:lineRule="exact" w:before="0"/>
                        <w:ind w:left="205" w:right="0" w:firstLine="0"/>
                        <w:jc w:val="left"/>
                        <w:rPr>
                          <w:rFonts w:ascii="宋体" w:hAnsi="宋体" w:cs="宋体" w:eastAsia="宋体" w:hint="default"/>
                          <w:sz w:val="21"/>
                          <w:szCs w:val="21"/>
                        </w:rPr>
                      </w:pPr>
                      <w:r>
                        <w:rPr>
                          <w:rFonts w:ascii="宋体" w:hAnsi="宋体" w:cs="宋体" w:eastAsia="宋体" w:hint="default"/>
                          <w:sz w:val="21"/>
                          <w:szCs w:val="21"/>
                        </w:rPr>
                        <w:t>债权人排名</w:t>
                      </w:r>
                    </w:p>
                    <w:p>
                      <w:pPr>
                        <w:spacing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第一名</w:t>
                      </w:r>
                    </w:p>
                    <w:p>
                      <w:pPr>
                        <w:spacing w:line="410" w:lineRule="atLeast" w:before="0"/>
                        <w:ind w:left="0" w:right="623" w:firstLine="0"/>
                        <w:jc w:val="left"/>
                        <w:rPr>
                          <w:rFonts w:ascii="宋体" w:hAnsi="宋体" w:cs="宋体" w:eastAsia="宋体" w:hint="default"/>
                          <w:sz w:val="21"/>
                          <w:szCs w:val="21"/>
                        </w:rPr>
                      </w:pPr>
                      <w:r>
                        <w:rPr>
                          <w:rFonts w:ascii="宋体" w:hAnsi="宋体" w:cs="宋体" w:eastAsia="宋体" w:hint="default"/>
                          <w:sz w:val="21"/>
                          <w:szCs w:val="21"/>
                        </w:rPr>
                        <w:t>第二名 第三名</w:t>
                      </w:r>
                    </w:p>
                  </w:txbxContent>
                </v:textbox>
                <w10:wrap type="none"/>
              </v:shape>
              <v:shape style="position:absolute;left:1811;top:178;width:1537;height:1439" type="#_x0000_t202" filled="false" stroked="false">
                <v:textbox inset="0,0,0,0">
                  <w:txbxContent>
                    <w:p>
                      <w:pPr>
                        <w:spacing w:line="210" w:lineRule="exact" w:before="0"/>
                        <w:ind w:left="276"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p>
                      <w:pPr>
                        <w:spacing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p>
                      <w:pPr>
                        <w:spacing w:line="410" w:lineRule="atLeast" w:before="0"/>
                        <w:ind w:left="0" w:right="694" w:firstLine="0"/>
                        <w:jc w:val="left"/>
                        <w:rPr>
                          <w:rFonts w:ascii="宋体" w:hAnsi="宋体" w:cs="宋体" w:eastAsia="宋体" w:hint="default"/>
                          <w:sz w:val="21"/>
                          <w:szCs w:val="21"/>
                        </w:rPr>
                      </w:pPr>
                      <w:r>
                        <w:rPr>
                          <w:rFonts w:ascii="宋体" w:hAnsi="宋体" w:cs="宋体" w:eastAsia="宋体" w:hint="default"/>
                          <w:sz w:val="21"/>
                          <w:szCs w:val="21"/>
                        </w:rPr>
                        <w:t>非关联方 非关联方</w:t>
                      </w:r>
                    </w:p>
                  </w:txbxContent>
                </v:textbox>
                <w10:wrap type="none"/>
              </v:shape>
              <v:shape style="position:absolute;left:4379;top:178;width:1274;height:1465"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tab/>
                        <w:t>额</w:t>
                      </w:r>
                    </w:p>
                    <w:p>
                      <w:pPr>
                        <w:spacing w:line="240" w:lineRule="auto" w:before="2"/>
                        <w:rPr>
                          <w:rFonts w:ascii="宋体" w:hAnsi="宋体" w:cs="宋体" w:eastAsia="宋体" w:hint="default"/>
                          <w:sz w:val="15"/>
                          <w:szCs w:val="15"/>
                        </w:rPr>
                      </w:pPr>
                    </w:p>
                    <w:p>
                      <w:pPr>
                        <w:spacing w:before="0"/>
                        <w:ind w:left="328" w:right="0" w:firstLine="0"/>
                        <w:jc w:val="center"/>
                        <w:rPr>
                          <w:rFonts w:ascii="Times New Roman" w:hAnsi="Times New Roman" w:cs="Times New Roman" w:eastAsia="Times New Roman" w:hint="default"/>
                          <w:sz w:val="21"/>
                          <w:szCs w:val="21"/>
                        </w:rPr>
                      </w:pPr>
                      <w:r>
                        <w:rPr>
                          <w:rFonts w:ascii="Times New Roman"/>
                          <w:spacing w:val="-1"/>
                          <w:sz w:val="21"/>
                        </w:rPr>
                        <w:t>14,018,544</w:t>
                      </w:r>
                    </w:p>
                    <w:p>
                      <w:pPr>
                        <w:spacing w:before="169"/>
                        <w:ind w:left="432" w:right="0" w:firstLine="0"/>
                        <w:jc w:val="center"/>
                        <w:rPr>
                          <w:rFonts w:ascii="Times New Roman" w:hAnsi="Times New Roman" w:cs="Times New Roman" w:eastAsia="Times New Roman" w:hint="default"/>
                          <w:sz w:val="21"/>
                          <w:szCs w:val="21"/>
                        </w:rPr>
                      </w:pPr>
                      <w:r>
                        <w:rPr>
                          <w:rFonts w:ascii="Times New Roman"/>
                          <w:spacing w:val="-1"/>
                          <w:sz w:val="21"/>
                        </w:rPr>
                        <w:t>5,579,500</w:t>
                      </w:r>
                    </w:p>
                    <w:p>
                      <w:pPr>
                        <w:spacing w:line="237" w:lineRule="exact" w:before="167"/>
                        <w:ind w:left="432" w:right="0" w:firstLine="0"/>
                        <w:jc w:val="center"/>
                        <w:rPr>
                          <w:rFonts w:ascii="Times New Roman" w:hAnsi="Times New Roman" w:cs="Times New Roman" w:eastAsia="Times New Roman" w:hint="default"/>
                          <w:sz w:val="21"/>
                          <w:szCs w:val="21"/>
                        </w:rPr>
                      </w:pPr>
                      <w:r>
                        <w:rPr>
                          <w:rFonts w:ascii="Times New Roman"/>
                          <w:spacing w:val="-1"/>
                          <w:sz w:val="21"/>
                        </w:rPr>
                        <w:t>1,242,664</w:t>
                      </w:r>
                    </w:p>
                  </w:txbxContent>
                </v:textbox>
                <w10:wrap type="none"/>
              </v:shape>
              <v:shape style="position:absolute;left:6479;top:178;width:1661;height:143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未结转原因</w:t>
                      </w:r>
                    </w:p>
                    <w:p>
                      <w:pPr>
                        <w:spacing w:before="134"/>
                        <w:ind w:left="400" w:right="0" w:firstLine="420"/>
                        <w:jc w:val="left"/>
                        <w:rPr>
                          <w:rFonts w:ascii="宋体" w:hAnsi="宋体" w:cs="宋体" w:eastAsia="宋体" w:hint="default"/>
                          <w:sz w:val="21"/>
                          <w:szCs w:val="21"/>
                        </w:rPr>
                      </w:pPr>
                      <w:r>
                        <w:rPr>
                          <w:rFonts w:ascii="宋体" w:hAnsi="宋体" w:cs="宋体" w:eastAsia="宋体" w:hint="default"/>
                          <w:sz w:val="21"/>
                          <w:szCs w:val="21"/>
                        </w:rPr>
                        <w:t>工程尾款</w:t>
                      </w:r>
                    </w:p>
                    <w:p>
                      <w:pPr>
                        <w:spacing w:line="410" w:lineRule="atLeast" w:before="0"/>
                        <w:ind w:left="400" w:right="0" w:firstLine="0"/>
                        <w:jc w:val="left"/>
                        <w:rPr>
                          <w:rFonts w:ascii="宋体" w:hAnsi="宋体" w:cs="宋体" w:eastAsia="宋体" w:hint="default"/>
                          <w:sz w:val="21"/>
                          <w:szCs w:val="21"/>
                        </w:rPr>
                      </w:pPr>
                      <w:r>
                        <w:rPr>
                          <w:rFonts w:ascii="宋体" w:hAnsi="宋体" w:cs="宋体" w:eastAsia="宋体" w:hint="default"/>
                          <w:sz w:val="21"/>
                          <w:szCs w:val="21"/>
                        </w:rPr>
                        <w:t>未结算项目款 未结算项目款</w:t>
                      </w:r>
                    </w:p>
                  </w:txbxContent>
                </v:textbox>
                <w10:wrap type="none"/>
              </v:shape>
            </v:group>
          </v:group>
        </w:pict>
      </w:r>
      <w:r>
        <w:rPr>
          <w:rFonts w:ascii="宋体" w:hAnsi="宋体" w:cs="宋体" w:eastAsia="宋体" w:hint="default"/>
          <w:position w:val="-32"/>
          <w:sz w:val="20"/>
          <w:szCs w:val="20"/>
        </w:rPr>
      </w:r>
    </w:p>
    <w:p>
      <w:pPr>
        <w:spacing w:after="0" w:line="1670" w:lineRule="exact"/>
        <w:rPr>
          <w:rFonts w:ascii="宋体" w:hAnsi="宋体" w:cs="宋体" w:eastAsia="宋体" w:hint="default"/>
          <w:sz w:val="20"/>
          <w:szCs w:val="20"/>
        </w:rPr>
        <w:sectPr>
          <w:pgSz w:w="11900" w:h="16840"/>
          <w:pgMar w:header="0" w:footer="1003" w:top="1540" w:bottom="1200" w:left="1660" w:right="1140"/>
        </w:sectPr>
      </w:pPr>
    </w:p>
    <w:p>
      <w:pPr>
        <w:spacing w:line="240" w:lineRule="auto" w:before="7"/>
        <w:rPr>
          <w:rFonts w:ascii="宋体" w:hAnsi="宋体" w:cs="宋体" w:eastAsia="宋体" w:hint="default"/>
          <w:sz w:val="3"/>
          <w:szCs w:val="3"/>
        </w:rPr>
      </w:pPr>
    </w:p>
    <w:p>
      <w:pPr>
        <w:spacing w:line="20" w:lineRule="exact"/>
        <w:ind w:left="1762" w:right="0" w:firstLine="0"/>
        <w:rPr>
          <w:rFonts w:ascii="宋体" w:hAnsi="宋体" w:cs="宋体" w:eastAsia="宋体" w:hint="default"/>
          <w:sz w:val="2"/>
          <w:szCs w:val="2"/>
        </w:rPr>
      </w:pPr>
      <w:r>
        <w:rPr>
          <w:rFonts w:ascii="宋体" w:hAnsi="宋体" w:cs="宋体" w:eastAsia="宋体" w:hint="default"/>
          <w:sz w:val="2"/>
          <w:szCs w:val="2"/>
        </w:rPr>
        <w:pict>
          <v:group style="width:444.3pt;height:.5pt;mso-position-horizontal-relative:char;mso-position-vertical-relative:line" coordorigin="0,0" coordsize="8886,10">
            <v:group style="position:absolute;left:5;top:5;width:8877;height:2" coordorigin="5,5" coordsize="8877,2">
              <v:shape style="position:absolute;left:5;top:5;width:8877;height:2" coordorigin="5,5" coordsize="8877,0" path="m5,5l8881,5e" filled="false" stroked="true" strokeweight=".47998pt" strokecolor="#000000">
                <v:path arrowok="t"/>
              </v:shape>
            </v:group>
          </v:group>
        </w:pict>
      </w:r>
      <w:r>
        <w:rPr>
          <w:rFonts w:ascii="宋体" w:hAnsi="宋体" w:cs="宋体" w:eastAsia="宋体" w:hint="default"/>
          <w:sz w:val="2"/>
          <w:szCs w:val="2"/>
        </w:rPr>
      </w:r>
    </w:p>
    <w:p>
      <w:pPr>
        <w:spacing w:before="82"/>
        <w:ind w:left="178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4"/>
          <w:sz w:val="21"/>
          <w:szCs w:val="21"/>
        </w:rPr>
        <w:t> </w:t>
      </w:r>
      <w:r>
        <w:rPr>
          <w:rFonts w:ascii="宋体" w:hAnsi="宋体" w:cs="宋体" w:eastAsia="宋体" w:hint="default"/>
          <w:sz w:val="21"/>
          <w:szCs w:val="21"/>
        </w:rPr>
        <w:t>预收账款</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3053" w:val="left" w:leader="none"/>
        </w:tabs>
        <w:spacing w:before="0"/>
        <w:ind w:left="251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预收账款情况</w:t>
      </w:r>
    </w:p>
    <w:p>
      <w:pPr>
        <w:spacing w:line="850" w:lineRule="exact"/>
        <w:ind w:left="2383"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13.6pt;height:42.55pt;mso-position-horizontal-relative:char;mso-position-vertical-relative:line" coordorigin="0,0" coordsize="8272,851">
            <v:group style="position:absolute;left:24;top:10;width:3838;height:2" coordorigin="24,10" coordsize="3838,2">
              <v:shape style="position:absolute;left:24;top:10;width:3838;height:2" coordorigin="24,10" coordsize="3838,0" path="m24,10l3862,10e" filled="false" stroked="true" strokeweight=".96002pt" strokecolor="#000000">
                <v:path arrowok="t"/>
              </v:shape>
            </v:group>
            <v:group style="position:absolute;left:3862;top:10;width:2212;height:2" coordorigin="3862,10" coordsize="2212,2">
              <v:shape style="position:absolute;left:3862;top:10;width:2212;height:2" coordorigin="3862,10" coordsize="2212,0" path="m3862,10l6073,10e" filled="false" stroked="true" strokeweight=".96002pt" strokecolor="#000000">
                <v:path arrowok="t"/>
              </v:shape>
            </v:group>
            <v:group style="position:absolute;left:6073;top:10;width:2182;height:2" coordorigin="6073,10" coordsize="2182,2">
              <v:shape style="position:absolute;left:6073;top:10;width:2182;height:2" coordorigin="6073,10" coordsize="2182,0" path="m6073,10l8255,10e" filled="false" stroked="true" strokeweight=".96002pt" strokecolor="#000000">
                <v:path arrowok="t"/>
              </v:shape>
            </v:group>
            <v:group style="position:absolute;left:10;top:841;width:3852;height:2" coordorigin="10,841" coordsize="3852,2">
              <v:shape style="position:absolute;left:10;top:841;width:3852;height:2" coordorigin="10,841" coordsize="3852,0" path="m10,841l3862,841e" filled="false" stroked="true" strokeweight=".96002pt" strokecolor="#000000">
                <v:path arrowok="t"/>
              </v:shape>
            </v:group>
            <v:group style="position:absolute;left:3862;top:841;width:2212;height:2" coordorigin="3862,841" coordsize="2212,2">
              <v:shape style="position:absolute;left:3862;top:841;width:2212;height:2" coordorigin="3862,841" coordsize="2212,0" path="m3862,841l6073,841e" filled="false" stroked="true" strokeweight=".96002pt" strokecolor="#000000">
                <v:path arrowok="t"/>
              </v:shape>
              <v:shape style="position:absolute;left:24;top:19;width:8243;height:812" type="#_x0000_t75" stroked="false">
                <v:imagedata r:id="rId98" o:title=""/>
              </v:shape>
            </v:group>
            <v:group style="position:absolute;left:6073;top:841;width:2189;height:2" coordorigin="6073,841" coordsize="2189,2">
              <v:shape style="position:absolute;left:6073;top:841;width:2189;height:2" coordorigin="6073,841" coordsize="2189,0" path="m6073,841l8262,841e" filled="false" stroked="true" strokeweight=".96002pt" strokecolor="#000000">
                <v:path arrowok="t"/>
              </v:shape>
              <v:shape style="position:absolute;left:1524;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    目</w:t>
                      </w:r>
                    </w:p>
                  </w:txbxContent>
                </v:textbox>
                <w10:wrap type="none"/>
              </v:shape>
              <v:shape style="position:absolute;left:4552;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期末金额</w:t>
                      </w:r>
                    </w:p>
                  </w:txbxContent>
                </v:textbox>
                <w10:wrap type="none"/>
              </v:shape>
              <v:shape style="position:absolute;left:6749;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期初金额</w:t>
                      </w:r>
                    </w:p>
                  </w:txbxContent>
                </v:textbox>
                <w10:wrap type="none"/>
              </v:shape>
              <v:shape style="position:absolute;left:131;top:58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预收合同款项</w:t>
                      </w:r>
                    </w:p>
                  </w:txbxContent>
                </v:textbox>
                <w10:wrap type="none"/>
              </v:shape>
              <v:shape style="position:absolute;left:4920;top:613;width:105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297,682,595</w:t>
                      </w:r>
                    </w:p>
                  </w:txbxContent>
                </v:textbox>
                <w10:wrap type="none"/>
              </v:shape>
              <v:shape style="position:absolute;left:7103;top:613;width:105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364,598,887</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tabs>
          <w:tab w:pos="3053" w:val="left" w:leader="none"/>
        </w:tabs>
        <w:spacing w:before="35"/>
        <w:ind w:left="251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期末金额中无预收持本公司</w:t>
      </w:r>
      <w:r>
        <w:rPr>
          <w:rFonts w:ascii="宋体" w:hAnsi="宋体" w:cs="宋体" w:eastAsia="宋体" w:hint="default"/>
          <w:spacing w:val="-43"/>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％以上（含</w:t>
      </w:r>
      <w:r>
        <w:rPr>
          <w:rFonts w:ascii="宋体" w:hAnsi="宋体" w:cs="宋体" w:eastAsia="宋体" w:hint="default"/>
          <w:spacing w:val="-43"/>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％）表决权股份的股东单位款项。</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3053" w:val="left" w:leader="none"/>
        </w:tabs>
        <w:spacing w:before="0"/>
        <w:ind w:left="251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期末金额中预收关联方情况</w:t>
      </w:r>
    </w:p>
    <w:p>
      <w:pPr>
        <w:spacing w:before="109"/>
        <w:ind w:left="3057" w:right="0" w:firstLine="0"/>
        <w:jc w:val="left"/>
        <w:rPr>
          <w:rFonts w:ascii="宋体" w:hAnsi="宋体" w:cs="宋体" w:eastAsia="宋体" w:hint="default"/>
          <w:sz w:val="21"/>
          <w:szCs w:val="21"/>
        </w:rPr>
      </w:pPr>
      <w:r>
        <w:rPr>
          <w:rFonts w:ascii="宋体" w:hAnsi="宋体" w:cs="宋体" w:eastAsia="宋体" w:hint="default"/>
          <w:sz w:val="21"/>
          <w:szCs w:val="21"/>
        </w:rPr>
        <w:t>期末关联方预收款</w:t>
      </w:r>
      <w:r>
        <w:rPr>
          <w:rFonts w:ascii="宋体" w:hAnsi="宋体" w:cs="宋体" w:eastAsia="宋体" w:hint="default"/>
          <w:spacing w:val="-53"/>
          <w:sz w:val="21"/>
          <w:szCs w:val="21"/>
        </w:rPr>
        <w:t> </w:t>
      </w:r>
      <w:r>
        <w:rPr>
          <w:rFonts w:ascii="Times New Roman" w:hAnsi="Times New Roman" w:cs="Times New Roman" w:eastAsia="Times New Roman" w:hint="default"/>
          <w:w w:val="100"/>
          <w:sz w:val="20"/>
          <w:szCs w:val="20"/>
        </w:rPr>
        <w:t>3</w:t>
      </w:r>
      <w:r>
        <w:rPr>
          <w:rFonts w:ascii="Times New Roman" w:hAnsi="Times New Roman" w:cs="Times New Roman" w:eastAsia="Times New Roman" w:hint="default"/>
          <w:spacing w:val="-1"/>
          <w:w w:val="100"/>
          <w:sz w:val="20"/>
          <w:szCs w:val="20"/>
        </w:rPr>
        <w:t>,3</w:t>
      </w:r>
      <w:r>
        <w:rPr>
          <w:rFonts w:ascii="Times New Roman" w:hAnsi="Times New Roman" w:cs="Times New Roman" w:eastAsia="Times New Roman" w:hint="default"/>
          <w:w w:val="100"/>
          <w:sz w:val="20"/>
          <w:szCs w:val="20"/>
        </w:rPr>
        <w:t>3</w:t>
      </w:r>
      <w:r>
        <w:rPr>
          <w:rFonts w:ascii="Times New Roman" w:hAnsi="Times New Roman" w:cs="Times New Roman" w:eastAsia="Times New Roman" w:hint="default"/>
          <w:spacing w:val="-1"/>
          <w:w w:val="100"/>
          <w:sz w:val="20"/>
          <w:szCs w:val="20"/>
        </w:rPr>
        <w:t>3,</w:t>
      </w:r>
      <w:r>
        <w:rPr>
          <w:rFonts w:ascii="Times New Roman" w:hAnsi="Times New Roman" w:cs="Times New Roman" w:eastAsia="Times New Roman" w:hint="default"/>
          <w:w w:val="100"/>
          <w:sz w:val="20"/>
          <w:szCs w:val="20"/>
        </w:rPr>
        <w:t>3</w:t>
      </w:r>
      <w:r>
        <w:rPr>
          <w:rFonts w:ascii="Times New Roman" w:hAnsi="Times New Roman" w:cs="Times New Roman" w:eastAsia="Times New Roman" w:hint="default"/>
          <w:spacing w:val="-1"/>
          <w:w w:val="100"/>
          <w:sz w:val="20"/>
          <w:szCs w:val="20"/>
        </w:rPr>
        <w:t>3</w:t>
      </w:r>
      <w:r>
        <w:rPr>
          <w:rFonts w:ascii="Times New Roman" w:hAnsi="Times New Roman" w:cs="Times New Roman" w:eastAsia="Times New Roman" w:hint="default"/>
          <w:w w:val="100"/>
          <w:sz w:val="20"/>
          <w:szCs w:val="20"/>
        </w:rPr>
        <w:t>3</w:t>
      </w:r>
      <w:r>
        <w:rPr>
          <w:rFonts w:ascii="Times New Roman" w:hAnsi="Times New Roman" w:cs="Times New Roman" w:eastAsia="Times New Roman" w:hint="default"/>
          <w:sz w:val="20"/>
          <w:szCs w:val="20"/>
        </w:rPr>
        <w:t> </w:t>
      </w:r>
      <w:r>
        <w:rPr>
          <w:rFonts w:ascii="宋体" w:hAnsi="宋体" w:cs="宋体" w:eastAsia="宋体" w:hint="default"/>
          <w:sz w:val="21"/>
          <w:szCs w:val="21"/>
        </w:rPr>
        <w:t>元，详</w:t>
      </w:r>
      <w:r>
        <w:rPr>
          <w:rFonts w:ascii="宋体" w:hAnsi="宋体" w:cs="宋体" w:eastAsia="宋体" w:hint="default"/>
          <w:spacing w:val="-2"/>
          <w:sz w:val="21"/>
          <w:szCs w:val="21"/>
        </w:rPr>
        <w:t>见</w:t>
      </w:r>
      <w:r>
        <w:rPr>
          <w:rFonts w:ascii="宋体" w:hAnsi="宋体" w:cs="宋体" w:eastAsia="宋体" w:hint="default"/>
          <w:sz w:val="21"/>
          <w:szCs w:val="21"/>
        </w:rPr>
        <w:t>本附注 七</w:t>
      </w:r>
      <w:r>
        <w:rPr>
          <w:rFonts w:ascii="宋体" w:hAnsi="宋体" w:cs="宋体" w:eastAsia="宋体" w:hint="default"/>
          <w:spacing w:val="-2"/>
          <w:sz w:val="21"/>
          <w:szCs w:val="21"/>
        </w:rPr>
        <w:t>（</w:t>
      </w:r>
      <w:r>
        <w:rPr>
          <w:rFonts w:ascii="宋体" w:hAnsi="宋体" w:cs="宋体" w:eastAsia="宋体" w:hint="default"/>
          <w:sz w:val="21"/>
          <w:szCs w:val="21"/>
        </w:rPr>
        <w:t>四</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pacing w:val="-7"/>
          <w:sz w:val="21"/>
          <w:szCs w:val="21"/>
        </w:rPr>
        <w:t>1</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3053" w:val="left" w:leader="none"/>
        </w:tabs>
        <w:spacing w:before="0"/>
        <w:ind w:left="2515" w:right="0" w:firstLine="0"/>
        <w:jc w:val="left"/>
        <w:rPr>
          <w:rFonts w:ascii="宋体" w:hAnsi="宋体" w:cs="宋体" w:eastAsia="宋体" w:hint="default"/>
          <w:sz w:val="21"/>
          <w:szCs w:val="21"/>
        </w:rPr>
      </w:pPr>
      <w:r>
        <w:rPr/>
        <w:pict>
          <v:group style="position:absolute;margin-left:119.88002pt;margin-top:15.324323pt;width:412.9pt;height:41.55pt;mso-position-horizontal-relative:page;mso-position-vertical-relative:paragraph;z-index:-985360" coordorigin="2398,306" coordsize="8258,831">
            <v:group style="position:absolute;left:2407;top:316;width:1658;height:2" coordorigin="2407,316" coordsize="1658,2">
              <v:shape style="position:absolute;left:2407;top:316;width:1658;height:2" coordorigin="2407,316" coordsize="1658,0" path="m2407,316l4064,316e" filled="false" stroked="true" strokeweight=".95996pt" strokecolor="#000000">
                <v:path arrowok="t"/>
              </v:shape>
            </v:group>
            <v:group style="position:absolute;left:4064;top:316;width:2009;height:2" coordorigin="4064,316" coordsize="2009,2">
              <v:shape style="position:absolute;left:4064;top:316;width:2009;height:2" coordorigin="4064,316" coordsize="2009,0" path="m4064,316l6073,316e" filled="false" stroked="true" strokeweight=".95996pt" strokecolor="#000000">
                <v:path arrowok="t"/>
              </v:shape>
            </v:group>
            <v:group style="position:absolute;left:6073;top:316;width:2048;height:2" coordorigin="6073,316" coordsize="2048,2">
              <v:shape style="position:absolute;left:6073;top:316;width:2048;height:2" coordorigin="6073,316" coordsize="2048,0" path="m6073,316l8120,316e" filled="false" stroked="true" strokeweight=".95996pt" strokecolor="#000000">
                <v:path arrowok="t"/>
              </v:shape>
            </v:group>
            <v:group style="position:absolute;left:8120;top:316;width:2524;height:2" coordorigin="8120,316" coordsize="2524,2">
              <v:shape style="position:absolute;left:8120;top:316;width:2524;height:2" coordorigin="8120,316" coordsize="2524,0" path="m8120,316l10644,316e" filled="false" stroked="true" strokeweight=".95996pt" strokecolor="#000000">
                <v:path arrowok="t"/>
              </v:shape>
              <v:shape style="position:absolute;left:2407;top:326;width:8248;height:811" type="#_x0000_t75" stroked="false">
                <v:imagedata r:id="rId99" o:title=""/>
              </v:shape>
            </v:group>
            <w10:wrap type="none"/>
          </v:group>
        </w:pict>
      </w: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tab/>
        <w:t>账龄超过</w:t>
      </w:r>
      <w:r>
        <w:rPr>
          <w:rFonts w:ascii="宋体" w:hAnsi="宋体" w:cs="宋体" w:eastAsia="宋体" w:hint="default"/>
          <w:spacing w:val="-47"/>
          <w:sz w:val="21"/>
          <w:szCs w:val="21"/>
        </w:rPr>
        <w:t>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5"/>
          <w:sz w:val="21"/>
          <w:szCs w:val="21"/>
        </w:rPr>
        <w:t> </w:t>
      </w:r>
      <w:r>
        <w:rPr>
          <w:rFonts w:ascii="宋体" w:hAnsi="宋体" w:cs="宋体" w:eastAsia="宋体" w:hint="default"/>
          <w:sz w:val="21"/>
          <w:szCs w:val="21"/>
        </w:rPr>
        <w:t>年的大额预收款项情况的说明：</w:t>
      </w:r>
    </w:p>
    <w:p>
      <w:pPr>
        <w:spacing w:line="240" w:lineRule="auto" w:before="3"/>
        <w:rPr>
          <w:rFonts w:ascii="宋体" w:hAnsi="宋体" w:cs="宋体" w:eastAsia="宋体" w:hint="default"/>
          <w:sz w:val="7"/>
          <w:szCs w:val="7"/>
        </w:rPr>
      </w:pPr>
    </w:p>
    <w:tbl>
      <w:tblPr>
        <w:tblW w:w="0" w:type="auto"/>
        <w:jc w:val="left"/>
        <w:tblInd w:w="1748" w:type="dxa"/>
        <w:tblLayout w:type="fixed"/>
        <w:tblCellMar>
          <w:top w:w="0" w:type="dxa"/>
          <w:left w:w="0" w:type="dxa"/>
          <w:bottom w:w="0" w:type="dxa"/>
          <w:right w:w="0" w:type="dxa"/>
        </w:tblCellMar>
        <w:tblLook w:val="01E0"/>
      </w:tblPr>
      <w:tblGrid>
        <w:gridCol w:w="2291"/>
        <w:gridCol w:w="2584"/>
        <w:gridCol w:w="437"/>
        <w:gridCol w:w="979"/>
        <w:gridCol w:w="2612"/>
      </w:tblGrid>
      <w:tr>
        <w:trPr>
          <w:trHeight w:val="762" w:hRule="exact"/>
        </w:trPr>
        <w:tc>
          <w:tcPr>
            <w:tcW w:w="2291" w:type="dxa"/>
            <w:tcBorders>
              <w:top w:val="nil" w:sz="6" w:space="0" w:color="auto"/>
              <w:left w:val="nil" w:sz="6" w:space="0" w:color="auto"/>
              <w:bottom w:val="single" w:sz="8" w:space="0" w:color="000000"/>
              <w:right w:val="nil" w:sz="6" w:space="0" w:color="auto"/>
            </w:tcBorders>
          </w:tcPr>
          <w:p>
            <w:pPr>
              <w:pStyle w:val="TableParagraph"/>
              <w:spacing w:line="240" w:lineRule="auto" w:before="35"/>
              <w:ind w:left="962" w:right="0"/>
              <w:jc w:val="left"/>
              <w:rPr>
                <w:rFonts w:ascii="宋体" w:hAnsi="宋体" w:cs="宋体" w:eastAsia="宋体" w:hint="default"/>
                <w:sz w:val="21"/>
                <w:szCs w:val="21"/>
              </w:rPr>
            </w:pPr>
            <w:r>
              <w:rPr>
                <w:rFonts w:ascii="宋体" w:hAnsi="宋体" w:cs="宋体" w:eastAsia="宋体" w:hint="default"/>
                <w:sz w:val="21"/>
                <w:szCs w:val="21"/>
              </w:rPr>
              <w:t>债权人排名</w:t>
            </w:r>
          </w:p>
          <w:p>
            <w:pPr>
              <w:pStyle w:val="TableParagraph"/>
              <w:spacing w:line="240" w:lineRule="auto" w:before="134"/>
              <w:ind w:right="127"/>
              <w:jc w:val="center"/>
              <w:rPr>
                <w:rFonts w:ascii="宋体" w:hAnsi="宋体" w:cs="宋体" w:eastAsia="宋体" w:hint="default"/>
                <w:sz w:val="21"/>
                <w:szCs w:val="21"/>
              </w:rPr>
            </w:pPr>
            <w:r>
              <w:rPr>
                <w:rFonts w:ascii="宋体" w:hAnsi="宋体" w:cs="宋体" w:eastAsia="宋体" w:hint="default"/>
                <w:sz w:val="21"/>
                <w:szCs w:val="21"/>
              </w:rPr>
              <w:t>第一名</w:t>
            </w:r>
          </w:p>
        </w:tc>
        <w:tc>
          <w:tcPr>
            <w:tcW w:w="2584" w:type="dxa"/>
            <w:tcBorders>
              <w:top w:val="nil" w:sz="6" w:space="0" w:color="auto"/>
              <w:left w:val="nil" w:sz="6" w:space="0" w:color="auto"/>
              <w:bottom w:val="single" w:sz="8" w:space="0" w:color="000000"/>
              <w:right w:val="nil" w:sz="6" w:space="0" w:color="auto"/>
            </w:tcBorders>
          </w:tcPr>
          <w:p>
            <w:pPr>
              <w:pStyle w:val="TableParagraph"/>
              <w:spacing w:line="240" w:lineRule="auto" w:before="35"/>
              <w:ind w:left="404" w:right="0"/>
              <w:jc w:val="left"/>
              <w:rPr>
                <w:rFonts w:ascii="宋体" w:hAnsi="宋体" w:cs="宋体" w:eastAsia="宋体" w:hint="default"/>
                <w:sz w:val="21"/>
                <w:szCs w:val="21"/>
              </w:rPr>
            </w:pPr>
            <w:r>
              <w:rPr>
                <w:rFonts w:ascii="宋体" w:hAnsi="宋体" w:cs="宋体" w:eastAsia="宋体" w:hint="default"/>
                <w:sz w:val="21"/>
                <w:szCs w:val="21"/>
              </w:rPr>
              <w:t>与本公司关系</w:t>
            </w:r>
          </w:p>
          <w:p>
            <w:pPr>
              <w:pStyle w:val="TableParagraph"/>
              <w:spacing w:line="240" w:lineRule="auto" w:before="134"/>
              <w:ind w:left="138"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437" w:type="dxa"/>
            <w:tcBorders>
              <w:top w:val="nil" w:sz="6" w:space="0" w:color="auto"/>
              <w:left w:val="nil" w:sz="6" w:space="0" w:color="auto"/>
              <w:bottom w:val="single" w:sz="8" w:space="0" w:color="000000"/>
              <w:right w:val="nil" w:sz="6" w:space="0" w:color="auto"/>
            </w:tcBorders>
          </w:tcPr>
          <w:p>
            <w:pPr>
              <w:pStyle w:val="TableParagraph"/>
              <w:spacing w:line="240" w:lineRule="auto" w:before="35"/>
              <w:ind w:left="110" w:right="0"/>
              <w:jc w:val="left"/>
              <w:rPr>
                <w:rFonts w:ascii="宋体" w:hAnsi="宋体" w:cs="宋体" w:eastAsia="宋体" w:hint="default"/>
                <w:sz w:val="21"/>
                <w:szCs w:val="21"/>
              </w:rPr>
            </w:pPr>
            <w:r>
              <w:rPr>
                <w:rFonts w:ascii="宋体" w:hAnsi="宋体" w:cs="宋体" w:eastAsia="宋体" w:hint="default"/>
                <w:sz w:val="21"/>
                <w:szCs w:val="21"/>
              </w:rPr>
              <w:t>金</w:t>
            </w:r>
          </w:p>
        </w:tc>
        <w:tc>
          <w:tcPr>
            <w:tcW w:w="979" w:type="dxa"/>
            <w:tcBorders>
              <w:top w:val="nil" w:sz="6" w:space="0" w:color="auto"/>
              <w:left w:val="nil" w:sz="6" w:space="0" w:color="auto"/>
              <w:bottom w:val="single" w:sz="8" w:space="0" w:color="000000"/>
              <w:right w:val="nil" w:sz="6" w:space="0" w:color="auto"/>
            </w:tcBorders>
          </w:tcPr>
          <w:p>
            <w:pPr>
              <w:pStyle w:val="TableParagraph"/>
              <w:spacing w:line="240" w:lineRule="auto" w:before="35"/>
              <w:ind w:left="199" w:right="0"/>
              <w:jc w:val="left"/>
              <w:rPr>
                <w:rFonts w:ascii="宋体" w:hAnsi="宋体" w:cs="宋体" w:eastAsia="宋体" w:hint="default"/>
                <w:sz w:val="21"/>
                <w:szCs w:val="21"/>
              </w:rPr>
            </w:pPr>
            <w:r>
              <w:rPr>
                <w:rFonts w:ascii="宋体" w:hAnsi="宋体" w:cs="宋体" w:eastAsia="宋体" w:hint="default"/>
                <w:sz w:val="21"/>
                <w:szCs w:val="21"/>
              </w:rPr>
              <w:t>额</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16" w:right="0"/>
              <w:jc w:val="left"/>
              <w:rPr>
                <w:rFonts w:ascii="Times New Roman" w:hAnsi="Times New Roman" w:cs="Times New Roman" w:eastAsia="Times New Roman" w:hint="default"/>
                <w:sz w:val="21"/>
                <w:szCs w:val="21"/>
              </w:rPr>
            </w:pPr>
            <w:r>
              <w:rPr>
                <w:rFonts w:ascii="Times New Roman"/>
                <w:sz w:val="21"/>
              </w:rPr>
              <w:t>1,350,000</w:t>
            </w:r>
          </w:p>
        </w:tc>
        <w:tc>
          <w:tcPr>
            <w:tcW w:w="2612" w:type="dxa"/>
            <w:tcBorders>
              <w:top w:val="nil" w:sz="6" w:space="0" w:color="auto"/>
              <w:left w:val="nil" w:sz="6" w:space="0" w:color="auto"/>
              <w:bottom w:val="single" w:sz="8" w:space="0" w:color="000000"/>
              <w:right w:val="nil" w:sz="6" w:space="0" w:color="auto"/>
            </w:tcBorders>
          </w:tcPr>
          <w:p>
            <w:pPr>
              <w:pStyle w:val="TableParagraph"/>
              <w:spacing w:line="240" w:lineRule="auto" w:before="35"/>
              <w:ind w:left="86" w:right="0"/>
              <w:jc w:val="center"/>
              <w:rPr>
                <w:rFonts w:ascii="宋体" w:hAnsi="宋体" w:cs="宋体" w:eastAsia="宋体" w:hint="default"/>
                <w:sz w:val="21"/>
                <w:szCs w:val="21"/>
              </w:rPr>
            </w:pPr>
            <w:r>
              <w:rPr>
                <w:rFonts w:ascii="宋体" w:hAnsi="宋体" w:cs="宋体" w:eastAsia="宋体" w:hint="default"/>
                <w:sz w:val="21"/>
                <w:szCs w:val="21"/>
              </w:rPr>
              <w:t>未结转原因</w:t>
            </w:r>
          </w:p>
          <w:p>
            <w:pPr>
              <w:pStyle w:val="TableParagraph"/>
              <w:spacing w:line="240" w:lineRule="auto" w:before="134"/>
              <w:ind w:left="86" w:right="0"/>
              <w:jc w:val="center"/>
              <w:rPr>
                <w:rFonts w:ascii="宋体" w:hAnsi="宋体" w:cs="宋体" w:eastAsia="宋体" w:hint="default"/>
                <w:sz w:val="21"/>
                <w:szCs w:val="21"/>
              </w:rPr>
            </w:pPr>
            <w:r>
              <w:rPr>
                <w:rFonts w:ascii="宋体" w:hAnsi="宋体" w:cs="宋体" w:eastAsia="宋体" w:hint="default"/>
                <w:sz w:val="21"/>
                <w:szCs w:val="21"/>
              </w:rPr>
              <w:t>执行中合同未结算项目款</w:t>
            </w:r>
          </w:p>
        </w:tc>
      </w:tr>
      <w:tr>
        <w:trPr>
          <w:trHeight w:val="820" w:hRule="exact"/>
        </w:trPr>
        <w:tc>
          <w:tcPr>
            <w:tcW w:w="2291" w:type="dxa"/>
            <w:tcBorders>
              <w:top w:val="single" w:sz="8"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二十五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3"/>
                <w:sz w:val="21"/>
                <w:szCs w:val="21"/>
              </w:rPr>
              <w:t> </w:t>
            </w:r>
            <w:r>
              <w:rPr>
                <w:rFonts w:ascii="宋体" w:hAnsi="宋体" w:cs="宋体" w:eastAsia="宋体" w:hint="default"/>
                <w:sz w:val="21"/>
                <w:szCs w:val="21"/>
              </w:rPr>
              <w:t>应付职工薪酬</w:t>
            </w:r>
          </w:p>
        </w:tc>
        <w:tc>
          <w:tcPr>
            <w:tcW w:w="2584" w:type="dxa"/>
            <w:tcBorders>
              <w:top w:val="single" w:sz="8" w:space="0" w:color="000000"/>
              <w:left w:val="nil" w:sz="6" w:space="0" w:color="auto"/>
              <w:bottom w:val="single" w:sz="8" w:space="0" w:color="000000"/>
              <w:right w:val="nil" w:sz="6" w:space="0" w:color="auto"/>
            </w:tcBorders>
          </w:tcPr>
          <w:p>
            <w:pPr/>
          </w:p>
        </w:tc>
        <w:tc>
          <w:tcPr>
            <w:tcW w:w="437" w:type="dxa"/>
            <w:tcBorders>
              <w:top w:val="single" w:sz="8" w:space="0" w:color="000000"/>
              <w:left w:val="nil" w:sz="6" w:space="0" w:color="auto"/>
              <w:bottom w:val="single" w:sz="8" w:space="0" w:color="000000"/>
              <w:right w:val="nil" w:sz="6" w:space="0" w:color="auto"/>
            </w:tcBorders>
          </w:tcPr>
          <w:p>
            <w:pPr/>
          </w:p>
        </w:tc>
        <w:tc>
          <w:tcPr>
            <w:tcW w:w="979" w:type="dxa"/>
            <w:tcBorders>
              <w:top w:val="single" w:sz="8" w:space="0" w:color="000000"/>
              <w:left w:val="nil" w:sz="6" w:space="0" w:color="auto"/>
              <w:bottom w:val="single" w:sz="8" w:space="0" w:color="000000"/>
              <w:right w:val="nil" w:sz="6" w:space="0" w:color="auto"/>
            </w:tcBorders>
          </w:tcPr>
          <w:p>
            <w:pPr/>
          </w:p>
        </w:tc>
        <w:tc>
          <w:tcPr>
            <w:tcW w:w="2612" w:type="dxa"/>
            <w:tcBorders>
              <w:top w:val="single" w:sz="8" w:space="0" w:color="000000"/>
              <w:left w:val="nil" w:sz="6" w:space="0" w:color="auto"/>
              <w:bottom w:val="single" w:sz="8"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p>
      <w:pPr>
        <w:spacing w:before="35"/>
        <w:ind w:left="2515" w:right="0" w:firstLine="0"/>
        <w:jc w:val="left"/>
        <w:rPr>
          <w:rFonts w:ascii="宋体" w:hAnsi="宋体" w:cs="宋体" w:eastAsia="宋体" w:hint="default"/>
          <w:sz w:val="21"/>
          <w:szCs w:val="21"/>
        </w:rPr>
      </w:pPr>
      <w:r>
        <w:rPr/>
        <w:pict>
          <v:group style="position:absolute;margin-left:119.160004pt;margin-top:-331.466339pt;width:413.6pt;height:328.6pt;mso-position-horizontal-relative:page;mso-position-vertical-relative:paragraph;z-index:-983728" coordorigin="2383,-6629" coordsize="8272,6572">
            <v:group style="position:absolute;left:2393;top:-68;width:2879;height:2" coordorigin="2393,-68" coordsize="2879,2">
              <v:shape style="position:absolute;left:2393;top:-68;width:2879;height:2" coordorigin="2393,-68" coordsize="2879,0" path="m2393,-68l5272,-68e" filled="false" stroked="true" strokeweight=".95999pt" strokecolor="#000000">
                <v:path arrowok="t"/>
              </v:shape>
            </v:group>
            <v:group style="position:absolute;left:5272;top:-68;width:1344;height:2" coordorigin="5272,-68" coordsize="1344,2">
              <v:shape style="position:absolute;left:5272;top:-68;width:1344;height:2" coordorigin="5272,-68" coordsize="1344,0" path="m5272,-68l6616,-68e" filled="false" stroked="true" strokeweight=".95999pt" strokecolor="#000000">
                <v:path arrowok="t"/>
              </v:shape>
            </v:group>
            <v:group style="position:absolute;left:6616;top:-68;width:1274;height:2" coordorigin="6616,-68" coordsize="1274,2">
              <v:shape style="position:absolute;left:6616;top:-68;width:1274;height:2" coordorigin="6616,-68" coordsize="1274,0" path="m6616,-68l7889,-68e" filled="false" stroked="true" strokeweight=".95999pt" strokecolor="#000000">
                <v:path arrowok="t"/>
              </v:shape>
            </v:group>
            <v:group style="position:absolute;left:7889;top:-68;width:1312;height:2" coordorigin="7889,-68" coordsize="1312,2">
              <v:shape style="position:absolute;left:7889;top:-68;width:1312;height:2" coordorigin="7889,-68" coordsize="1312,0" path="m7889,-68l9200,-68e" filled="false" stroked="true" strokeweight=".95999pt" strokecolor="#000000">
                <v:path arrowok="t"/>
              </v:shape>
              <v:shape style="position:absolute;left:2407;top:-6629;width:8238;height:6552" type="#_x0000_t75" stroked="false">
                <v:imagedata r:id="rId100" o:title=""/>
              </v:shape>
            </v:group>
            <v:group style="position:absolute;left:9200;top:-68;width:1445;height:2" coordorigin="9200,-68" coordsize="1445,2">
              <v:shape style="position:absolute;left:9200;top:-68;width:1445;height:2" coordorigin="9200,-68" coordsize="1445,0" path="m9200,-68l10645,-68e" filled="false" stroked="true" strokeweight=".95999pt" strokecolor="#000000">
                <v:path arrowok="t"/>
              </v:shape>
              <v:shape style="position:absolute;left:3480;top:-6436;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 </w:t>
                      </w:r>
                    </w:p>
                  </w:txbxContent>
                </v:textbox>
                <w10:wrap type="none"/>
              </v:shape>
              <v:shape style="position:absolute;left:5588;top:-643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期初金额</w:t>
                      </w:r>
                    </w:p>
                  </w:txbxContent>
                </v:textbox>
                <w10:wrap type="none"/>
              </v:shape>
              <v:shape style="position:absolute;left:6896;top:-643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8189;top:-643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shape style="position:absolute;left:9565;top:-643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期末金额</w:t>
                      </w:r>
                    </w:p>
                  </w:txbxContent>
                </v:textbox>
                <w10:wrap type="none"/>
              </v:shape>
              <v:shape style="position:absolute;left:2514;top:-6027;width:243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xbxContent>
                </v:textbox>
                <w10:wrap type="none"/>
              </v:shape>
              <v:shape style="position:absolute;left:5611;top:-6007;width:2175;height:180" type="#_x0000_t202" filled="false" stroked="false">
                <v:textbox inset="0,0,0,0">
                  <w:txbxContent>
                    <w:p>
                      <w:pPr>
                        <w:tabs>
                          <w:tab w:pos="1144"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123,037,730</w:t>
                        <w:tab/>
                      </w:r>
                      <w:r>
                        <w:rPr>
                          <w:rFonts w:ascii="Times New Roman"/>
                          <w:spacing w:val="-1"/>
                          <w:sz w:val="18"/>
                        </w:rPr>
                        <w:t>1,077,511,654</w:t>
                      </w:r>
                    </w:p>
                  </w:txbxContent>
                </v:textbox>
                <w10:wrap type="none"/>
              </v:shape>
              <v:shape style="position:absolute;left:8062;top:-600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1,051,469,902</w:t>
                      </w:r>
                    </w:p>
                  </w:txbxContent>
                </v:textbox>
                <w10:wrap type="none"/>
              </v:shape>
              <v:shape style="position:absolute;left:9636;top:-6007;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149,079,482</w:t>
                      </w:r>
                    </w:p>
                  </w:txbxContent>
                </v:textbox>
                <w10:wrap type="none"/>
              </v:shape>
              <v:shape style="position:absolute;left:2514;top:-5616;width:207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）职工奖励及福利基金</w:t>
                      </w:r>
                    </w:p>
                  </w:txbxContent>
                </v:textbox>
                <w10:wrap type="none"/>
              </v:shape>
              <v:shape style="position:absolute;left:5701;top:-559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18,314,894</w:t>
                      </w:r>
                    </w:p>
                  </w:txbxContent>
                </v:textbox>
                <w10:wrap type="none"/>
              </v:shape>
              <v:shape style="position:absolute;left:9726;top:-559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18,314,894</w:t>
                      </w:r>
                    </w:p>
                  </w:txbxContent>
                </v:textbox>
                <w10:wrap type="none"/>
              </v:shape>
              <v:shape style="position:absolute;left:2514;top:-5207;width:135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）职工福利费</w:t>
                      </w:r>
                    </w:p>
                  </w:txbxContent>
                </v:textbox>
                <w10:wrap type="none"/>
              </v:shape>
              <v:shape style="position:absolute;left:6974;top:-518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12,502,558</w:t>
                      </w:r>
                    </w:p>
                  </w:txbxContent>
                </v:textbox>
                <w10:wrap type="none"/>
              </v:shape>
              <v:shape style="position:absolute;left:8286;top:-518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12,502,558</w:t>
                      </w:r>
                    </w:p>
                  </w:txbxContent>
                </v:textbox>
                <w10:wrap type="none"/>
              </v:shape>
              <v:shape style="position:absolute;left:2514;top:-4797;width:135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）社会保险费</w:t>
                      </w:r>
                    </w:p>
                  </w:txbxContent>
                </v:textbox>
                <w10:wrap type="none"/>
              </v:shape>
              <v:shape style="position:absolute;left:5934;top:-4777;width:57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2"/>
                          <w:sz w:val="18"/>
                        </w:rPr>
                        <w:t>496,113</w:t>
                      </w:r>
                    </w:p>
                  </w:txbxContent>
                </v:textbox>
                <w10:wrap type="none"/>
              </v:shape>
              <v:shape style="position:absolute;left:6884;top:-4777;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156,278,258</w:t>
                      </w:r>
                    </w:p>
                  </w:txbxContent>
                </v:textbox>
                <w10:wrap type="none"/>
              </v:shape>
              <v:shape style="position:absolute;left:8196;top:-4777;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154,886,079</w:t>
                      </w:r>
                    </w:p>
                  </w:txbxContent>
                </v:textbox>
                <w10:wrap type="none"/>
              </v:shape>
              <v:shape style="position:absolute;left:9816;top:-4777;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1,888,292</w:t>
                      </w:r>
                    </w:p>
                  </w:txbxContent>
                </v:textbox>
                <w10:wrap type="none"/>
              </v:shape>
              <v:shape style="position:absolute;left:2514;top:-4386;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其中：医疗保险费</w:t>
                      </w:r>
                    </w:p>
                  </w:txbxContent>
                </v:textbox>
                <w10:wrap type="none"/>
              </v:shape>
              <v:shape style="position:absolute;left:5957;top:-4367;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-51,967</w:t>
                      </w:r>
                    </w:p>
                  </w:txbxContent>
                </v:textbox>
                <w10:wrap type="none"/>
              </v:shape>
              <v:shape style="position:absolute;left:6974;top:-436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41,694,441</w:t>
                      </w:r>
                    </w:p>
                  </w:txbxContent>
                </v:textbox>
                <w10:wrap type="none"/>
              </v:shape>
              <v:shape style="position:absolute;left:8293;top:-4367;width:80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41,618,118</w:t>
                      </w:r>
                    </w:p>
                  </w:txbxContent>
                </v:textbox>
                <w10:wrap type="none"/>
              </v:shape>
              <v:shape style="position:absolute;left:10041;top:-4367;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24,356</w:t>
                      </w:r>
                    </w:p>
                  </w:txbxContent>
                </v:textbox>
                <w10:wrap type="none"/>
              </v:shape>
              <v:shape style="position:absolute;left:2964;top:-3977;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基本养老保险费</w:t>
                      </w:r>
                    </w:p>
                  </w:txbxContent>
                </v:textbox>
                <w10:wrap type="none"/>
              </v:shape>
              <v:shape style="position:absolute;left:5927;top:-3958;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408,232</w:t>
                      </w:r>
                    </w:p>
                  </w:txbxContent>
                </v:textbox>
                <w10:wrap type="none"/>
              </v:shape>
              <v:shape style="position:absolute;left:6982;top:-3958;width:80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98,110,007</w:t>
                      </w:r>
                    </w:p>
                  </w:txbxContent>
                </v:textbox>
                <w10:wrap type="none"/>
              </v:shape>
              <v:shape style="position:absolute;left:8286;top:-395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97,095,145</w:t>
                      </w:r>
                    </w:p>
                  </w:txbxContent>
                </v:textbox>
                <w10:wrap type="none"/>
              </v:shape>
              <v:shape style="position:absolute;left:9816;top:-3958;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1,423,094</w:t>
                      </w:r>
                    </w:p>
                  </w:txbxContent>
                </v:textbox>
                <w10:wrap type="none"/>
              </v:shape>
              <v:shape style="position:absolute;left:2964;top:-356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年金缴费</w:t>
                      </w:r>
                    </w:p>
                  </w:txbxContent>
                </v:textbox>
                <w10:wrap type="none"/>
              </v:shape>
              <v:shape style="position:absolute;left:6017;top:-3547;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41,192</w:t>
                      </w:r>
                    </w:p>
                  </w:txbxContent>
                </v:textbox>
                <w10:wrap type="none"/>
              </v:shape>
              <v:shape style="position:absolute;left:7064;top:-3547;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4,418,888</w:t>
                      </w:r>
                    </w:p>
                  </w:txbxContent>
                </v:textbox>
                <w10:wrap type="none"/>
              </v:shape>
              <v:shape style="position:absolute;left:8376;top:-3547;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4,127,794</w:t>
                      </w:r>
                    </w:p>
                  </w:txbxContent>
                </v:textbox>
                <w10:wrap type="none"/>
              </v:shape>
              <v:shape style="position:absolute;left:9951;top:-3547;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332,286</w:t>
                      </w:r>
                    </w:p>
                  </w:txbxContent>
                </v:textbox>
                <w10:wrap type="none"/>
              </v:shape>
              <v:shape style="position:absolute;left:2964;top:-315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失业保险费</w:t>
                      </w:r>
                    </w:p>
                  </w:txbxContent>
                </v:textbox>
                <w10:wrap type="none"/>
              </v:shape>
              <v:shape style="position:absolute;left:6017;top:-3137;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84,225</w:t>
                      </w:r>
                    </w:p>
                  </w:txbxContent>
                </v:textbox>
                <w10:wrap type="none"/>
              </v:shape>
              <v:shape style="position:absolute;left:7064;top:-3137;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8,643,904</w:t>
                      </w:r>
                    </w:p>
                  </w:txbxContent>
                </v:textbox>
                <w10:wrap type="none"/>
              </v:shape>
              <v:shape style="position:absolute;left:8376;top:-3137;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8,650,429</w:t>
                      </w:r>
                    </w:p>
                  </w:txbxContent>
                </v:textbox>
                <w10:wrap type="none"/>
              </v:shape>
              <v:shape style="position:absolute;left:10041;top:-3137;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77,700</w:t>
                      </w:r>
                    </w:p>
                  </w:txbxContent>
                </v:textbox>
                <w10:wrap type="none"/>
              </v:shape>
              <v:shape style="position:absolute;left:2964;top:-274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工伤保险费</w:t>
                      </w:r>
                    </w:p>
                  </w:txbxContent>
                </v:textbox>
                <w10:wrap type="none"/>
              </v:shape>
              <v:shape style="position:absolute;left:6017;top:-2728;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10,227</w:t>
                      </w:r>
                    </w:p>
                  </w:txbxContent>
                </v:textbox>
                <w10:wrap type="none"/>
              </v:shape>
              <v:shape style="position:absolute;left:7064;top:-2728;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3,089,779</w:t>
                      </w:r>
                    </w:p>
                  </w:txbxContent>
                </v:textbox>
                <w10:wrap type="none"/>
              </v:shape>
              <v:shape style="position:absolute;left:8376;top:-2728;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3,094,152</w:t>
                      </w:r>
                    </w:p>
                  </w:txbxContent>
                </v:textbox>
                <w10:wrap type="none"/>
              </v:shape>
              <v:shape style="position:absolute;left:10131;top:-2728;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5,854</w:t>
                      </w:r>
                    </w:p>
                  </w:txbxContent>
                </v:textbox>
                <w10:wrap type="none"/>
              </v:shape>
              <v:shape style="position:absolute;left:2964;top:-23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生育保险费</w:t>
                      </w:r>
                    </w:p>
                  </w:txbxContent>
                </v:textbox>
                <w10:wrap type="none"/>
              </v:shape>
              <v:shape style="position:absolute;left:6107;top:-2317;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4,204</w:t>
                      </w:r>
                    </w:p>
                  </w:txbxContent>
                </v:textbox>
                <w10:wrap type="none"/>
              </v:shape>
              <v:shape style="position:absolute;left:7200;top:-2317;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321,239</w:t>
                      </w:r>
                    </w:p>
                  </w:txbxContent>
                </v:textbox>
                <w10:wrap type="none"/>
              </v:shape>
              <v:shape style="position:absolute;left:8511;top:-2317;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300,441</w:t>
                      </w:r>
                    </w:p>
                  </w:txbxContent>
                </v:textbox>
                <w10:wrap type="none"/>
              </v:shape>
              <v:shape style="position:absolute;left:10041;top:-2317;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25,002</w:t>
                      </w:r>
                    </w:p>
                  </w:txbxContent>
                </v:textbox>
                <w10:wrap type="none"/>
              </v:shape>
              <v:shape style="position:absolute;left:2514;top:-1926;width:135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）住房公积金</w:t>
                      </w:r>
                    </w:p>
                  </w:txbxContent>
                </v:textbox>
                <w10:wrap type="none"/>
              </v:shape>
              <v:shape style="position:absolute;left:6047;top:-1907;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-9,637</w:t>
                      </w:r>
                    </w:p>
                  </w:txbxContent>
                </v:textbox>
                <w10:wrap type="none"/>
              </v:shape>
              <v:shape style="position:absolute;left:6974;top:-190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58,883,869</w:t>
                      </w:r>
                    </w:p>
                  </w:txbxContent>
                </v:textbox>
                <w10:wrap type="none"/>
              </v:shape>
              <v:shape style="position:absolute;left:8286;top:-190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58,905,778</w:t>
                      </w:r>
                    </w:p>
                  </w:txbxContent>
                </v:textbox>
                <w10:wrap type="none"/>
              </v:shape>
              <v:shape style="position:absolute;left:9981;top:-1907;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-31,546</w:t>
                      </w:r>
                    </w:p>
                  </w:txbxContent>
                </v:textbox>
                <w10:wrap type="none"/>
              </v:shape>
              <v:shape style="position:absolute;left:2514;top:-1517;width:2430;height:601"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）辞退福利</w:t>
                      </w:r>
                    </w:p>
                    <w:p>
                      <w:pPr>
                        <w:spacing w:line="245" w:lineRule="exact" w:before="161"/>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7</w:t>
                      </w:r>
                      <w:r>
                        <w:rPr>
                          <w:rFonts w:ascii="宋体" w:hAnsi="宋体" w:cs="宋体" w:eastAsia="宋体" w:hint="default"/>
                          <w:sz w:val="18"/>
                          <w:szCs w:val="18"/>
                        </w:rPr>
                        <w:t>）工会经费和职工教育经费</w:t>
                      </w:r>
                    </w:p>
                  </w:txbxContent>
                </v:textbox>
                <w10:wrap type="none"/>
              </v:shape>
              <v:shape style="position:absolute;left:5708;top:-1087;width:80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11,710,920</w:t>
                      </w:r>
                    </w:p>
                  </w:txbxContent>
                </v:textbox>
                <w10:wrap type="none"/>
              </v:shape>
              <v:shape style="position:absolute;left:7064;top:-1087;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4,939,576</w:t>
                      </w:r>
                    </w:p>
                  </w:txbxContent>
                </v:textbox>
                <w10:wrap type="none"/>
              </v:shape>
              <v:shape style="position:absolute;left:8376;top:-1087;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4,342,495</w:t>
                      </w:r>
                    </w:p>
                  </w:txbxContent>
                </v:textbox>
                <w10:wrap type="none"/>
              </v:shape>
              <v:shape style="position:absolute;left:9726;top:-108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12,308,001</w:t>
                      </w:r>
                    </w:p>
                  </w:txbxContent>
                </v:textbox>
                <w10:wrap type="none"/>
              </v:shape>
              <v:shape style="position:absolute;left:2514;top:-696;width:135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8</w:t>
                      </w:r>
                      <w:r>
                        <w:rPr>
                          <w:rFonts w:ascii="宋体" w:hAnsi="宋体" w:cs="宋体" w:eastAsia="宋体" w:hint="default"/>
                          <w:sz w:val="18"/>
                          <w:szCs w:val="18"/>
                        </w:rPr>
                        <w:t>）员工退职金</w:t>
                      </w:r>
                    </w:p>
                  </w:txbxContent>
                </v:textbox>
                <w10:wrap type="none"/>
              </v:shape>
              <v:shape style="position:absolute;left:7064;top:-677;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1,536,284</w:t>
                      </w:r>
                    </w:p>
                  </w:txbxContent>
                </v:textbox>
                <w10:wrap type="none"/>
              </v:shape>
              <v:shape style="position:absolute;left:9816;top:-677;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1,536,284</w:t>
                      </w:r>
                    </w:p>
                  </w:txbxContent>
                </v:textbox>
                <w10:wrap type="none"/>
              </v:shape>
              <v:shape style="position:absolute;left:3480;top:-287;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 </w:t>
                      </w:r>
                    </w:p>
                  </w:txbxContent>
                </v:textbox>
                <w10:wrap type="none"/>
              </v:shape>
              <v:shape style="position:absolute;left:5611;top:-268;width:2175;height:180" type="#_x0000_t202" filled="false" stroked="false">
                <v:textbox inset="0,0,0,0">
                  <w:txbxContent>
                    <w:p>
                      <w:pPr>
                        <w:tabs>
                          <w:tab w:pos="1144"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153,550,020</w:t>
                        <w:tab/>
                      </w:r>
                      <w:r>
                        <w:rPr>
                          <w:rFonts w:ascii="Times New Roman"/>
                          <w:spacing w:val="-1"/>
                          <w:sz w:val="18"/>
                        </w:rPr>
                        <w:t>1,311,652,199</w:t>
                      </w:r>
                    </w:p>
                  </w:txbxContent>
                </v:textbox>
                <w10:wrap type="none"/>
              </v:shape>
              <v:shape style="position:absolute;left:8062;top:-268;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1,282,106,812</w:t>
                      </w:r>
                    </w:p>
                  </w:txbxContent>
                </v:textbox>
                <w10:wrap type="none"/>
              </v:shape>
              <v:shape style="position:absolute;left:9636;top:-268;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183,095,407</w:t>
                      </w:r>
                    </w:p>
                  </w:txbxContent>
                </v:textbox>
                <w10:wrap type="none"/>
              </v:shape>
            </v:group>
            <w10:wrap type="none"/>
          </v:group>
        </w:pict>
      </w:r>
      <w:r>
        <w:rPr>
          <w:rFonts w:ascii="宋体" w:hAnsi="宋体" w:cs="宋体" w:eastAsia="宋体" w:hint="default"/>
          <w:sz w:val="21"/>
          <w:szCs w:val="21"/>
        </w:rPr>
        <w:t>本报告期末中无拖欠性质的应付职工薪酬。</w:t>
      </w:r>
    </w:p>
    <w:p>
      <w:pPr>
        <w:spacing w:after="0"/>
        <w:jc w:val="left"/>
        <w:rPr>
          <w:rFonts w:ascii="宋体" w:hAnsi="宋体" w:cs="宋体" w:eastAsia="宋体" w:hint="default"/>
          <w:sz w:val="21"/>
          <w:szCs w:val="21"/>
        </w:rPr>
        <w:sectPr>
          <w:pgSz w:w="11900" w:h="16840"/>
          <w:pgMar w:header="0" w:footer="1003" w:top="1540" w:bottom="1200" w:left="0" w:right="1140"/>
        </w:sectPr>
      </w:pPr>
    </w:p>
    <w:p>
      <w:pPr>
        <w:spacing w:line="240" w:lineRule="auto" w:before="10"/>
        <w:rPr>
          <w:rFonts w:ascii="宋体" w:hAnsi="宋体" w:cs="宋体" w:eastAsia="宋体" w:hint="default"/>
          <w:sz w:val="8"/>
          <w:szCs w:val="8"/>
        </w:rPr>
      </w:pPr>
    </w:p>
    <w:p>
      <w:pPr>
        <w:spacing w:line="340" w:lineRule="auto" w:before="35"/>
        <w:ind w:left="875" w:right="0" w:firstLine="0"/>
        <w:jc w:val="left"/>
        <w:rPr>
          <w:rFonts w:ascii="宋体" w:hAnsi="宋体" w:cs="宋体" w:eastAsia="宋体" w:hint="default"/>
          <w:sz w:val="21"/>
          <w:szCs w:val="21"/>
        </w:rPr>
      </w:pPr>
      <w:r>
        <w:rPr>
          <w:rFonts w:ascii="宋体" w:hAnsi="宋体" w:cs="宋体" w:eastAsia="宋体" w:hint="default"/>
          <w:sz w:val="21"/>
          <w:szCs w:val="21"/>
        </w:rPr>
        <w:t>应付职工薪酬预计发放时间、金额等安排：</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2"/>
          <w:sz w:val="21"/>
          <w:szCs w:val="21"/>
        </w:rPr>
        <w:t> </w:t>
      </w:r>
      <w:r>
        <w:rPr>
          <w:rFonts w:ascii="宋体" w:hAnsi="宋体" w:cs="宋体" w:eastAsia="宋体" w:hint="default"/>
          <w:spacing w:val="-3"/>
          <w:sz w:val="21"/>
          <w:szCs w:val="21"/>
        </w:rPr>
        <w:t>员工退职金系本公司之子公司东软（日本）有限公司依照当地法规计提，该退职金将于职</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工退职或退休时支付给员工。</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0"/>
          <w:szCs w:val="10"/>
        </w:rPr>
      </w:pPr>
    </w:p>
    <w:tbl>
      <w:tblPr>
        <w:tblW w:w="0" w:type="auto"/>
        <w:jc w:val="left"/>
        <w:tblInd w:w="108" w:type="dxa"/>
        <w:tblLayout w:type="fixed"/>
        <w:tblCellMar>
          <w:top w:w="0" w:type="dxa"/>
          <w:left w:w="0" w:type="dxa"/>
          <w:bottom w:w="0" w:type="dxa"/>
          <w:right w:w="0" w:type="dxa"/>
        </w:tblCellMar>
        <w:tblLook w:val="01E0"/>
      </w:tblPr>
      <w:tblGrid>
        <w:gridCol w:w="4068"/>
        <w:gridCol w:w="2943"/>
        <w:gridCol w:w="1906"/>
      </w:tblGrid>
      <w:tr>
        <w:trPr>
          <w:trHeight w:val="351" w:hRule="exact"/>
        </w:trPr>
        <w:tc>
          <w:tcPr>
            <w:tcW w:w="4068" w:type="dxa"/>
            <w:tcBorders>
              <w:top w:val="nil" w:sz="6" w:space="0" w:color="auto"/>
              <w:left w:val="nil" w:sz="6" w:space="0" w:color="auto"/>
              <w:bottom w:val="single" w:sz="8"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二十六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4"/>
                <w:sz w:val="21"/>
                <w:szCs w:val="21"/>
              </w:rPr>
              <w:t> </w:t>
            </w:r>
            <w:r>
              <w:rPr>
                <w:rFonts w:ascii="宋体" w:hAnsi="宋体" w:cs="宋体" w:eastAsia="宋体" w:hint="default"/>
                <w:sz w:val="21"/>
                <w:szCs w:val="21"/>
              </w:rPr>
              <w:t>应交税费</w:t>
            </w:r>
          </w:p>
        </w:tc>
        <w:tc>
          <w:tcPr>
            <w:tcW w:w="4849" w:type="dxa"/>
            <w:gridSpan w:val="2"/>
            <w:tcBorders>
              <w:top w:val="nil" w:sz="6" w:space="0" w:color="auto"/>
              <w:left w:val="nil" w:sz="6" w:space="0" w:color="auto"/>
              <w:bottom w:val="single" w:sz="8" w:space="0" w:color="000000"/>
              <w:right w:val="nil" w:sz="6" w:space="0" w:color="auto"/>
            </w:tcBorders>
          </w:tcPr>
          <w:p>
            <w:pPr/>
          </w:p>
        </w:tc>
      </w:tr>
      <w:tr>
        <w:trPr>
          <w:trHeight w:val="478" w:hRule="exact"/>
        </w:trPr>
        <w:tc>
          <w:tcPr>
            <w:tcW w:w="4068" w:type="dxa"/>
            <w:tcBorders>
              <w:top w:val="single" w:sz="8" w:space="0" w:color="000000"/>
              <w:left w:val="nil" w:sz="6" w:space="0" w:color="auto"/>
              <w:bottom w:val="nil" w:sz="6" w:space="0" w:color="auto"/>
              <w:right w:val="nil" w:sz="6" w:space="0" w:color="auto"/>
            </w:tcBorders>
          </w:tcPr>
          <w:p>
            <w:pPr>
              <w:pStyle w:val="TableParagraph"/>
              <w:spacing w:line="240" w:lineRule="auto" w:before="94"/>
              <w:ind w:right="1095"/>
              <w:jc w:val="right"/>
              <w:rPr>
                <w:rFonts w:ascii="宋体" w:hAnsi="宋体" w:cs="宋体" w:eastAsia="宋体" w:hint="default"/>
                <w:sz w:val="21"/>
                <w:szCs w:val="21"/>
              </w:rPr>
            </w:pPr>
            <w:r>
              <w:rPr>
                <w:rFonts w:ascii="宋体" w:hAnsi="宋体" w:cs="宋体" w:eastAsia="宋体" w:hint="default"/>
                <w:sz w:val="21"/>
                <w:szCs w:val="21"/>
              </w:rPr>
              <w:t>税费项目</w:t>
            </w:r>
          </w:p>
        </w:tc>
        <w:tc>
          <w:tcPr>
            <w:tcW w:w="2943" w:type="dxa"/>
            <w:tcBorders>
              <w:top w:val="single" w:sz="8" w:space="0" w:color="000000"/>
              <w:left w:val="nil" w:sz="6" w:space="0" w:color="auto"/>
              <w:bottom w:val="nil" w:sz="6" w:space="0" w:color="auto"/>
              <w:right w:val="nil" w:sz="6" w:space="0" w:color="auto"/>
            </w:tcBorders>
          </w:tcPr>
          <w:p>
            <w:pPr>
              <w:pStyle w:val="TableParagraph"/>
              <w:spacing w:line="240" w:lineRule="auto" w:before="94"/>
              <w:ind w:left="92" w:right="0"/>
              <w:jc w:val="center"/>
              <w:rPr>
                <w:rFonts w:ascii="宋体" w:hAnsi="宋体" w:cs="宋体" w:eastAsia="宋体" w:hint="default"/>
                <w:sz w:val="21"/>
                <w:szCs w:val="21"/>
              </w:rPr>
            </w:pPr>
            <w:r>
              <w:rPr>
                <w:rFonts w:ascii="宋体" w:hAnsi="宋体" w:cs="宋体" w:eastAsia="宋体" w:hint="default"/>
                <w:sz w:val="21"/>
                <w:szCs w:val="21"/>
              </w:rPr>
              <w:t>期末金额</w:t>
            </w:r>
          </w:p>
        </w:tc>
        <w:tc>
          <w:tcPr>
            <w:tcW w:w="1906" w:type="dxa"/>
            <w:tcBorders>
              <w:top w:val="single" w:sz="8" w:space="0" w:color="000000"/>
              <w:left w:val="nil" w:sz="6" w:space="0" w:color="auto"/>
              <w:bottom w:val="nil" w:sz="6" w:space="0" w:color="auto"/>
              <w:right w:val="nil" w:sz="6" w:space="0" w:color="auto"/>
            </w:tcBorders>
          </w:tcPr>
          <w:p>
            <w:pPr>
              <w:pStyle w:val="TableParagraph"/>
              <w:spacing w:line="240" w:lineRule="auto" w:before="94"/>
              <w:ind w:left="393" w:right="0"/>
              <w:jc w:val="left"/>
              <w:rPr>
                <w:rFonts w:ascii="宋体" w:hAnsi="宋体" w:cs="宋体" w:eastAsia="宋体" w:hint="default"/>
                <w:sz w:val="21"/>
                <w:szCs w:val="21"/>
              </w:rPr>
            </w:pPr>
            <w:r>
              <w:rPr>
                <w:rFonts w:ascii="宋体" w:hAnsi="宋体" w:cs="宋体" w:eastAsia="宋体" w:hint="default"/>
                <w:sz w:val="21"/>
                <w:szCs w:val="21"/>
              </w:rPr>
              <w:t>期初金额</w:t>
            </w:r>
          </w:p>
        </w:tc>
      </w:tr>
      <w:tr>
        <w:trPr>
          <w:trHeight w:val="423" w:hRule="exact"/>
        </w:trPr>
        <w:tc>
          <w:tcPr>
            <w:tcW w:w="4068" w:type="dxa"/>
            <w:tcBorders>
              <w:top w:val="nil" w:sz="6" w:space="0" w:color="auto"/>
              <w:left w:val="nil" w:sz="6" w:space="0" w:color="auto"/>
              <w:bottom w:val="nil" w:sz="6" w:space="0" w:color="auto"/>
              <w:right w:val="nil" w:sz="6" w:space="0" w:color="auto"/>
            </w:tcBorders>
          </w:tcPr>
          <w:p>
            <w:pPr>
              <w:pStyle w:val="TableParagraph"/>
              <w:spacing w:line="240" w:lineRule="auto" w:before="34"/>
              <w:ind w:left="765"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294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94"/>
              <w:jc w:val="right"/>
              <w:rPr>
                <w:rFonts w:ascii="Times New Roman" w:hAnsi="Times New Roman" w:cs="Times New Roman" w:eastAsia="Times New Roman" w:hint="default"/>
                <w:sz w:val="21"/>
                <w:szCs w:val="21"/>
              </w:rPr>
            </w:pPr>
            <w:r>
              <w:rPr>
                <w:rFonts w:ascii="Times New Roman"/>
                <w:spacing w:val="-1"/>
                <w:sz w:val="21"/>
              </w:rPr>
              <w:t>1,767,265</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0"/>
              <w:jc w:val="right"/>
              <w:rPr>
                <w:rFonts w:ascii="Times New Roman" w:hAnsi="Times New Roman" w:cs="Times New Roman" w:eastAsia="Times New Roman" w:hint="default"/>
                <w:sz w:val="21"/>
                <w:szCs w:val="21"/>
              </w:rPr>
            </w:pPr>
            <w:r>
              <w:rPr>
                <w:rFonts w:ascii="Times New Roman"/>
                <w:spacing w:val="-2"/>
                <w:sz w:val="21"/>
              </w:rPr>
              <w:t>-11,102,708</w:t>
            </w:r>
            <w:r>
              <w:rPr>
                <w:rFonts w:ascii="Times New Roman"/>
                <w:sz w:val="21"/>
              </w:rPr>
            </w:r>
          </w:p>
        </w:tc>
      </w:tr>
      <w:tr>
        <w:trPr>
          <w:trHeight w:val="410" w:hRule="exact"/>
        </w:trPr>
        <w:tc>
          <w:tcPr>
            <w:tcW w:w="406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765"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294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91"/>
              <w:jc w:val="right"/>
              <w:rPr>
                <w:rFonts w:ascii="Times New Roman" w:hAnsi="Times New Roman" w:cs="Times New Roman" w:eastAsia="Times New Roman" w:hint="default"/>
                <w:sz w:val="21"/>
                <w:szCs w:val="21"/>
              </w:rPr>
            </w:pPr>
            <w:r>
              <w:rPr>
                <w:rFonts w:ascii="Times New Roman"/>
                <w:spacing w:val="-1"/>
                <w:sz w:val="21"/>
              </w:rPr>
              <w:t>19,460,143</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9"/>
              <w:jc w:val="right"/>
              <w:rPr>
                <w:rFonts w:ascii="Times New Roman" w:hAnsi="Times New Roman" w:cs="Times New Roman" w:eastAsia="Times New Roman" w:hint="default"/>
                <w:sz w:val="21"/>
                <w:szCs w:val="21"/>
              </w:rPr>
            </w:pPr>
            <w:r>
              <w:rPr>
                <w:rFonts w:ascii="Times New Roman"/>
                <w:spacing w:val="-1"/>
                <w:sz w:val="21"/>
              </w:rPr>
              <w:t>23,776,247</w:t>
            </w:r>
          </w:p>
        </w:tc>
      </w:tr>
      <w:tr>
        <w:trPr>
          <w:trHeight w:val="410" w:hRule="exact"/>
        </w:trPr>
        <w:tc>
          <w:tcPr>
            <w:tcW w:w="406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765"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943"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92"/>
              <w:jc w:val="right"/>
              <w:rPr>
                <w:rFonts w:ascii="Times New Roman" w:hAnsi="Times New Roman" w:cs="Times New Roman" w:eastAsia="Times New Roman" w:hint="default"/>
                <w:sz w:val="21"/>
                <w:szCs w:val="21"/>
              </w:rPr>
            </w:pPr>
            <w:r>
              <w:rPr>
                <w:rFonts w:ascii="Times New Roman"/>
                <w:spacing w:val="-2"/>
                <w:sz w:val="21"/>
              </w:rPr>
              <w:t>10,114,346</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98"/>
              <w:jc w:val="right"/>
              <w:rPr>
                <w:rFonts w:ascii="Times New Roman" w:hAnsi="Times New Roman" w:cs="Times New Roman" w:eastAsia="Times New Roman" w:hint="default"/>
                <w:sz w:val="21"/>
                <w:szCs w:val="21"/>
              </w:rPr>
            </w:pPr>
            <w:r>
              <w:rPr>
                <w:rFonts w:ascii="Times New Roman"/>
                <w:spacing w:val="-1"/>
                <w:sz w:val="21"/>
              </w:rPr>
              <w:t>6,532,442</w:t>
            </w:r>
          </w:p>
        </w:tc>
      </w:tr>
      <w:tr>
        <w:trPr>
          <w:trHeight w:val="410" w:hRule="exact"/>
        </w:trPr>
        <w:tc>
          <w:tcPr>
            <w:tcW w:w="406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765"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94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92"/>
              <w:jc w:val="right"/>
              <w:rPr>
                <w:rFonts w:ascii="Times New Roman" w:hAnsi="Times New Roman" w:cs="Times New Roman" w:eastAsia="Times New Roman" w:hint="default"/>
                <w:sz w:val="21"/>
                <w:szCs w:val="21"/>
              </w:rPr>
            </w:pPr>
            <w:r>
              <w:rPr>
                <w:rFonts w:ascii="Times New Roman"/>
                <w:spacing w:val="-1"/>
                <w:sz w:val="21"/>
              </w:rPr>
              <w:t>474,060</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8"/>
              <w:jc w:val="right"/>
              <w:rPr>
                <w:rFonts w:ascii="Times New Roman" w:hAnsi="Times New Roman" w:cs="Times New Roman" w:eastAsia="Times New Roman" w:hint="default"/>
                <w:sz w:val="21"/>
                <w:szCs w:val="21"/>
              </w:rPr>
            </w:pPr>
            <w:r>
              <w:rPr>
                <w:rFonts w:ascii="Times New Roman"/>
                <w:spacing w:val="-1"/>
                <w:sz w:val="21"/>
              </w:rPr>
              <w:t>625,522</w:t>
            </w:r>
          </w:p>
        </w:tc>
      </w:tr>
      <w:tr>
        <w:trPr>
          <w:trHeight w:val="410" w:hRule="exact"/>
        </w:trPr>
        <w:tc>
          <w:tcPr>
            <w:tcW w:w="406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765" w:right="0"/>
              <w:jc w:val="left"/>
              <w:rPr>
                <w:rFonts w:ascii="宋体" w:hAnsi="宋体" w:cs="宋体" w:eastAsia="宋体" w:hint="default"/>
                <w:sz w:val="21"/>
                <w:szCs w:val="21"/>
              </w:rPr>
            </w:pPr>
            <w:r>
              <w:rPr>
                <w:rFonts w:ascii="宋体" w:hAnsi="宋体" w:cs="宋体" w:eastAsia="宋体" w:hint="default"/>
                <w:sz w:val="21"/>
                <w:szCs w:val="21"/>
              </w:rPr>
              <w:t>其  他</w:t>
            </w:r>
          </w:p>
        </w:tc>
        <w:tc>
          <w:tcPr>
            <w:tcW w:w="294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91"/>
              <w:jc w:val="right"/>
              <w:rPr>
                <w:rFonts w:ascii="Times New Roman" w:hAnsi="Times New Roman" w:cs="Times New Roman" w:eastAsia="Times New Roman" w:hint="default"/>
                <w:sz w:val="21"/>
                <w:szCs w:val="21"/>
              </w:rPr>
            </w:pPr>
            <w:r>
              <w:rPr>
                <w:rFonts w:ascii="Times New Roman"/>
                <w:spacing w:val="-1"/>
                <w:sz w:val="21"/>
              </w:rPr>
              <w:t>8,674,473</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9"/>
              <w:jc w:val="right"/>
              <w:rPr>
                <w:rFonts w:ascii="Times New Roman" w:hAnsi="Times New Roman" w:cs="Times New Roman" w:eastAsia="Times New Roman" w:hint="default"/>
                <w:sz w:val="21"/>
                <w:szCs w:val="21"/>
              </w:rPr>
            </w:pPr>
            <w:r>
              <w:rPr>
                <w:rFonts w:ascii="Times New Roman"/>
                <w:spacing w:val="-1"/>
                <w:sz w:val="21"/>
              </w:rPr>
              <w:t>7,315,510</w:t>
            </w:r>
          </w:p>
        </w:tc>
      </w:tr>
      <w:tr>
        <w:trPr>
          <w:trHeight w:val="340" w:hRule="exact"/>
        </w:trPr>
        <w:tc>
          <w:tcPr>
            <w:tcW w:w="4068"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right="1199"/>
              <w:jc w:val="right"/>
              <w:rPr>
                <w:rFonts w:ascii="宋体" w:hAnsi="宋体" w:cs="宋体" w:eastAsia="宋体" w:hint="default"/>
                <w:sz w:val="21"/>
                <w:szCs w:val="21"/>
              </w:rPr>
            </w:pPr>
            <w:r>
              <w:rPr>
                <w:rFonts w:ascii="宋体" w:hAnsi="宋体" w:cs="宋体" w:eastAsia="宋体" w:hint="default"/>
                <w:sz w:val="21"/>
                <w:szCs w:val="21"/>
              </w:rPr>
              <w:t>合  计</w:t>
            </w:r>
          </w:p>
        </w:tc>
        <w:tc>
          <w:tcPr>
            <w:tcW w:w="2943" w:type="dxa"/>
            <w:tcBorders>
              <w:top w:val="nil" w:sz="6" w:space="0" w:color="auto"/>
              <w:left w:val="nil" w:sz="6" w:space="0" w:color="auto"/>
              <w:bottom w:val="single" w:sz="8" w:space="0" w:color="000000"/>
              <w:right w:val="nil" w:sz="6" w:space="0" w:color="auto"/>
            </w:tcBorders>
          </w:tcPr>
          <w:p>
            <w:pPr>
              <w:pStyle w:val="TableParagraph"/>
              <w:spacing w:line="240" w:lineRule="auto" w:before="85"/>
              <w:ind w:right="391"/>
              <w:jc w:val="right"/>
              <w:rPr>
                <w:rFonts w:ascii="Times New Roman" w:hAnsi="Times New Roman" w:cs="Times New Roman" w:eastAsia="Times New Roman" w:hint="default"/>
                <w:sz w:val="21"/>
                <w:szCs w:val="21"/>
              </w:rPr>
            </w:pPr>
            <w:r>
              <w:rPr>
                <w:rFonts w:ascii="Times New Roman"/>
                <w:spacing w:val="-1"/>
                <w:sz w:val="21"/>
              </w:rPr>
              <w:t>40,490,287</w:t>
            </w:r>
          </w:p>
        </w:tc>
        <w:tc>
          <w:tcPr>
            <w:tcW w:w="1906" w:type="dxa"/>
            <w:tcBorders>
              <w:top w:val="nil" w:sz="6" w:space="0" w:color="auto"/>
              <w:left w:val="nil" w:sz="6" w:space="0" w:color="auto"/>
              <w:bottom w:val="single" w:sz="8" w:space="0" w:color="000000"/>
              <w:right w:val="nil" w:sz="6" w:space="0" w:color="auto"/>
            </w:tcBorders>
          </w:tcPr>
          <w:p>
            <w:pPr>
              <w:pStyle w:val="TableParagraph"/>
              <w:spacing w:line="240" w:lineRule="auto" w:before="85"/>
              <w:ind w:right="99"/>
              <w:jc w:val="right"/>
              <w:rPr>
                <w:rFonts w:ascii="Times New Roman" w:hAnsi="Times New Roman" w:cs="Times New Roman" w:eastAsia="Times New Roman" w:hint="default"/>
                <w:sz w:val="21"/>
                <w:szCs w:val="21"/>
              </w:rPr>
            </w:pPr>
            <w:r>
              <w:rPr>
                <w:rFonts w:ascii="Times New Roman"/>
                <w:spacing w:val="-1"/>
                <w:sz w:val="21"/>
              </w:rPr>
              <w:t>27,147,013</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spacing w:before="35"/>
        <w:ind w:left="143" w:right="0" w:firstLine="0"/>
        <w:jc w:val="left"/>
        <w:rPr>
          <w:rFonts w:ascii="宋体" w:hAnsi="宋体" w:cs="宋体" w:eastAsia="宋体" w:hint="default"/>
          <w:sz w:val="21"/>
          <w:szCs w:val="21"/>
        </w:rPr>
      </w:pPr>
      <w:r>
        <w:rPr/>
        <w:pict>
          <v:shape style="position:absolute;margin-left:120.360001pt;margin-top:-166.946686pt;width:413.45983pt;height:143.1pt;mso-position-horizontal-relative:page;mso-position-vertical-relative:paragraph;z-index:-983488" type="#_x0000_t75" stroked="false">
            <v:imagedata r:id="rId101" o:title=""/>
          </v:shape>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二十七</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3"/>
          <w:sz w:val="21"/>
          <w:szCs w:val="21"/>
        </w:rPr>
        <w:t> </w:t>
      </w:r>
      <w:r>
        <w:rPr>
          <w:rFonts w:ascii="宋体" w:hAnsi="宋体" w:cs="宋体" w:eastAsia="宋体" w:hint="default"/>
          <w:sz w:val="21"/>
          <w:szCs w:val="21"/>
        </w:rPr>
        <w:t>其他应付款</w:t>
      </w:r>
    </w:p>
    <w:p>
      <w:pPr>
        <w:tabs>
          <w:tab w:pos="1413" w:val="left" w:leader="none"/>
        </w:tabs>
        <w:spacing w:before="109"/>
        <w:ind w:left="875" w:right="0" w:firstLine="0"/>
        <w:jc w:val="left"/>
        <w:rPr>
          <w:rFonts w:ascii="宋体" w:hAnsi="宋体" w:cs="宋体" w:eastAsia="宋体" w:hint="default"/>
          <w:sz w:val="21"/>
          <w:szCs w:val="21"/>
        </w:rPr>
      </w:pPr>
      <w:r>
        <w:rPr/>
        <w:pict>
          <v:group style="position:absolute;margin-left:119.880005pt;margin-top:20.833223pt;width:414.6pt;height:164.55pt;mso-position-horizontal-relative:page;mso-position-vertical-relative:paragraph;z-index:-983464" coordorigin="2398,417" coordsize="8292,3291">
            <v:group style="position:absolute;left:2407;top:426;width:3783;height:2" coordorigin="2407,426" coordsize="3783,2">
              <v:shape style="position:absolute;left:2407;top:426;width:3783;height:2" coordorigin="2407,426" coordsize="3783,0" path="m2407,426l6190,426e" filled="false" stroked="true" strokeweight=".95999pt" strokecolor="#000000">
                <v:path arrowok="t"/>
              </v:shape>
            </v:group>
            <v:group style="position:absolute;left:6190;top:426;width:20;height:2" coordorigin="6190,426" coordsize="20,2">
              <v:shape style="position:absolute;left:6190;top:426;width:20;height:2" coordorigin="6190,426" coordsize="20,0" path="m6190,426l6209,426e" filled="false" stroked="true" strokeweight=".95999pt" strokecolor="#000000">
                <v:path arrowok="t"/>
              </v:shape>
            </v:group>
            <v:group style="position:absolute;left:6209;top:426;width:2264;height:2" coordorigin="6209,426" coordsize="2264,2">
              <v:shape style="position:absolute;left:6209;top:426;width:2264;height:2" coordorigin="6209,426" coordsize="2264,0" path="m6209,426l8472,426e" filled="false" stroked="true" strokeweight=".96pt" strokecolor="#000000">
                <v:path arrowok="t"/>
              </v:shape>
            </v:group>
            <v:group style="position:absolute;left:8472;top:426;width:2208;height:2" coordorigin="8472,426" coordsize="2208,2">
              <v:shape style="position:absolute;left:8472;top:426;width:2208;height:2" coordorigin="8472,426" coordsize="2208,0" path="m8472,426l10680,426e" filled="false" stroked="true" strokeweight=".95999pt" strokecolor="#000000">
                <v:path arrowok="t"/>
              </v:shape>
              <v:shape style="position:absolute;left:2407;top:436;width:8278;height:3271" type="#_x0000_t75" stroked="false">
                <v:imagedata r:id="rId102" o:title=""/>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其他应付款情况</w:t>
      </w:r>
    </w:p>
    <w:p>
      <w:pPr>
        <w:spacing w:line="240" w:lineRule="auto" w:before="4"/>
        <w:rPr>
          <w:rFonts w:ascii="宋体" w:hAnsi="宋体" w:cs="宋体" w:eastAsia="宋体" w:hint="default"/>
          <w:sz w:val="7"/>
          <w:szCs w:val="7"/>
        </w:rPr>
      </w:pPr>
    </w:p>
    <w:tbl>
      <w:tblPr>
        <w:tblW w:w="0" w:type="auto"/>
        <w:jc w:val="left"/>
        <w:tblInd w:w="752" w:type="dxa"/>
        <w:tblLayout w:type="fixed"/>
        <w:tblCellMar>
          <w:top w:w="0" w:type="dxa"/>
          <w:left w:w="0" w:type="dxa"/>
          <w:bottom w:w="0" w:type="dxa"/>
          <w:right w:w="0" w:type="dxa"/>
        </w:tblCellMar>
        <w:tblLook w:val="01E0"/>
      </w:tblPr>
      <w:tblGrid>
        <w:gridCol w:w="1854"/>
        <w:gridCol w:w="210"/>
        <w:gridCol w:w="1360"/>
        <w:gridCol w:w="2948"/>
        <w:gridCol w:w="1922"/>
      </w:tblGrid>
      <w:tr>
        <w:trPr>
          <w:trHeight w:val="832" w:hRule="exact"/>
        </w:trPr>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0"/>
              <w:jc w:val="right"/>
              <w:rPr>
                <w:rFonts w:ascii="宋体" w:hAnsi="宋体" w:cs="宋体" w:eastAsia="宋体" w:hint="default"/>
                <w:sz w:val="21"/>
                <w:szCs w:val="21"/>
              </w:rPr>
            </w:pPr>
            <w:r>
              <w:rPr>
                <w:rFonts w:ascii="宋体" w:hAnsi="宋体" w:cs="宋体" w:eastAsia="宋体" w:hint="default"/>
                <w:sz w:val="21"/>
                <w:szCs w:val="21"/>
              </w:rPr>
              <w:t>项 </w:t>
            </w:r>
          </w:p>
          <w:p>
            <w:pPr>
              <w:pStyle w:val="TableParagraph"/>
              <w:spacing w:line="240" w:lineRule="auto" w:before="134"/>
              <w:ind w:left="121" w:right="0"/>
              <w:jc w:val="left"/>
              <w:rPr>
                <w:rFonts w:ascii="宋体" w:hAnsi="宋体" w:cs="宋体" w:eastAsia="宋体" w:hint="default"/>
                <w:sz w:val="21"/>
                <w:szCs w:val="21"/>
              </w:rPr>
            </w:pPr>
            <w:r>
              <w:rPr>
                <w:rFonts w:ascii="宋体" w:hAnsi="宋体" w:cs="宋体" w:eastAsia="宋体" w:hint="default"/>
                <w:sz w:val="21"/>
                <w:szCs w:val="21"/>
              </w:rPr>
              <w:t>物业押金</w:t>
            </w:r>
          </w:p>
        </w:tc>
        <w:tc>
          <w:tcPr>
            <w:tcW w:w="21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0"/>
              <w:jc w:val="center"/>
              <w:rPr>
                <w:rFonts w:ascii="宋体" w:hAnsi="宋体" w:cs="宋体" w:eastAsia="宋体" w:hint="default"/>
                <w:sz w:val="21"/>
                <w:szCs w:val="21"/>
              </w:rPr>
            </w:pPr>
            <w:r>
              <w:rPr>
                <w:rFonts w:ascii="宋体"/>
                <w:sz w:val="21"/>
              </w:rPr>
              <w:t> </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 w:right="0"/>
              <w:jc w:val="left"/>
              <w:rPr>
                <w:rFonts w:ascii="宋体" w:hAnsi="宋体" w:cs="宋体" w:eastAsia="宋体" w:hint="default"/>
                <w:sz w:val="21"/>
                <w:szCs w:val="21"/>
              </w:rPr>
            </w:pPr>
            <w:r>
              <w:rPr>
                <w:rFonts w:ascii="宋体" w:hAnsi="宋体" w:cs="宋体" w:eastAsia="宋体" w:hint="default"/>
                <w:sz w:val="21"/>
                <w:szCs w:val="21"/>
              </w:rPr>
              <w:t>目</w:t>
            </w:r>
          </w:p>
        </w:tc>
        <w:tc>
          <w:tcPr>
            <w:tcW w:w="294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87" w:right="0"/>
              <w:jc w:val="center"/>
              <w:rPr>
                <w:rFonts w:ascii="宋体" w:hAnsi="宋体" w:cs="宋体" w:eastAsia="宋体" w:hint="default"/>
                <w:sz w:val="21"/>
                <w:szCs w:val="21"/>
              </w:rPr>
            </w:pPr>
            <w:r>
              <w:rPr>
                <w:rFonts w:ascii="宋体" w:hAnsi="宋体" w:cs="宋体" w:eastAsia="宋体" w:hint="default"/>
                <w:sz w:val="21"/>
                <w:szCs w:val="21"/>
              </w:rPr>
              <w:t>期末金额</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605" w:right="0"/>
              <w:jc w:val="left"/>
              <w:rPr>
                <w:rFonts w:ascii="Times New Roman" w:hAnsi="Times New Roman" w:cs="Times New Roman" w:eastAsia="Times New Roman" w:hint="default"/>
                <w:sz w:val="21"/>
                <w:szCs w:val="21"/>
              </w:rPr>
            </w:pPr>
            <w:r>
              <w:rPr>
                <w:rFonts w:ascii="Times New Roman"/>
                <w:sz w:val="21"/>
              </w:rPr>
              <w:t>19,273,527</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96" w:right="0"/>
              <w:jc w:val="left"/>
              <w:rPr>
                <w:rFonts w:ascii="宋体" w:hAnsi="宋体" w:cs="宋体" w:eastAsia="宋体" w:hint="default"/>
                <w:sz w:val="21"/>
                <w:szCs w:val="21"/>
              </w:rPr>
            </w:pPr>
            <w:r>
              <w:rPr>
                <w:rFonts w:ascii="宋体" w:hAnsi="宋体" w:cs="宋体" w:eastAsia="宋体" w:hint="default"/>
                <w:sz w:val="21"/>
                <w:szCs w:val="21"/>
              </w:rPr>
              <w:t>期初金额</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867" w:right="0"/>
              <w:jc w:val="left"/>
              <w:rPr>
                <w:rFonts w:ascii="Times New Roman" w:hAnsi="Times New Roman" w:cs="Times New Roman" w:eastAsia="Times New Roman" w:hint="default"/>
                <w:sz w:val="21"/>
                <w:szCs w:val="21"/>
              </w:rPr>
            </w:pPr>
            <w:r>
              <w:rPr>
                <w:rFonts w:ascii="Times New Roman"/>
                <w:sz w:val="21"/>
              </w:rPr>
              <w:t>13,159,402</w:t>
            </w:r>
          </w:p>
        </w:tc>
      </w:tr>
      <w:tr>
        <w:trPr>
          <w:trHeight w:val="410" w:hRule="exact"/>
        </w:trPr>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工程或项目保证金</w:t>
            </w:r>
          </w:p>
        </w:tc>
        <w:tc>
          <w:tcPr>
            <w:tcW w:w="210"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
        </w:tc>
        <w:tc>
          <w:tcPr>
            <w:tcW w:w="2948"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95"/>
              <w:jc w:val="right"/>
              <w:rPr>
                <w:rFonts w:ascii="Times New Roman" w:hAnsi="Times New Roman" w:cs="Times New Roman" w:eastAsia="Times New Roman" w:hint="default"/>
                <w:sz w:val="21"/>
                <w:szCs w:val="21"/>
              </w:rPr>
            </w:pPr>
            <w:r>
              <w:rPr>
                <w:rFonts w:ascii="Times New Roman"/>
                <w:spacing w:val="-1"/>
                <w:sz w:val="21"/>
              </w:rPr>
              <w:t>12,259,700</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6"/>
              <w:jc w:val="right"/>
              <w:rPr>
                <w:rFonts w:ascii="Times New Roman" w:hAnsi="Times New Roman" w:cs="Times New Roman" w:eastAsia="Times New Roman" w:hint="default"/>
                <w:sz w:val="21"/>
                <w:szCs w:val="21"/>
              </w:rPr>
            </w:pPr>
            <w:r>
              <w:rPr>
                <w:rFonts w:ascii="Times New Roman"/>
                <w:spacing w:val="-1"/>
                <w:sz w:val="21"/>
              </w:rPr>
              <w:t>12,704,286</w:t>
            </w:r>
          </w:p>
        </w:tc>
      </w:tr>
      <w:tr>
        <w:trPr>
          <w:trHeight w:val="410" w:hRule="exact"/>
        </w:trPr>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代扣应付款项</w:t>
            </w:r>
          </w:p>
        </w:tc>
        <w:tc>
          <w:tcPr>
            <w:tcW w:w="210"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
        </w:tc>
        <w:tc>
          <w:tcPr>
            <w:tcW w:w="294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95"/>
              <w:jc w:val="right"/>
              <w:rPr>
                <w:rFonts w:ascii="Times New Roman" w:hAnsi="Times New Roman" w:cs="Times New Roman" w:eastAsia="Times New Roman" w:hint="default"/>
                <w:sz w:val="21"/>
                <w:szCs w:val="21"/>
              </w:rPr>
            </w:pPr>
            <w:r>
              <w:rPr>
                <w:rFonts w:ascii="Times New Roman"/>
                <w:spacing w:val="-1"/>
                <w:sz w:val="21"/>
              </w:rPr>
              <w:t>19,732,549</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21"/>
                <w:szCs w:val="21"/>
              </w:rPr>
            </w:pPr>
            <w:r>
              <w:rPr>
                <w:rFonts w:ascii="Times New Roman"/>
                <w:spacing w:val="-1"/>
                <w:sz w:val="21"/>
              </w:rPr>
              <w:t>15,763,461</w:t>
            </w:r>
          </w:p>
        </w:tc>
      </w:tr>
      <w:tr>
        <w:trPr>
          <w:trHeight w:val="410" w:hRule="exact"/>
        </w:trPr>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暂收应付个人款项</w:t>
            </w:r>
          </w:p>
        </w:tc>
        <w:tc>
          <w:tcPr>
            <w:tcW w:w="210"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
        </w:tc>
        <w:tc>
          <w:tcPr>
            <w:tcW w:w="294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95"/>
              <w:jc w:val="right"/>
              <w:rPr>
                <w:rFonts w:ascii="Times New Roman" w:hAnsi="Times New Roman" w:cs="Times New Roman" w:eastAsia="Times New Roman" w:hint="default"/>
                <w:sz w:val="21"/>
                <w:szCs w:val="21"/>
              </w:rPr>
            </w:pPr>
            <w:r>
              <w:rPr>
                <w:rFonts w:ascii="Times New Roman"/>
                <w:spacing w:val="-1"/>
                <w:sz w:val="21"/>
              </w:rPr>
              <w:t>212,892</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21"/>
                <w:szCs w:val="21"/>
              </w:rPr>
            </w:pPr>
            <w:r>
              <w:rPr>
                <w:rFonts w:ascii="Times New Roman"/>
                <w:spacing w:val="-1"/>
                <w:sz w:val="21"/>
              </w:rPr>
              <w:t>1,865,293</w:t>
            </w:r>
          </w:p>
        </w:tc>
      </w:tr>
      <w:tr>
        <w:trPr>
          <w:trHeight w:val="410" w:hRule="exact"/>
        </w:trPr>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暂收应付单位款项</w:t>
            </w:r>
          </w:p>
        </w:tc>
        <w:tc>
          <w:tcPr>
            <w:tcW w:w="210"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
        </w:tc>
        <w:tc>
          <w:tcPr>
            <w:tcW w:w="2948"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95"/>
              <w:jc w:val="right"/>
              <w:rPr>
                <w:rFonts w:ascii="Times New Roman" w:hAnsi="Times New Roman" w:cs="Times New Roman" w:eastAsia="Times New Roman" w:hint="default"/>
                <w:sz w:val="21"/>
                <w:szCs w:val="21"/>
              </w:rPr>
            </w:pPr>
            <w:r>
              <w:rPr>
                <w:rFonts w:ascii="Times New Roman"/>
                <w:spacing w:val="-1"/>
                <w:sz w:val="21"/>
              </w:rPr>
              <w:t>99,322,684</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6"/>
              <w:jc w:val="right"/>
              <w:rPr>
                <w:rFonts w:ascii="Times New Roman" w:hAnsi="Times New Roman" w:cs="Times New Roman" w:eastAsia="Times New Roman" w:hint="default"/>
                <w:sz w:val="21"/>
                <w:szCs w:val="21"/>
              </w:rPr>
            </w:pPr>
            <w:r>
              <w:rPr>
                <w:rFonts w:ascii="Times New Roman"/>
                <w:spacing w:val="-1"/>
                <w:sz w:val="21"/>
              </w:rPr>
              <w:t>91,151,790</w:t>
            </w:r>
          </w:p>
        </w:tc>
      </w:tr>
      <w:tr>
        <w:trPr>
          <w:trHeight w:val="410" w:hRule="exact"/>
        </w:trPr>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其    他</w:t>
            </w:r>
          </w:p>
        </w:tc>
        <w:tc>
          <w:tcPr>
            <w:tcW w:w="210"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
        </w:tc>
        <w:tc>
          <w:tcPr>
            <w:tcW w:w="294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95"/>
              <w:jc w:val="right"/>
              <w:rPr>
                <w:rFonts w:ascii="Times New Roman" w:hAnsi="Times New Roman" w:cs="Times New Roman" w:eastAsia="Times New Roman" w:hint="default"/>
                <w:sz w:val="21"/>
                <w:szCs w:val="21"/>
              </w:rPr>
            </w:pPr>
            <w:r>
              <w:rPr>
                <w:rFonts w:ascii="Times New Roman"/>
                <w:spacing w:val="-1"/>
                <w:sz w:val="21"/>
              </w:rPr>
              <w:t>5,439,734</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21"/>
                <w:szCs w:val="21"/>
              </w:rPr>
            </w:pPr>
            <w:r>
              <w:rPr>
                <w:rFonts w:ascii="Times New Roman"/>
                <w:spacing w:val="-1"/>
                <w:sz w:val="21"/>
              </w:rPr>
              <w:t>6,347,203</w:t>
            </w:r>
          </w:p>
        </w:tc>
      </w:tr>
      <w:tr>
        <w:trPr>
          <w:trHeight w:val="340" w:hRule="exact"/>
        </w:trPr>
        <w:tc>
          <w:tcPr>
            <w:tcW w:w="1854"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right="50"/>
              <w:jc w:val="right"/>
              <w:rPr>
                <w:rFonts w:ascii="宋体" w:hAnsi="宋体" w:cs="宋体" w:eastAsia="宋体" w:hint="default"/>
                <w:sz w:val="21"/>
                <w:szCs w:val="21"/>
              </w:rPr>
            </w:pPr>
            <w:r>
              <w:rPr>
                <w:rFonts w:ascii="宋体" w:hAnsi="宋体" w:cs="宋体" w:eastAsia="宋体" w:hint="default"/>
                <w:sz w:val="21"/>
                <w:szCs w:val="21"/>
              </w:rPr>
              <w:t>合 </w:t>
            </w:r>
          </w:p>
        </w:tc>
        <w:tc>
          <w:tcPr>
            <w:tcW w:w="210"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right="0"/>
              <w:jc w:val="center"/>
              <w:rPr>
                <w:rFonts w:ascii="宋体" w:hAnsi="宋体" w:cs="宋体" w:eastAsia="宋体" w:hint="default"/>
                <w:sz w:val="21"/>
                <w:szCs w:val="21"/>
              </w:rPr>
            </w:pPr>
            <w:r>
              <w:rPr>
                <w:rFonts w:ascii="宋体"/>
                <w:sz w:val="21"/>
              </w:rPr>
              <w:t> </w:t>
            </w:r>
          </w:p>
        </w:tc>
        <w:tc>
          <w:tcPr>
            <w:tcW w:w="1360"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52"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948"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394"/>
              <w:jc w:val="right"/>
              <w:rPr>
                <w:rFonts w:ascii="Times New Roman" w:hAnsi="Times New Roman" w:cs="Times New Roman" w:eastAsia="Times New Roman" w:hint="default"/>
                <w:sz w:val="21"/>
                <w:szCs w:val="21"/>
              </w:rPr>
            </w:pPr>
            <w:r>
              <w:rPr>
                <w:rFonts w:ascii="Times New Roman"/>
                <w:spacing w:val="-1"/>
                <w:sz w:val="21"/>
              </w:rPr>
              <w:t>156,241,086</w:t>
            </w:r>
          </w:p>
        </w:tc>
        <w:tc>
          <w:tcPr>
            <w:tcW w:w="1922"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21"/>
                <w:szCs w:val="21"/>
              </w:rPr>
            </w:pPr>
            <w:r>
              <w:rPr>
                <w:rFonts w:ascii="Times New Roman"/>
                <w:spacing w:val="-1"/>
                <w:sz w:val="21"/>
              </w:rPr>
              <w:t>140,991,435</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1413" w:val="left" w:leader="none"/>
        </w:tabs>
        <w:spacing w:before="35"/>
        <w:ind w:left="87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期末金额中欠持本公司</w:t>
      </w:r>
      <w:r>
        <w:rPr>
          <w:rFonts w:ascii="宋体" w:hAnsi="宋体" w:cs="宋体" w:eastAsia="宋体" w:hint="default"/>
          <w:spacing w:val="-44"/>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％以上（含</w:t>
      </w:r>
      <w:r>
        <w:rPr>
          <w:rFonts w:ascii="宋体" w:hAnsi="宋体" w:cs="宋体" w:eastAsia="宋体" w:hint="default"/>
          <w:spacing w:val="-44"/>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％）表决权股份的股东单位款项：</w:t>
      </w:r>
    </w:p>
    <w:p>
      <w:pPr>
        <w:spacing w:line="1669" w:lineRule="exact"/>
        <w:ind w:left="743"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14.9pt;height:83.5pt;mso-position-horizontal-relative:char;mso-position-vertical-relative:line" coordorigin="0,0" coordsize="8298,1670">
            <v:group style="position:absolute;left:24;top:10;width:3782;height:2" coordorigin="24,10" coordsize="3782,2">
              <v:shape style="position:absolute;left:24;top:10;width:3782;height:2" coordorigin="24,10" coordsize="3782,0" path="m24,10l3805,10e" filled="false" stroked="true" strokeweight=".96001pt" strokecolor="#000000">
                <v:path arrowok="t"/>
              </v:shape>
            </v:group>
            <v:group style="position:absolute;left:3805;top:10;width:2296;height:2" coordorigin="3805,10" coordsize="2296,2">
              <v:shape style="position:absolute;left:3805;top:10;width:2296;height:2" coordorigin="3805,10" coordsize="2296,0" path="m3805,10l6101,10e" filled="false" stroked="true" strokeweight=".96001pt" strokecolor="#000000">
                <v:path arrowok="t"/>
              </v:shape>
            </v:group>
            <v:group style="position:absolute;left:6101;top:10;width:2181;height:2" coordorigin="6101,10" coordsize="2181,2">
              <v:shape style="position:absolute;left:6101;top:10;width:2181;height:2" coordorigin="6101,10" coordsize="2181,0" path="m6101,10l8281,10e" filled="false" stroked="true" strokeweight=".96001pt" strokecolor="#000000">
                <v:path arrowok="t"/>
              </v:shape>
            </v:group>
            <v:group style="position:absolute;left:10;top:1660;width:3796;height:2" coordorigin="10,1660" coordsize="3796,2">
              <v:shape style="position:absolute;left:10;top:1660;width:3796;height:2" coordorigin="10,1660" coordsize="3796,0" path="m10,1660l3805,1660e" filled="false" stroked="true" strokeweight=".96001pt" strokecolor="#000000">
                <v:path arrowok="t"/>
              </v:shape>
            </v:group>
            <v:group style="position:absolute;left:3805;top:1660;width:2296;height:2" coordorigin="3805,1660" coordsize="2296,2">
              <v:shape style="position:absolute;left:3805;top:1660;width:2296;height:2" coordorigin="3805,1660" coordsize="2296,0" path="m3805,1660l6101,1660e" filled="false" stroked="true" strokeweight=".96001pt" strokecolor="#000000">
                <v:path arrowok="t"/>
              </v:shape>
              <v:shape style="position:absolute;left:24;top:19;width:8266;height:1631" type="#_x0000_t75" stroked="false">
                <v:imagedata r:id="rId103" o:title=""/>
              </v:shape>
            </v:group>
            <v:group style="position:absolute;left:6101;top:1660;width:2188;height:2" coordorigin="6101,1660" coordsize="2188,2">
              <v:shape style="position:absolute;left:6101;top:1660;width:2188;height:2" coordorigin="6101,1660" coordsize="2188,0" path="m6101,1660l8288,1660e" filled="false" stroked="true" strokeweight=".96001pt" strokecolor="#000000">
                <v:path arrowok="t"/>
              </v:shape>
              <v:shape style="position:absolute;left:1495;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4537;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期末金额</w:t>
                      </w:r>
                    </w:p>
                  </w:txbxContent>
                </v:textbox>
                <w10:wrap type="none"/>
              </v:shape>
              <v:shape style="position:absolute;left:6776;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期初金额</w:t>
                      </w:r>
                    </w:p>
                  </w:txbxContent>
                </v:textbox>
                <w10:wrap type="none"/>
              </v:shape>
              <v:shape style="position:absolute;left:131;top:588;width:1050;height:62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东北大学</w:t>
                      </w:r>
                    </w:p>
                    <w:p>
                      <w:pPr>
                        <w:spacing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阿尔派中国</w:t>
                      </w:r>
                    </w:p>
                  </w:txbxContent>
                </v:textbox>
                <w10:wrap type="none"/>
              </v:shape>
              <v:shape style="position:absolute;left:1495;top:140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    计</w:t>
                      </w:r>
                    </w:p>
                  </w:txbxContent>
                </v:textbox>
                <w10:wrap type="none"/>
              </v:shape>
              <v:shape style="position:absolute;left:5052;top:613;width:946;height:1030"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26,228,067</w:t>
                      </w:r>
                    </w:p>
                    <w:p>
                      <w:pPr>
                        <w:spacing w:before="167"/>
                        <w:ind w:left="261" w:right="0" w:firstLine="0"/>
                        <w:jc w:val="left"/>
                        <w:rPr>
                          <w:rFonts w:ascii="Times New Roman" w:hAnsi="Times New Roman" w:cs="Times New Roman" w:eastAsia="Times New Roman" w:hint="default"/>
                          <w:sz w:val="21"/>
                          <w:szCs w:val="21"/>
                        </w:rPr>
                      </w:pPr>
                      <w:r>
                        <w:rPr>
                          <w:rFonts w:ascii="Times New Roman"/>
                          <w:sz w:val="21"/>
                        </w:rPr>
                        <w:t>772,303</w:t>
                      </w:r>
                    </w:p>
                    <w:p>
                      <w:pPr>
                        <w:spacing w:line="237" w:lineRule="exact" w:before="169"/>
                        <w:ind w:left="0" w:right="0" w:firstLine="0"/>
                        <w:jc w:val="left"/>
                        <w:rPr>
                          <w:rFonts w:ascii="Times New Roman" w:hAnsi="Times New Roman" w:cs="Times New Roman" w:eastAsia="Times New Roman" w:hint="default"/>
                          <w:sz w:val="21"/>
                          <w:szCs w:val="21"/>
                        </w:rPr>
                      </w:pPr>
                      <w:r>
                        <w:rPr>
                          <w:rFonts w:ascii="Times New Roman"/>
                          <w:spacing w:val="-1"/>
                          <w:sz w:val="21"/>
                        </w:rPr>
                        <w:t>27,000,370</w:t>
                      </w:r>
                    </w:p>
                  </w:txbxContent>
                </v:textbox>
                <w10:wrap type="none"/>
              </v:shape>
              <v:shape style="position:absolute;left:7236;top:613;width:946;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21,228,067</w:t>
                      </w:r>
                    </w:p>
                  </w:txbxContent>
                </v:textbox>
                <w10:wrap type="none"/>
              </v:shape>
              <v:shape style="position:absolute;left:7235;top:1433;width:946;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21,228,067</w:t>
                      </w:r>
                    </w:p>
                  </w:txbxContent>
                </v:textbox>
                <w10:wrap type="none"/>
              </v:shape>
            </v:group>
          </v:group>
        </w:pict>
      </w:r>
      <w:r>
        <w:rPr>
          <w:rFonts w:ascii="宋体" w:hAnsi="宋体" w:cs="宋体" w:eastAsia="宋体" w:hint="default"/>
          <w:position w:val="-32"/>
          <w:sz w:val="20"/>
          <w:szCs w:val="20"/>
        </w:rPr>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tabs>
          <w:tab w:pos="1430" w:val="left" w:leader="none"/>
        </w:tabs>
        <w:spacing w:before="35"/>
        <w:ind w:left="87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期末金额中欠关联方情况</w:t>
      </w:r>
    </w:p>
    <w:p>
      <w:pPr>
        <w:spacing w:before="109"/>
        <w:ind w:left="1417" w:right="0" w:firstLine="0"/>
        <w:jc w:val="left"/>
        <w:rPr>
          <w:rFonts w:ascii="宋体" w:hAnsi="宋体" w:cs="宋体" w:eastAsia="宋体" w:hint="default"/>
          <w:sz w:val="21"/>
          <w:szCs w:val="21"/>
        </w:rPr>
      </w:pPr>
      <w:r>
        <w:rPr>
          <w:rFonts w:ascii="宋体" w:hAnsi="宋体" w:cs="宋体" w:eastAsia="宋体" w:hint="default"/>
          <w:sz w:val="21"/>
          <w:szCs w:val="21"/>
        </w:rPr>
        <w:t>期末关联方应付款</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7,00</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,37</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r>
        <w:rPr>
          <w:rFonts w:ascii="宋体" w:hAnsi="宋体" w:cs="宋体" w:eastAsia="宋体" w:hint="default"/>
          <w:spacing w:val="-2"/>
          <w:sz w:val="21"/>
          <w:szCs w:val="21"/>
        </w:rPr>
        <w:t>详</w:t>
      </w:r>
      <w:r>
        <w:rPr>
          <w:rFonts w:ascii="宋体" w:hAnsi="宋体" w:cs="宋体" w:eastAsia="宋体" w:hint="default"/>
          <w:sz w:val="21"/>
          <w:szCs w:val="21"/>
        </w:rPr>
        <w:t>见本附注七（四</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pacing w:val="-7"/>
          <w:sz w:val="21"/>
          <w:szCs w:val="21"/>
        </w:rPr>
        <w:t>1</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p>
    <w:p>
      <w:pPr>
        <w:spacing w:after="0"/>
        <w:jc w:val="left"/>
        <w:rPr>
          <w:rFonts w:ascii="宋体" w:hAnsi="宋体" w:cs="宋体" w:eastAsia="宋体" w:hint="default"/>
          <w:sz w:val="21"/>
          <w:szCs w:val="21"/>
        </w:rPr>
        <w:sectPr>
          <w:pgSz w:w="11900" w:h="16840"/>
          <w:pgMar w:header="0" w:footer="1003" w:top="1540" w:bottom="1200" w:left="1640" w:right="1100"/>
        </w:sectPr>
      </w:pPr>
    </w:p>
    <w:p>
      <w:pPr>
        <w:spacing w:line="240" w:lineRule="auto" w:before="10"/>
        <w:rPr>
          <w:rFonts w:ascii="宋体" w:hAnsi="宋体" w:cs="宋体" w:eastAsia="宋体" w:hint="default"/>
          <w:sz w:val="8"/>
          <w:szCs w:val="8"/>
        </w:rPr>
      </w:pPr>
    </w:p>
    <w:p>
      <w:pPr>
        <w:tabs>
          <w:tab w:pos="1410" w:val="left" w:leader="none"/>
        </w:tabs>
        <w:spacing w:before="35"/>
        <w:ind w:left="85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tab/>
        <w:t>账龄超过一年的大额其他应付款情况的说明</w:t>
      </w:r>
    </w:p>
    <w:p>
      <w:pPr>
        <w:spacing w:line="849" w:lineRule="exact"/>
        <w:ind w:left="723"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14.3pt;height:42.5pt;mso-position-horizontal-relative:char;mso-position-vertical-relative:line" coordorigin="0,0" coordsize="8286,850">
            <v:group style="position:absolute;left:24;top:10;width:2410;height:2" coordorigin="24,10" coordsize="2410,2">
              <v:shape style="position:absolute;left:24;top:10;width:2410;height:2" coordorigin="24,10" coordsize="2410,0" path="m24,10l2434,10e" filled="false" stroked="true" strokeweight=".95996pt" strokecolor="#000000">
                <v:path arrowok="t"/>
              </v:shape>
            </v:group>
            <v:group style="position:absolute;left:2434;top:10;width:1162;height:2" coordorigin="2434,10" coordsize="1162,2">
              <v:shape style="position:absolute;left:2434;top:10;width:1162;height:2" coordorigin="2434,10" coordsize="1162,0" path="m2434,10l3595,10e" filled="false" stroked="true" strokeweight=".95996pt" strokecolor="#000000">
                <v:path arrowok="t"/>
              </v:shape>
            </v:group>
            <v:group style="position:absolute;left:3595;top:10;width:1266;height:2" coordorigin="3595,10" coordsize="1266,2">
              <v:shape style="position:absolute;left:3595;top:10;width:1266;height:2" coordorigin="3595,10" coordsize="1266,0" path="m3595,10l4861,10e" filled="false" stroked="true" strokeweight=".95996pt" strokecolor="#000000">
                <v:path arrowok="t"/>
              </v:shape>
            </v:group>
            <v:group style="position:absolute;left:4861;top:10;width:3408;height:2" coordorigin="4861,10" coordsize="3408,2">
              <v:shape style="position:absolute;left:4861;top:10;width:3408;height:2" coordorigin="4861,10" coordsize="3408,0" path="m4861,10l8269,10e" filled="false" stroked="true" strokeweight=".95996pt" strokecolor="#000000">
                <v:path arrowok="t"/>
              </v:shape>
            </v:group>
            <v:group style="position:absolute;left:10;top:840;width:2424;height:2" coordorigin="10,840" coordsize="2424,2">
              <v:shape style="position:absolute;left:10;top:840;width:2424;height:2" coordorigin="10,840" coordsize="2424,0" path="m10,840l2434,840e" filled="false" stroked="true" strokeweight=".95996pt" strokecolor="#000000">
                <v:path arrowok="t"/>
              </v:shape>
            </v:group>
            <v:group style="position:absolute;left:2434;top:840;width:1162;height:2" coordorigin="2434,840" coordsize="1162,2">
              <v:shape style="position:absolute;left:2434;top:840;width:1162;height:2" coordorigin="2434,840" coordsize="1162,0" path="m2434,840l3595,840e" filled="false" stroked="true" strokeweight=".95996pt" strokecolor="#000000">
                <v:path arrowok="t"/>
              </v:shape>
            </v:group>
            <v:group style="position:absolute;left:3595;top:840;width:1266;height:2" coordorigin="3595,840" coordsize="1266,2">
              <v:shape style="position:absolute;left:3595;top:840;width:1266;height:2" coordorigin="3595,840" coordsize="1266,0" path="m3595,840l4861,840e" filled="false" stroked="true" strokeweight=".95996pt" strokecolor="#000000">
                <v:path arrowok="t"/>
              </v:shape>
              <v:shape style="position:absolute;left:24;top:19;width:8255;height:811" type="#_x0000_t75" stroked="false">
                <v:imagedata r:id="rId104" o:title=""/>
              </v:shape>
            </v:group>
            <v:group style="position:absolute;left:4861;top:840;width:3416;height:2" coordorigin="4861,840" coordsize="3416,2">
              <v:shape style="position:absolute;left:4861;top:840;width:3416;height:2" coordorigin="4861,840" coordsize="3416,0" path="m4861,840l8276,840e" filled="false" stroked="true" strokeweight=".95996pt" strokecolor="#000000">
                <v:path arrowok="t"/>
              </v:shape>
              <v:shape style="position:absolute;left:131;top:178;width:1520;height:620" type="#_x0000_t202" filled="false" stroked="false">
                <v:textbox inset="0,0,0,0">
                  <w:txbxContent>
                    <w:p>
                      <w:pPr>
                        <w:spacing w:line="210" w:lineRule="exact" w:before="0"/>
                        <w:ind w:left="679"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p>
                      <w:pPr>
                        <w:spacing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东北大学</w:t>
                      </w:r>
                    </w:p>
                  </w:txbxContent>
                </v:textbox>
                <w10:wrap type="none"/>
              </v:shape>
              <v:shape style="position:absolute;left:2651;top:17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r>
                    </w:p>
                  </w:txbxContent>
                </v:textbox>
                <w10:wrap type="none"/>
              </v:shape>
              <v:shape style="position:absolute;left:3176;top:178;width:1582;height:210" type="#_x0000_t202" filled="false" stroked="false">
                <v:textbox inset="0,0,0,0">
                  <w:txbxContent>
                    <w:p>
                      <w:pPr>
                        <w:tabs>
                          <w:tab w:pos="53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额</w:t>
                        <w:tab/>
                        <w:t>未偿还原因</w:t>
                      </w:r>
                    </w:p>
                  </w:txbxContent>
                </v:textbox>
                <w10:wrap type="none"/>
              </v:shape>
              <v:shape style="position:absolute;left:2546;top:613;width:946;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21,228,067</w:t>
                      </w:r>
                    </w:p>
                  </w:txbxContent>
                </v:textbox>
                <w10:wrap type="none"/>
              </v:shape>
              <v:shape style="position:absolute;left:3708;top:588;width:350;height:222" type="#_x0000_t202" filled="false" stroked="false">
                <v:textbox inset="0,0,0,0">
                  <w:txbxContent>
                    <w:p>
                      <w:pPr>
                        <w:spacing w:line="221" w:lineRule="exact" w:before="0"/>
                        <w:ind w:left="0" w:right="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注</w:t>
                      </w:r>
                      <w:r>
                        <w:rPr>
                          <w:rFonts w:ascii="Times New Roman" w:hAnsi="Times New Roman" w:cs="Times New Roman" w:eastAsia="Times New Roman" w:hint="default"/>
                          <w:spacing w:val="-1"/>
                          <w:sz w:val="21"/>
                          <w:szCs w:val="21"/>
                        </w:rPr>
                        <w:t>)</w:t>
                      </w:r>
                    </w:p>
                  </w:txbxContent>
                </v:textbox>
                <w10:wrap type="none"/>
              </v:shape>
              <v:shape style="position:absolute;left:5543;top:178;width:2626;height:631" type="#_x0000_t202" filled="false" stroked="false">
                <v:textbox inset="0,0,0,0">
                  <w:txbxContent>
                    <w:p>
                      <w:pPr>
                        <w:spacing w:line="210" w:lineRule="exact" w:before="0"/>
                        <w:ind w:left="608" w:right="0" w:firstLine="0"/>
                        <w:jc w:val="left"/>
                        <w:rPr>
                          <w:rFonts w:ascii="宋体" w:hAnsi="宋体" w:cs="宋体" w:eastAsia="宋体" w:hint="default"/>
                          <w:sz w:val="21"/>
                          <w:szCs w:val="21"/>
                        </w:rPr>
                      </w:pPr>
                      <w:r>
                        <w:rPr>
                          <w:rFonts w:ascii="宋体" w:hAnsi="宋体" w:cs="宋体" w:eastAsia="宋体" w:hint="default"/>
                          <w:sz w:val="21"/>
                          <w:szCs w:val="21"/>
                        </w:rPr>
                        <w:t>备    注</w:t>
                      </w:r>
                    </w:p>
                    <w:p>
                      <w:pPr>
                        <w:spacing w:line="286" w:lineRule="exact"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报表日后已还款</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2,189,604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tabs>
          <w:tab w:pos="1410" w:val="left" w:leader="none"/>
        </w:tabs>
        <w:spacing w:before="35"/>
        <w:ind w:left="85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sz w:val="21"/>
          <w:szCs w:val="21"/>
        </w:rPr>
        <w:t>、</w:t>
        <w:tab/>
        <w:t>金额较大的其他应付款</w:t>
      </w:r>
    </w:p>
    <w:p>
      <w:pPr>
        <w:spacing w:line="849" w:lineRule="exact"/>
        <w:ind w:left="723"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13.6pt;height:42.5pt;mso-position-horizontal-relative:char;mso-position-vertical-relative:line" coordorigin="0,0" coordsize="8272,850">
            <v:group style="position:absolute;left:24;top:10;width:2638;height:2" coordorigin="24,10" coordsize="2638,2">
              <v:shape style="position:absolute;left:24;top:10;width:2638;height:2" coordorigin="24,10" coordsize="2638,0" path="m24,10l2662,10e" filled="false" stroked="true" strokeweight=".95996pt" strokecolor="#000000">
                <v:path arrowok="t"/>
              </v:shape>
            </v:group>
            <v:group style="position:absolute;left:2662;top:10;width:1337;height:2" coordorigin="2662,10" coordsize="1337,2">
              <v:shape style="position:absolute;left:2662;top:10;width:1337;height:2" coordorigin="2662,10" coordsize="1337,0" path="m2662,10l3998,10e" filled="false" stroked="true" strokeweight=".95996pt" strokecolor="#000000">
                <v:path arrowok="t"/>
              </v:shape>
            </v:group>
            <v:group style="position:absolute;left:3998;top:10;width:1418;height:2" coordorigin="3998,10" coordsize="1418,2">
              <v:shape style="position:absolute;left:3998;top:10;width:1418;height:2" coordorigin="3998,10" coordsize="1418,0" path="m3998,10l5416,10e" filled="false" stroked="true" strokeweight=".95996pt" strokecolor="#000000">
                <v:path arrowok="t"/>
              </v:shape>
            </v:group>
            <v:group style="position:absolute;left:5416;top:10;width:2840;height:2" coordorigin="5416,10" coordsize="2840,2">
              <v:shape style="position:absolute;left:5416;top:10;width:2840;height:2" coordorigin="5416,10" coordsize="2840,0" path="m5416,10l8255,10e" filled="false" stroked="true" strokeweight=".95996pt" strokecolor="#000000">
                <v:path arrowok="t"/>
              </v:shape>
            </v:group>
            <v:group style="position:absolute;left:10;top:840;width:2652;height:2" coordorigin="10,840" coordsize="2652,2">
              <v:shape style="position:absolute;left:10;top:840;width:2652;height:2" coordorigin="10,840" coordsize="2652,0" path="m10,840l2662,840e" filled="false" stroked="true" strokeweight=".96002pt" strokecolor="#000000">
                <v:path arrowok="t"/>
              </v:shape>
            </v:group>
            <v:group style="position:absolute;left:2662;top:840;width:1337;height:2" coordorigin="2662,840" coordsize="1337,2">
              <v:shape style="position:absolute;left:2662;top:840;width:1337;height:2" coordorigin="2662,840" coordsize="1337,0" path="m2662,840l3998,840e" filled="false" stroked="true" strokeweight=".96002pt" strokecolor="#000000">
                <v:path arrowok="t"/>
              </v:shape>
            </v:group>
            <v:group style="position:absolute;left:3998;top:840;width:1418;height:2" coordorigin="3998,840" coordsize="1418,2">
              <v:shape style="position:absolute;left:3998;top:840;width:1418;height:2" coordorigin="3998,840" coordsize="1418,0" path="m3998,840l5416,840e" filled="false" stroked="true" strokeweight=".96002pt" strokecolor="#000000">
                <v:path arrowok="t"/>
              </v:shape>
              <v:shape style="position:absolute;left:24;top:19;width:8238;height:811" type="#_x0000_t75" stroked="false">
                <v:imagedata r:id="rId105" o:title=""/>
              </v:shape>
            </v:group>
            <v:group style="position:absolute;left:5416;top:840;width:2847;height:2" coordorigin="5416,840" coordsize="2847,2">
              <v:shape style="position:absolute;left:5416;top:840;width:2847;height:2" coordorigin="5416,840" coordsize="2847,0" path="m5416,840l8262,840e" filled="false" stroked="true" strokeweight=".96002pt" strokecolor="#000000">
                <v:path arrowok="t"/>
              </v:shape>
              <v:shape style="position:absolute;left:131;top:178;width:1634;height:620" type="#_x0000_t202" filled="false" stroked="false">
                <v:textbox inset="0,0,0,0">
                  <w:txbxContent>
                    <w:p>
                      <w:pPr>
                        <w:spacing w:line="210" w:lineRule="exact" w:before="0"/>
                        <w:ind w:left="793"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p>
                      <w:pPr>
                        <w:spacing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东北大学</w:t>
                      </w:r>
                    </w:p>
                  </w:txbxContent>
                </v:textbox>
                <w10:wrap type="none"/>
              </v:shape>
              <v:shape style="position:absolute;left:2966;top:17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r>
                    </w:p>
                  </w:txbxContent>
                </v:textbox>
                <w10:wrap type="none"/>
              </v:shape>
              <v:shape style="position:absolute;left:3492;top:178;width:1745;height:210" type="#_x0000_t202" filled="false" stroked="false">
                <v:textbox inset="0,0,0,0">
                  <w:txbxContent>
                    <w:p>
                      <w:pPr>
                        <w:tabs>
                          <w:tab w:pos="694"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额</w:t>
                        <w:tab/>
                        <w:t>性质或内容</w:t>
                      </w:r>
                    </w:p>
                  </w:txbxContent>
                </v:textbox>
                <w10:wrap type="none"/>
              </v:shape>
              <v:shape style="position:absolute;left:2950;top:613;width:946;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26,228,067</w:t>
                      </w:r>
                    </w:p>
                  </w:txbxContent>
                </v:textbox>
                <w10:wrap type="none"/>
              </v:shape>
              <v:shape style="position:absolute;left:4111;top:588;width:350;height:222" type="#_x0000_t202" filled="false" stroked="false">
                <v:textbox inset="0,0,0,0">
                  <w:txbxContent>
                    <w:p>
                      <w:pPr>
                        <w:spacing w:line="221" w:lineRule="exact" w:before="0"/>
                        <w:ind w:left="0" w:right="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注</w:t>
                      </w:r>
                      <w:r>
                        <w:rPr>
                          <w:rFonts w:ascii="Times New Roman" w:hAnsi="Times New Roman" w:cs="Times New Roman" w:eastAsia="Times New Roman" w:hint="default"/>
                          <w:spacing w:val="-1"/>
                          <w:sz w:val="21"/>
                          <w:szCs w:val="21"/>
                        </w:rPr>
                        <w:t>)</w:t>
                      </w:r>
                    </w:p>
                  </w:txbxContent>
                </v:textbox>
                <w10:wrap type="none"/>
              </v:shape>
              <v:shape style="position:absolute;left:5528;top:178;width:2626;height:631" type="#_x0000_t202" filled="false" stroked="false">
                <v:textbox inset="0,0,0,0">
                  <w:txbxContent>
                    <w:p>
                      <w:pPr>
                        <w:spacing w:line="210" w:lineRule="exact" w:before="0"/>
                        <w:ind w:left="892" w:right="0" w:firstLine="0"/>
                        <w:jc w:val="left"/>
                        <w:rPr>
                          <w:rFonts w:ascii="宋体" w:hAnsi="宋体" w:cs="宋体" w:eastAsia="宋体" w:hint="default"/>
                          <w:sz w:val="21"/>
                          <w:szCs w:val="21"/>
                        </w:rPr>
                      </w:pPr>
                      <w:r>
                        <w:rPr>
                          <w:rFonts w:ascii="宋体" w:hAnsi="宋体" w:cs="宋体" w:eastAsia="宋体" w:hint="default"/>
                          <w:sz w:val="21"/>
                          <w:szCs w:val="21"/>
                        </w:rPr>
                        <w:t>备    注</w:t>
                      </w:r>
                    </w:p>
                    <w:p>
                      <w:pPr>
                        <w:spacing w:line="286" w:lineRule="exact"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报表日后已还款</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2,189,604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spacing w:before="35"/>
        <w:ind w:left="855" w:right="0" w:firstLine="0"/>
        <w:jc w:val="both"/>
        <w:rPr>
          <w:rFonts w:ascii="宋体" w:hAnsi="宋体" w:cs="宋体" w:eastAsia="宋体" w:hint="default"/>
          <w:sz w:val="21"/>
          <w:szCs w:val="21"/>
        </w:rPr>
      </w:pPr>
      <w:r>
        <w:rPr>
          <w:rFonts w:ascii="宋体" w:hAnsi="宋体" w:cs="宋体" w:eastAsia="宋体" w:hint="default"/>
          <w:sz w:val="21"/>
          <w:szCs w:val="21"/>
        </w:rPr>
        <w:t>注：其中</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12,975,375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元应付款为东北大学科技产业集团</w:t>
      </w:r>
      <w:r>
        <w:rPr>
          <w:rFonts w:ascii="Times New Roman" w:hAnsi="Times New Roman" w:cs="Times New Roman" w:eastAsia="Times New Roman" w:hint="default"/>
          <w:sz w:val="21"/>
          <w:szCs w:val="21"/>
        </w:rPr>
        <w:t>(“</w:t>
      </w:r>
      <w:r>
        <w:rPr>
          <w:rFonts w:ascii="宋体" w:hAnsi="宋体" w:cs="宋体" w:eastAsia="宋体" w:hint="default"/>
          <w:sz w:val="21"/>
          <w:szCs w:val="21"/>
        </w:rPr>
        <w:t>东北大学</w:t>
      </w:r>
      <w:r>
        <w:rPr>
          <w:rFonts w:ascii="Times New Roman" w:hAnsi="Times New Roman" w:cs="Times New Roman" w:eastAsia="Times New Roman" w:hint="default"/>
          <w:sz w:val="21"/>
          <w:szCs w:val="21"/>
        </w:rPr>
        <w:t>”)</w:t>
      </w:r>
      <w:r>
        <w:rPr>
          <w:rFonts w:ascii="宋体" w:hAnsi="宋体" w:cs="宋体" w:eastAsia="宋体" w:hint="default"/>
          <w:sz w:val="21"/>
          <w:szCs w:val="21"/>
        </w:rPr>
        <w:t>对本公司与原控股股</w:t>
      </w:r>
    </w:p>
    <w:p>
      <w:pPr>
        <w:spacing w:line="338" w:lineRule="auto" w:before="110"/>
        <w:ind w:left="855" w:right="204" w:firstLine="0"/>
        <w:jc w:val="both"/>
        <w:rPr>
          <w:rFonts w:ascii="宋体" w:hAnsi="宋体" w:cs="宋体" w:eastAsia="宋体" w:hint="default"/>
          <w:sz w:val="21"/>
          <w:szCs w:val="21"/>
        </w:rPr>
      </w:pPr>
      <w:r>
        <w:rPr>
          <w:rFonts w:ascii="宋体" w:hAnsi="宋体" w:cs="宋体" w:eastAsia="宋体" w:hint="default"/>
          <w:sz w:val="21"/>
          <w:szCs w:val="21"/>
        </w:rPr>
        <w:t>东东软集团有限公司</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年吸收合并完成后尚未取得权属证书的房产和土地所做出承诺 </w:t>
      </w:r>
      <w:r>
        <w:rPr>
          <w:rFonts w:ascii="宋体" w:hAnsi="宋体" w:cs="宋体" w:eastAsia="宋体" w:hint="default"/>
          <w:spacing w:val="-3"/>
          <w:sz w:val="21"/>
          <w:szCs w:val="21"/>
        </w:rPr>
        <w:t>的现金付款，待本公司取得权属证明后再支付给东北大学。其余应付东北大学款项主要为</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年向其购买房产按合同约定分期付款的应付款尾款。</w:t>
      </w:r>
    </w:p>
    <w:p>
      <w:pPr>
        <w:spacing w:line="240" w:lineRule="auto" w:before="9"/>
        <w:rPr>
          <w:rFonts w:ascii="宋体" w:hAnsi="宋体" w:cs="宋体" w:eastAsia="宋体" w:hint="default"/>
          <w:sz w:val="31"/>
          <w:szCs w:val="31"/>
        </w:rPr>
      </w:pPr>
    </w:p>
    <w:p>
      <w:pPr>
        <w:spacing w:before="0"/>
        <w:ind w:left="12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二十八</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4"/>
          <w:sz w:val="21"/>
          <w:szCs w:val="21"/>
        </w:rPr>
        <w:t> </w:t>
      </w:r>
      <w:r>
        <w:rPr>
          <w:rFonts w:ascii="宋体" w:hAnsi="宋体" w:cs="宋体" w:eastAsia="宋体" w:hint="default"/>
          <w:sz w:val="21"/>
          <w:szCs w:val="21"/>
        </w:rPr>
        <w:t>预计负债</w:t>
      </w:r>
    </w:p>
    <w:p>
      <w:pPr>
        <w:spacing w:line="850" w:lineRule="exact"/>
        <w:ind w:left="723"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14.9pt;height:42.55pt;mso-position-horizontal-relative:char;mso-position-vertical-relative:line" coordorigin="0,0" coordsize="8298,851">
            <v:group style="position:absolute;left:24;top:10;width:1940;height:2" coordorigin="24,10" coordsize="1940,2">
              <v:shape style="position:absolute;left:24;top:10;width:1940;height:2" coordorigin="24,10" coordsize="1940,0" path="m24,10l1963,10e" filled="false" stroked="true" strokeweight=".95999pt" strokecolor="#000000">
                <v:path arrowok="t"/>
              </v:shape>
            </v:group>
            <v:group style="position:absolute;left:1963;top:10;width:1728;height:2" coordorigin="1963,10" coordsize="1728,2">
              <v:shape style="position:absolute;left:1963;top:10;width:1728;height:2" coordorigin="1963,10" coordsize="1728,0" path="m1963,10l3691,10e" filled="false" stroked="true" strokeweight=".95999pt" strokecolor="#000000">
                <v:path arrowok="t"/>
              </v:shape>
            </v:group>
            <v:group style="position:absolute;left:3691;top:10;width:1481;height:2" coordorigin="3691,10" coordsize="1481,2">
              <v:shape style="position:absolute;left:3691;top:10;width:1481;height:2" coordorigin="3691,10" coordsize="1481,0" path="m3691,10l5172,10e" filled="false" stroked="true" strokeweight=".95999pt" strokecolor="#000000">
                <v:path arrowok="t"/>
              </v:shape>
            </v:group>
            <v:group style="position:absolute;left:5172;top:10;width:20;height:2" coordorigin="5172,10" coordsize="20,2">
              <v:shape style="position:absolute;left:5172;top:10;width:20;height:2" coordorigin="5172,10" coordsize="20,0" path="m5172,10l5191,10e" filled="false" stroked="true" strokeweight=".95999pt" strokecolor="#000000">
                <v:path arrowok="t"/>
              </v:shape>
            </v:group>
            <v:group style="position:absolute;left:5191;top:10;width:1460;height:2" coordorigin="5191,10" coordsize="1460,2">
              <v:shape style="position:absolute;left:5191;top:10;width:1460;height:2" coordorigin="5191,10" coordsize="1460,0" path="m5191,10l6650,10e" filled="false" stroked="true" strokeweight=".96pt" strokecolor="#000000">
                <v:path arrowok="t"/>
              </v:shape>
            </v:group>
            <v:group style="position:absolute;left:6650;top:10;width:1631;height:2" coordorigin="6650,10" coordsize="1631,2">
              <v:shape style="position:absolute;left:6650;top:10;width:1631;height:2" coordorigin="6650,10" coordsize="1631,0" path="m6650,10l8281,10e" filled="false" stroked="true" strokeweight=".95999pt" strokecolor="#000000">
                <v:path arrowok="t"/>
              </v:shape>
            </v:group>
            <v:group style="position:absolute;left:10;top:841;width:1954;height:2" coordorigin="10,841" coordsize="1954,2">
              <v:shape style="position:absolute;left:10;top:841;width:1954;height:2" coordorigin="10,841" coordsize="1954,0" path="m10,841l1963,841e" filled="false" stroked="true" strokeweight=".95999pt" strokecolor="#000000">
                <v:path arrowok="t"/>
              </v:shape>
            </v:group>
            <v:group style="position:absolute;left:1963;top:841;width:1728;height:2" coordorigin="1963,841" coordsize="1728,2">
              <v:shape style="position:absolute;left:1963;top:841;width:1728;height:2" coordorigin="1963,841" coordsize="1728,0" path="m1963,841l3691,841e" filled="false" stroked="true" strokeweight=".95999pt" strokecolor="#000000">
                <v:path arrowok="t"/>
              </v:shape>
            </v:group>
            <v:group style="position:absolute;left:3691;top:841;width:1481;height:2" coordorigin="3691,841" coordsize="1481,2">
              <v:shape style="position:absolute;left:3691;top:841;width:1481;height:2" coordorigin="3691,841" coordsize="1481,0" path="m3691,841l5172,841e" filled="false" stroked="true" strokeweight=".95999pt" strokecolor="#000000">
                <v:path arrowok="t"/>
              </v:shape>
            </v:group>
            <v:group style="position:absolute;left:5172;top:841;width:20;height:2" coordorigin="5172,841" coordsize="20,2">
              <v:shape style="position:absolute;left:5172;top:841;width:20;height:2" coordorigin="5172,841" coordsize="20,0" path="m5172,841l5191,841e" filled="false" stroked="true" strokeweight=".95999pt" strokecolor="#000000">
                <v:path arrowok="t"/>
              </v:shape>
            </v:group>
            <v:group style="position:absolute;left:5191;top:841;width:1460;height:2" coordorigin="5191,841" coordsize="1460,2">
              <v:shape style="position:absolute;left:5191;top:841;width:1460;height:2" coordorigin="5191,841" coordsize="1460,0" path="m5191,841l6650,841e" filled="false" stroked="true" strokeweight=".96pt" strokecolor="#000000">
                <v:path arrowok="t"/>
              </v:shape>
              <v:shape style="position:absolute;left:24;top:19;width:8263;height:812" type="#_x0000_t75" stroked="false">
                <v:imagedata r:id="rId106" o:title=""/>
              </v:shape>
            </v:group>
            <v:group style="position:absolute;left:6650;top:841;width:1638;height:2" coordorigin="6650,841" coordsize="1638,2">
              <v:shape style="position:absolute;left:6650;top:841;width:1638;height:2" coordorigin="6650,841" coordsize="1638,0" path="m6650,841l8288,841e" filled="false" stroked="true" strokeweight=".95999pt" strokecolor="#000000">
                <v:path arrowok="t"/>
              </v:shape>
              <v:shape style="position:absolute;left:131;top:178;width:1283;height:620" type="#_x0000_t202" filled="false" stroked="false">
                <v:textbox inset="0,0,0,0">
                  <w:txbxContent>
                    <w:p>
                      <w:pPr>
                        <w:spacing w:line="210" w:lineRule="exact" w:before="0"/>
                        <w:ind w:left="0" w:right="0" w:firstLine="442"/>
                        <w:jc w:val="left"/>
                        <w:rPr>
                          <w:rFonts w:ascii="宋体" w:hAnsi="宋体" w:cs="宋体" w:eastAsia="宋体" w:hint="default"/>
                          <w:sz w:val="21"/>
                          <w:szCs w:val="21"/>
                        </w:rPr>
                      </w:pPr>
                      <w:r>
                        <w:rPr>
                          <w:rFonts w:ascii="宋体" w:hAnsi="宋体" w:cs="宋体" w:eastAsia="宋体" w:hint="default"/>
                          <w:sz w:val="21"/>
                          <w:szCs w:val="21"/>
                        </w:rPr>
                        <w:t>项  </w:t>
                      </w:r>
                      <w:r>
                        <w:rPr>
                          <w:rFonts w:ascii="宋体" w:hAnsi="宋体" w:cs="宋体" w:eastAsia="宋体" w:hint="default"/>
                          <w:spacing w:val="105"/>
                          <w:sz w:val="21"/>
                          <w:szCs w:val="21"/>
                        </w:rPr>
                        <w:t> </w:t>
                      </w:r>
                      <w:r>
                        <w:rPr>
                          <w:rFonts w:ascii="宋体" w:hAnsi="宋体" w:cs="宋体" w:eastAsia="宋体" w:hint="default"/>
                          <w:sz w:val="21"/>
                          <w:szCs w:val="21"/>
                        </w:rPr>
                        <w:t>目</w:t>
                      </w:r>
                    </w:p>
                    <w:p>
                      <w:pPr>
                        <w:spacing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产品质量保证</w:t>
                      </w:r>
                    </w:p>
                  </w:txbxContent>
                </v:textbox>
                <w10:wrap type="none"/>
              </v:shape>
              <v:shape style="position:absolute;left:2412;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期初金额</w:t>
                      </w:r>
                    </w:p>
                  </w:txbxContent>
                </v:textbox>
                <w10:wrap type="none"/>
              </v:shape>
              <v:shape style="position:absolute;left:4016;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本期增加</w:t>
                      </w:r>
                    </w:p>
                  </w:txbxContent>
                </v:textbox>
                <w10:wrap type="none"/>
              </v:shape>
              <v:shape style="position:absolute;left:5496;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本期减少</w:t>
                      </w:r>
                    </w:p>
                  </w:txbxContent>
                </v:textbox>
                <w10:wrap type="none"/>
              </v:shape>
              <v:shape style="position:absolute;left:7051;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期末金额</w:t>
                      </w:r>
                    </w:p>
                  </w:txbxContent>
                </v:textbox>
                <w10:wrap type="none"/>
              </v:shape>
              <v:shape style="position:absolute;left:2642;top:613;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10,892,740</w:t>
                      </w:r>
                    </w:p>
                  </w:txbxContent>
                </v:textbox>
                <w10:wrap type="none"/>
              </v:shape>
              <v:shape style="position:absolute;left:4227;top:613;width:84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1,535,278</w:t>
                      </w:r>
                    </w:p>
                  </w:txbxContent>
                </v:textbox>
                <w10:wrap type="none"/>
              </v:shape>
              <v:shape style="position:absolute;left:7235;top:613;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12,428,018</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spacing w:before="35"/>
        <w:ind w:left="123" w:right="0" w:firstLine="0"/>
        <w:jc w:val="left"/>
        <w:rPr>
          <w:rFonts w:ascii="宋体" w:hAnsi="宋体" w:cs="宋体" w:eastAsia="宋体" w:hint="default"/>
          <w:sz w:val="21"/>
          <w:szCs w:val="21"/>
        </w:rPr>
      </w:pPr>
      <w:r>
        <w:rPr/>
        <w:pict>
          <v:group style="position:absolute;margin-left:119.87999pt;margin-top:17.073641pt;width:415.3pt;height:82.6pt;mso-position-horizontal-relative:page;mso-position-vertical-relative:paragraph;z-index:-982672" coordorigin="2398,341" coordsize="8306,1652">
            <v:group style="position:absolute;left:2407;top:351;width:3783;height:2" coordorigin="2407,351" coordsize="3783,2">
              <v:shape style="position:absolute;left:2407;top:351;width:3783;height:2" coordorigin="2407,351" coordsize="3783,0" path="m2407,351l6190,351e" filled="false" stroked="true" strokeweight=".96002pt" strokecolor="#000000">
                <v:path arrowok="t"/>
              </v:shape>
            </v:group>
            <v:group style="position:absolute;left:6190;top:351;width:20;height:2" coordorigin="6190,351" coordsize="20,2">
              <v:shape style="position:absolute;left:6190;top:351;width:20;height:2" coordorigin="6190,351" coordsize="20,0" path="m6190,351l6209,351e" filled="false" stroked="true" strokeweight=".96002pt" strokecolor="#000000">
                <v:path arrowok="t"/>
              </v:shape>
            </v:group>
            <v:group style="position:absolute;left:6209;top:351;width:2248;height:2" coordorigin="6209,351" coordsize="2248,2">
              <v:shape style="position:absolute;left:6209;top:351;width:2248;height:2" coordorigin="6209,351" coordsize="2248,0" path="m6209,351l8456,351e" filled="false" stroked="true" strokeweight=".96pt" strokecolor="#000000">
                <v:path arrowok="t"/>
              </v:shape>
            </v:group>
            <v:group style="position:absolute;left:8456;top:351;width:2237;height:2" coordorigin="8456,351" coordsize="2237,2">
              <v:shape style="position:absolute;left:8456;top:351;width:2237;height:2" coordorigin="8456,351" coordsize="2237,0" path="m8456,351l10693,351e" filled="false" stroked="true" strokeweight=".96002pt" strokecolor="#000000">
                <v:path arrowok="t"/>
              </v:shape>
              <v:shape style="position:absolute;left:2407;top:361;width:8296;height:1632" type="#_x0000_t75" stroked="false">
                <v:imagedata r:id="rId107" o:titl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二十九</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3"/>
          <w:sz w:val="21"/>
          <w:szCs w:val="21"/>
        </w:rPr>
        <w:t> </w:t>
      </w:r>
      <w:r>
        <w:rPr>
          <w:rFonts w:ascii="宋体" w:hAnsi="宋体" w:cs="宋体" w:eastAsia="宋体" w:hint="default"/>
          <w:sz w:val="21"/>
          <w:szCs w:val="21"/>
        </w:rPr>
        <w:t>其他流动负债</w:t>
      </w:r>
    </w:p>
    <w:p>
      <w:pPr>
        <w:spacing w:line="240" w:lineRule="auto" w:before="3"/>
        <w:rPr>
          <w:rFonts w:ascii="宋体" w:hAnsi="宋体" w:cs="宋体" w:eastAsia="宋体" w:hint="default"/>
          <w:sz w:val="7"/>
          <w:szCs w:val="7"/>
        </w:rPr>
      </w:pPr>
    </w:p>
    <w:tbl>
      <w:tblPr>
        <w:tblW w:w="0" w:type="auto"/>
        <w:jc w:val="left"/>
        <w:tblInd w:w="732" w:type="dxa"/>
        <w:tblLayout w:type="fixed"/>
        <w:tblCellMar>
          <w:top w:w="0" w:type="dxa"/>
          <w:left w:w="0" w:type="dxa"/>
          <w:bottom w:w="0" w:type="dxa"/>
          <w:right w:w="0" w:type="dxa"/>
        </w:tblCellMar>
        <w:tblLook w:val="01E0"/>
      </w:tblPr>
      <w:tblGrid>
        <w:gridCol w:w="3421"/>
        <w:gridCol w:w="2943"/>
        <w:gridCol w:w="1944"/>
      </w:tblGrid>
      <w:tr>
        <w:trPr>
          <w:trHeight w:val="832" w:hRule="exact"/>
        </w:trPr>
        <w:tc>
          <w:tcPr>
            <w:tcW w:w="3421" w:type="dxa"/>
            <w:tcBorders>
              <w:top w:val="nil" w:sz="6" w:space="0" w:color="auto"/>
              <w:left w:val="nil" w:sz="6" w:space="0" w:color="auto"/>
              <w:bottom w:val="nil" w:sz="6" w:space="0" w:color="auto"/>
              <w:right w:val="nil" w:sz="6" w:space="0" w:color="auto"/>
            </w:tcBorders>
          </w:tcPr>
          <w:p>
            <w:pPr>
              <w:pStyle w:val="TableParagraph"/>
              <w:spacing w:line="357" w:lineRule="auto" w:before="35"/>
              <w:ind w:left="121" w:right="1091" w:firstLine="1365"/>
              <w:jc w:val="left"/>
              <w:rPr>
                <w:rFonts w:ascii="Times New Roman" w:hAnsi="Times New Roman" w:cs="Times New Roman" w:eastAsia="Times New Roman" w:hint="default"/>
                <w:sz w:val="21"/>
                <w:szCs w:val="21"/>
              </w:rPr>
            </w:pPr>
            <w:r>
              <w:rPr>
                <w:rFonts w:ascii="宋体" w:hAnsi="宋体" w:cs="宋体" w:eastAsia="宋体" w:hint="default"/>
                <w:sz w:val="21"/>
                <w:szCs w:val="21"/>
              </w:rPr>
              <w:t>项 目 预提资产修复支出</w:t>
            </w:r>
            <w:r>
              <w:rPr>
                <w:rFonts w:ascii="Times New Roman" w:hAnsi="Times New Roman" w:cs="Times New Roman" w:eastAsia="Times New Roman" w:hint="default"/>
                <w:sz w:val="21"/>
                <w:szCs w:val="21"/>
              </w:rPr>
              <w:t>(</w:t>
            </w:r>
            <w:r>
              <w:rPr>
                <w:rFonts w:ascii="宋体" w:hAnsi="宋体" w:cs="宋体" w:eastAsia="宋体" w:hint="default"/>
                <w:sz w:val="21"/>
                <w:szCs w:val="21"/>
              </w:rPr>
              <w:t>注</w:t>
            </w:r>
            <w:r>
              <w:rPr>
                <w:rFonts w:ascii="Times New Roman" w:hAnsi="Times New Roman" w:cs="Times New Roman" w:eastAsia="Times New Roman" w:hint="default"/>
                <w:sz w:val="21"/>
                <w:szCs w:val="21"/>
              </w:rPr>
              <w:t>)</w:t>
            </w:r>
          </w:p>
        </w:tc>
        <w:tc>
          <w:tcPr>
            <w:tcW w:w="294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84" w:right="0"/>
              <w:jc w:val="center"/>
              <w:rPr>
                <w:rFonts w:ascii="宋体" w:hAnsi="宋体" w:cs="宋体" w:eastAsia="宋体" w:hint="default"/>
                <w:sz w:val="21"/>
                <w:szCs w:val="21"/>
              </w:rPr>
            </w:pPr>
            <w:r>
              <w:rPr>
                <w:rFonts w:ascii="宋体" w:hAnsi="宋体" w:cs="宋体" w:eastAsia="宋体" w:hint="default"/>
                <w:sz w:val="21"/>
                <w:szCs w:val="21"/>
              </w:rPr>
              <w:t>期末金额</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698" w:right="0"/>
              <w:jc w:val="left"/>
              <w:rPr>
                <w:rFonts w:ascii="Times New Roman" w:hAnsi="Times New Roman" w:cs="Times New Roman" w:eastAsia="Times New Roman" w:hint="default"/>
                <w:sz w:val="21"/>
                <w:szCs w:val="21"/>
              </w:rPr>
            </w:pPr>
            <w:r>
              <w:rPr>
                <w:rFonts w:ascii="Times New Roman"/>
                <w:sz w:val="21"/>
              </w:rPr>
              <w:t>8,909,018</w:t>
            </w:r>
          </w:p>
        </w:tc>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03" w:right="0"/>
              <w:jc w:val="left"/>
              <w:rPr>
                <w:rFonts w:ascii="宋体" w:hAnsi="宋体" w:cs="宋体" w:eastAsia="宋体" w:hint="default"/>
                <w:sz w:val="21"/>
                <w:szCs w:val="21"/>
              </w:rPr>
            </w:pPr>
            <w:r>
              <w:rPr>
                <w:rFonts w:ascii="宋体" w:hAnsi="宋体" w:cs="宋体" w:eastAsia="宋体" w:hint="default"/>
                <w:sz w:val="21"/>
                <w:szCs w:val="21"/>
              </w:rPr>
              <w:t>期初金额</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890" w:right="0"/>
              <w:jc w:val="left"/>
              <w:rPr>
                <w:rFonts w:ascii="Times New Roman" w:hAnsi="Times New Roman" w:cs="Times New Roman" w:eastAsia="Times New Roman" w:hint="default"/>
                <w:sz w:val="21"/>
                <w:szCs w:val="21"/>
              </w:rPr>
            </w:pPr>
            <w:r>
              <w:rPr>
                <w:rFonts w:ascii="Times New Roman"/>
                <w:sz w:val="21"/>
              </w:rPr>
              <w:t>20,722,597</w:t>
            </w:r>
          </w:p>
        </w:tc>
      </w:tr>
      <w:tr>
        <w:trPr>
          <w:trHeight w:val="410" w:hRule="exact"/>
        </w:trPr>
        <w:tc>
          <w:tcPr>
            <w:tcW w:w="342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其    他</w:t>
            </w:r>
          </w:p>
        </w:tc>
        <w:tc>
          <w:tcPr>
            <w:tcW w:w="294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02"/>
              <w:jc w:val="right"/>
              <w:rPr>
                <w:rFonts w:ascii="Times New Roman" w:hAnsi="Times New Roman" w:cs="Times New Roman" w:eastAsia="Times New Roman" w:hint="default"/>
                <w:sz w:val="21"/>
                <w:szCs w:val="21"/>
              </w:rPr>
            </w:pPr>
            <w:r>
              <w:rPr>
                <w:rFonts w:ascii="Times New Roman"/>
                <w:spacing w:val="-1"/>
                <w:sz w:val="21"/>
              </w:rPr>
              <w:t>20,252</w:t>
            </w:r>
          </w:p>
        </w:tc>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21"/>
                <w:szCs w:val="21"/>
              </w:rPr>
            </w:pPr>
            <w:r>
              <w:rPr>
                <w:rFonts w:ascii="Times New Roman"/>
                <w:spacing w:val="-1"/>
                <w:sz w:val="21"/>
              </w:rPr>
              <w:t>1,266,547</w:t>
            </w:r>
          </w:p>
        </w:tc>
      </w:tr>
      <w:tr>
        <w:trPr>
          <w:trHeight w:val="340" w:hRule="exact"/>
        </w:trPr>
        <w:tc>
          <w:tcPr>
            <w:tcW w:w="3421"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1486" w:right="0"/>
              <w:jc w:val="left"/>
              <w:rPr>
                <w:rFonts w:ascii="宋体" w:hAnsi="宋体" w:cs="宋体" w:eastAsia="宋体" w:hint="default"/>
                <w:sz w:val="21"/>
                <w:szCs w:val="21"/>
              </w:rPr>
            </w:pPr>
            <w:r>
              <w:rPr>
                <w:rFonts w:ascii="宋体" w:hAnsi="宋体" w:cs="宋体" w:eastAsia="宋体" w:hint="default"/>
                <w:sz w:val="21"/>
                <w:szCs w:val="21"/>
              </w:rPr>
              <w:t>合    计</w:t>
            </w:r>
          </w:p>
        </w:tc>
        <w:tc>
          <w:tcPr>
            <w:tcW w:w="2943"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401"/>
              <w:jc w:val="right"/>
              <w:rPr>
                <w:rFonts w:ascii="Times New Roman" w:hAnsi="Times New Roman" w:cs="Times New Roman" w:eastAsia="Times New Roman" w:hint="default"/>
                <w:sz w:val="21"/>
                <w:szCs w:val="21"/>
              </w:rPr>
            </w:pPr>
            <w:r>
              <w:rPr>
                <w:rFonts w:ascii="Times New Roman"/>
                <w:spacing w:val="-1"/>
                <w:sz w:val="21"/>
              </w:rPr>
              <w:t>8,929,270</w:t>
            </w:r>
          </w:p>
        </w:tc>
        <w:tc>
          <w:tcPr>
            <w:tcW w:w="1944"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21"/>
                <w:szCs w:val="21"/>
              </w:rPr>
            </w:pPr>
            <w:r>
              <w:rPr>
                <w:rFonts w:ascii="Times New Roman"/>
                <w:spacing w:val="-1"/>
                <w:sz w:val="21"/>
              </w:rPr>
              <w:t>21,989,144</w:t>
            </w:r>
          </w:p>
        </w:tc>
      </w:tr>
    </w:tbl>
    <w:p>
      <w:pPr>
        <w:spacing w:line="331" w:lineRule="auto" w:before="83"/>
        <w:ind w:left="855" w:right="205" w:firstLine="0"/>
        <w:jc w:val="both"/>
        <w:rPr>
          <w:rFonts w:ascii="宋体" w:hAnsi="宋体" w:cs="宋体" w:eastAsia="宋体" w:hint="default"/>
          <w:sz w:val="21"/>
          <w:szCs w:val="21"/>
        </w:rPr>
      </w:pPr>
      <w:r>
        <w:rPr>
          <w:rFonts w:ascii="宋体" w:hAnsi="宋体" w:cs="宋体" w:eastAsia="宋体" w:hint="default"/>
          <w:sz w:val="21"/>
          <w:szCs w:val="21"/>
        </w:rPr>
        <w:t>注：期末预提固定资产修复支出余额，为本集团之子公司成都东软发展在</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年度根据 工程概算预提的四川地震中受损的房屋资产修复费用（</w:t>
      </w:r>
      <w:r>
        <w:rPr>
          <w:rFonts w:ascii="Times New Roman" w:hAnsi="Times New Roman" w:cs="Times New Roman" w:eastAsia="Times New Roman" w:hint="default"/>
          <w:sz w:val="21"/>
          <w:szCs w:val="21"/>
        </w:rPr>
        <w:t>20,722,597</w:t>
      </w:r>
      <w:r>
        <w:rPr>
          <w:rFonts w:ascii="Times New Roman" w:hAnsi="Times New Roman" w:cs="Times New Roman" w:eastAsia="Times New Roman" w:hint="default"/>
          <w:spacing w:val="-14"/>
          <w:sz w:val="21"/>
          <w:szCs w:val="21"/>
        </w:rPr>
        <w:t> </w:t>
      </w:r>
      <w:r>
        <w:rPr>
          <w:rFonts w:ascii="宋体" w:hAnsi="宋体" w:cs="宋体" w:eastAsia="宋体" w:hint="default"/>
          <w:spacing w:val="-3"/>
          <w:sz w:val="21"/>
          <w:szCs w:val="21"/>
        </w:rPr>
        <w:t>元）在本期末尚未支出</w:t>
      </w:r>
      <w:r>
        <w:rPr>
          <w:rFonts w:ascii="宋体" w:hAnsi="宋体" w:cs="宋体" w:eastAsia="宋体" w:hint="default"/>
          <w:sz w:val="21"/>
          <w:szCs w:val="21"/>
        </w:rPr>
        <w:t> 的余额。</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before="0"/>
        <w:ind w:left="12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三十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12"/>
          <w:sz w:val="21"/>
          <w:szCs w:val="21"/>
        </w:rPr>
        <w:t> </w:t>
      </w:r>
      <w:r>
        <w:rPr>
          <w:rFonts w:ascii="宋体" w:hAnsi="宋体" w:cs="宋体" w:eastAsia="宋体" w:hint="default"/>
          <w:sz w:val="21"/>
          <w:szCs w:val="21"/>
        </w:rPr>
        <w:t>长期借款</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before="0"/>
        <w:ind w:left="855"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 </w:t>
      </w:r>
      <w:r>
        <w:rPr>
          <w:rFonts w:ascii="宋体" w:hAnsi="宋体" w:cs="宋体" w:eastAsia="宋体" w:hint="default"/>
          <w:spacing w:val="15"/>
          <w:sz w:val="21"/>
          <w:szCs w:val="21"/>
        </w:rPr>
        <w:t> </w:t>
      </w:r>
      <w:r>
        <w:rPr>
          <w:rFonts w:ascii="宋体" w:hAnsi="宋体" w:cs="宋体" w:eastAsia="宋体" w:hint="default"/>
          <w:sz w:val="21"/>
          <w:szCs w:val="21"/>
        </w:rPr>
        <w:t>长期借款分类</w:t>
      </w:r>
    </w:p>
    <w:p>
      <w:pPr>
        <w:spacing w:line="1670" w:lineRule="exact"/>
        <w:ind w:left="723"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16.35pt;height:83.55pt;mso-position-horizontal-relative:char;mso-position-vertical-relative:line" coordorigin="0,0" coordsize="8327,1671">
            <v:group style="position:absolute;left:24;top:10;width:3783;height:2" coordorigin="24,10" coordsize="3783,2">
              <v:shape style="position:absolute;left:24;top:10;width:3783;height:2" coordorigin="24,10" coordsize="3783,0" path="m24,10l3806,10e" filled="false" stroked="true" strokeweight=".96001pt" strokecolor="#000000">
                <v:path arrowok="t"/>
              </v:shape>
            </v:group>
            <v:group style="position:absolute;left:3806;top:10;width:20;height:2" coordorigin="3806,10" coordsize="20,2">
              <v:shape style="position:absolute;left:3806;top:10;width:20;height:2" coordorigin="3806,10" coordsize="20,0" path="m3806,10l3826,10e" filled="false" stroked="true" strokeweight=".96001pt" strokecolor="#000000">
                <v:path arrowok="t"/>
              </v:shape>
            </v:group>
            <v:group style="position:absolute;left:3826;top:10;width:2248;height:2" coordorigin="3826,10" coordsize="2248,2">
              <v:shape style="position:absolute;left:3826;top:10;width:2248;height:2" coordorigin="3826,10" coordsize="2248,0" path="m3826,10l6073,10e" filled="false" stroked="true" strokeweight=".96pt" strokecolor="#000000">
                <v:path arrowok="t"/>
              </v:shape>
            </v:group>
            <v:group style="position:absolute;left:6073;top:10;width:2237;height:2" coordorigin="6073,10" coordsize="2237,2">
              <v:shape style="position:absolute;left:6073;top:10;width:2237;height:2" coordorigin="6073,10" coordsize="2237,0" path="m6073,10l8310,10e" filled="false" stroked="true" strokeweight=".96001pt" strokecolor="#000000">
                <v:path arrowok="t"/>
              </v:shape>
            </v:group>
            <v:group style="position:absolute;left:10;top:1661;width:3797;height:2" coordorigin="10,1661" coordsize="3797,2">
              <v:shape style="position:absolute;left:10;top:1661;width:3797;height:2" coordorigin="10,1661" coordsize="3797,0" path="m10,1661l3806,1661e" filled="false" stroked="true" strokeweight=".95999pt" strokecolor="#000000">
                <v:path arrowok="t"/>
              </v:shape>
            </v:group>
            <v:group style="position:absolute;left:3806;top:1661;width:20;height:2" coordorigin="3806,1661" coordsize="20,2">
              <v:shape style="position:absolute;left:3806;top:1661;width:20;height:2" coordorigin="3806,1661" coordsize="20,0" path="m3806,1661l3826,1661e" filled="false" stroked="true" strokeweight=".95999pt" strokecolor="#000000">
                <v:path arrowok="t"/>
              </v:shape>
            </v:group>
            <v:group style="position:absolute;left:3826;top:1661;width:2248;height:2" coordorigin="3826,1661" coordsize="2248,2">
              <v:shape style="position:absolute;left:3826;top:1661;width:2248;height:2" coordorigin="3826,1661" coordsize="2248,0" path="m3826,1661l6073,1661e" filled="false" stroked="true" strokeweight=".96pt" strokecolor="#000000">
                <v:path arrowok="t"/>
              </v:shape>
              <v:shape style="position:absolute;left:24;top:19;width:8296;height:1632" type="#_x0000_t75" stroked="false">
                <v:imagedata r:id="rId108" o:title=""/>
              </v:shape>
            </v:group>
            <v:group style="position:absolute;left:6073;top:1661;width:2244;height:2" coordorigin="6073,1661" coordsize="2244,2">
              <v:shape style="position:absolute;left:6073;top:1661;width:2244;height:2" coordorigin="6073,1661" coordsize="2244,0" path="m6073,1661l8317,1661e" filled="false" stroked="true" strokeweight=".95999pt" strokecolor="#000000">
                <v:path arrowok="t"/>
              </v:shape>
              <v:shape style="position:absolute;left:1496;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借款类别</w:t>
                      </w:r>
                    </w:p>
                  </w:txbxContent>
                </v:textbox>
                <w10:wrap type="none"/>
              </v:shape>
              <v:shape style="position:absolute;left:4524;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期末金额</w:t>
                      </w:r>
                    </w:p>
                  </w:txbxContent>
                </v:textbox>
                <w10:wrap type="none"/>
              </v:shape>
              <v:shape style="position:absolute;left:6778;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期初金额</w:t>
                      </w:r>
                    </w:p>
                  </w:txbxContent>
                </v:textbox>
                <w10:wrap type="none"/>
              </v:shape>
              <v:shape style="position:absolute;left:131;top:588;width:1190;height:621" type="#_x0000_t202" filled="false" stroked="false">
                <v:textbox inset="0,0,0,0">
                  <w:txbxContent>
                    <w:p>
                      <w:pPr>
                        <w:spacing w:line="226" w:lineRule="exact" w:before="0"/>
                        <w:ind w:left="0"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抵押借款</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注</w:t>
                      </w:r>
                      <w:r>
                        <w:rPr>
                          <w:rFonts w:ascii="Times New Roman" w:hAnsi="Times New Roman" w:cs="Times New Roman" w:eastAsia="Times New Roman" w:hint="default"/>
                          <w:spacing w:val="-1"/>
                          <w:sz w:val="21"/>
                          <w:szCs w:val="21"/>
                        </w:rPr>
                        <w:t>)</w:t>
                      </w:r>
                    </w:p>
                    <w:p>
                      <w:pPr>
                        <w:spacing w:before="119"/>
                        <w:ind w:left="0" w:right="0" w:firstLine="0"/>
                        <w:jc w:val="left"/>
                        <w:rPr>
                          <w:rFonts w:ascii="宋体" w:hAnsi="宋体" w:cs="宋体" w:eastAsia="宋体" w:hint="default"/>
                          <w:sz w:val="21"/>
                          <w:szCs w:val="21"/>
                        </w:rPr>
                      </w:pPr>
                      <w:r>
                        <w:rPr>
                          <w:rFonts w:ascii="宋体" w:hAnsi="宋体" w:cs="宋体" w:eastAsia="宋体" w:hint="default"/>
                          <w:sz w:val="21"/>
                          <w:szCs w:val="21"/>
                        </w:rPr>
                        <w:t>保证借款</w:t>
                      </w:r>
                    </w:p>
                  </w:txbxContent>
                </v:textbox>
                <w10:wrap type="none"/>
              </v:shape>
              <v:shape style="position:absolute;left:4920;top:613;width:105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152,000,000</w:t>
                      </w:r>
                    </w:p>
                  </w:txbxContent>
                </v:textbox>
                <w10:wrap type="none"/>
              </v:shape>
              <v:shape style="position:absolute;left:1496;top:140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    计</w:t>
                      </w:r>
                    </w:p>
                  </w:txbxContent>
                </v:textbox>
                <w10:wrap type="none"/>
              </v:shape>
              <v:shape style="position:absolute;left:4920;top:1434;width:1051;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152,000,000</w:t>
                      </w:r>
                    </w:p>
                  </w:txbxContent>
                </v:textbox>
                <w10:wrap type="none"/>
              </v:shape>
              <v:shape style="position:absolute;left:7159;top:613;width:1051;height:1031"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175,000,000</w:t>
                      </w:r>
                    </w:p>
                    <w:p>
                      <w:pPr>
                        <w:spacing w:before="169"/>
                        <w:ind w:left="0" w:right="0" w:firstLine="0"/>
                        <w:jc w:val="left"/>
                        <w:rPr>
                          <w:rFonts w:ascii="Times New Roman" w:hAnsi="Times New Roman" w:cs="Times New Roman" w:eastAsia="Times New Roman" w:hint="default"/>
                          <w:sz w:val="21"/>
                          <w:szCs w:val="21"/>
                        </w:rPr>
                      </w:pPr>
                      <w:r>
                        <w:rPr>
                          <w:rFonts w:ascii="Times New Roman"/>
                          <w:spacing w:val="-1"/>
                          <w:sz w:val="21"/>
                        </w:rPr>
                        <w:t>100,000,000</w:t>
                      </w:r>
                    </w:p>
                    <w:p>
                      <w:pPr>
                        <w:spacing w:line="237" w:lineRule="exact" w:before="169"/>
                        <w:ind w:left="0" w:right="0" w:firstLine="0"/>
                        <w:jc w:val="left"/>
                        <w:rPr>
                          <w:rFonts w:ascii="Times New Roman" w:hAnsi="Times New Roman" w:cs="Times New Roman" w:eastAsia="Times New Roman" w:hint="default"/>
                          <w:sz w:val="21"/>
                          <w:szCs w:val="21"/>
                        </w:rPr>
                      </w:pPr>
                      <w:r>
                        <w:rPr>
                          <w:rFonts w:ascii="Times New Roman"/>
                          <w:spacing w:val="-1"/>
                          <w:sz w:val="21"/>
                        </w:rPr>
                        <w:t>275,000,000</w:t>
                      </w:r>
                    </w:p>
                  </w:txbxContent>
                </v:textbox>
                <w10:wrap type="none"/>
              </v:shape>
            </v:group>
          </v:group>
        </w:pict>
      </w:r>
      <w:r>
        <w:rPr>
          <w:rFonts w:ascii="宋体" w:hAnsi="宋体" w:cs="宋体" w:eastAsia="宋体" w:hint="default"/>
          <w:position w:val="-32"/>
          <w:sz w:val="20"/>
          <w:szCs w:val="20"/>
        </w:rPr>
      </w:r>
    </w:p>
    <w:p>
      <w:pPr>
        <w:spacing w:after="0" w:line="1670" w:lineRule="exact"/>
        <w:rPr>
          <w:rFonts w:ascii="宋体" w:hAnsi="宋体" w:cs="宋体" w:eastAsia="宋体" w:hint="default"/>
          <w:sz w:val="20"/>
          <w:szCs w:val="20"/>
        </w:rPr>
        <w:sectPr>
          <w:pgSz w:w="11900" w:h="16840"/>
          <w:pgMar w:header="0" w:footer="1003" w:top="1540" w:bottom="1200" w:left="1660" w:right="1080"/>
        </w:sectPr>
      </w:pPr>
    </w:p>
    <w:p>
      <w:pPr>
        <w:spacing w:line="240" w:lineRule="auto" w:before="10"/>
        <w:rPr>
          <w:rFonts w:ascii="宋体" w:hAnsi="宋体" w:cs="宋体" w:eastAsia="宋体" w:hint="default"/>
          <w:sz w:val="8"/>
          <w:szCs w:val="8"/>
        </w:rPr>
      </w:pPr>
    </w:p>
    <w:p>
      <w:pPr>
        <w:spacing w:before="35"/>
        <w:ind w:left="855" w:right="0" w:firstLine="0"/>
        <w:jc w:val="left"/>
        <w:rPr>
          <w:rFonts w:ascii="宋体" w:hAnsi="宋体" w:cs="宋体" w:eastAsia="宋体" w:hint="default"/>
          <w:sz w:val="21"/>
          <w:szCs w:val="21"/>
        </w:rPr>
      </w:pPr>
      <w:r>
        <w:rPr>
          <w:rFonts w:ascii="宋体" w:hAnsi="宋体" w:cs="宋体" w:eastAsia="宋体" w:hint="default"/>
          <w:spacing w:val="20"/>
          <w:sz w:val="21"/>
          <w:szCs w:val="21"/>
        </w:rPr>
        <w:t>注：该抵押是由本集团之子公司大连东软软件园产业发展有限公司以账面价值为</w:t>
      </w:r>
      <w:r>
        <w:rPr>
          <w:rFonts w:ascii="宋体" w:hAnsi="宋体" w:cs="宋体" w:eastAsia="宋体" w:hint="default"/>
          <w:spacing w:val="-84"/>
          <w:sz w:val="21"/>
          <w:szCs w:val="21"/>
        </w:rPr>
        <w:t> </w:t>
      </w:r>
      <w:r>
        <w:rPr>
          <w:rFonts w:ascii="宋体" w:hAnsi="宋体" w:cs="宋体" w:eastAsia="宋体" w:hint="default"/>
          <w:sz w:val="21"/>
          <w:szCs w:val="21"/>
        </w:rPr>
      </w:r>
    </w:p>
    <w:p>
      <w:pPr>
        <w:spacing w:before="126"/>
        <w:ind w:left="855" w:right="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337,269,799 </w:t>
      </w:r>
      <w:r>
        <w:rPr>
          <w:rFonts w:ascii="宋体" w:hAnsi="宋体" w:cs="宋体" w:eastAsia="宋体" w:hint="default"/>
          <w:sz w:val="21"/>
          <w:szCs w:val="21"/>
        </w:rPr>
        <w:t>元的土地及房产作抵押，其中被抵押的投资性房地产账面价值为</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244,877,067</w:t>
      </w:r>
    </w:p>
    <w:p>
      <w:pPr>
        <w:spacing w:before="109"/>
        <w:ind w:left="855" w:right="0" w:firstLine="0"/>
        <w:jc w:val="left"/>
        <w:rPr>
          <w:rFonts w:ascii="宋体" w:hAnsi="宋体" w:cs="宋体" w:eastAsia="宋体" w:hint="default"/>
          <w:sz w:val="21"/>
          <w:szCs w:val="21"/>
        </w:rPr>
      </w:pPr>
      <w:r>
        <w:rPr>
          <w:rFonts w:ascii="宋体" w:hAnsi="宋体" w:cs="宋体" w:eastAsia="宋体" w:hint="default"/>
          <w:sz w:val="21"/>
          <w:szCs w:val="21"/>
        </w:rPr>
        <w:t>元，固定资产账面价值为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65,920,416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元以及无形资产账面价值为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26,472,316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393" w:val="left" w:leader="none"/>
        </w:tabs>
        <w:spacing w:before="0"/>
        <w:ind w:left="85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金额前五名的长期借款</w:t>
      </w:r>
    </w:p>
    <w:p>
      <w:pPr>
        <w:spacing w:line="3690" w:lineRule="exact"/>
        <w:ind w:left="723" w:right="0" w:firstLine="0"/>
        <w:rPr>
          <w:rFonts w:ascii="宋体" w:hAnsi="宋体" w:cs="宋体" w:eastAsia="宋体" w:hint="default"/>
          <w:sz w:val="20"/>
          <w:szCs w:val="20"/>
        </w:rPr>
      </w:pPr>
      <w:r>
        <w:rPr>
          <w:rFonts w:ascii="宋体" w:hAnsi="宋体" w:cs="宋体" w:eastAsia="宋体" w:hint="default"/>
          <w:position w:val="-73"/>
          <w:sz w:val="20"/>
          <w:szCs w:val="20"/>
        </w:rPr>
        <w:pict>
          <v:group style="width:413pt;height:184.5pt;mso-position-horizontal-relative:char;mso-position-vertical-relative:line" coordorigin="0,0" coordsize="8260,3690">
            <v:group style="position:absolute;left:31;top:10;width:2024;height:2" coordorigin="31,10" coordsize="2024,2">
              <v:shape style="position:absolute;left:31;top:10;width:2024;height:2" coordorigin="31,10" coordsize="2024,0" path="m31,10l2054,10e" filled="false" stroked="true" strokeweight=".95996pt" strokecolor="#000000">
                <v:path arrowok="t"/>
              </v:shape>
            </v:group>
            <v:group style="position:absolute;left:2054;top:10;width:977;height:2" coordorigin="2054,10" coordsize="977,2">
              <v:shape style="position:absolute;left:2054;top:10;width:977;height:2" coordorigin="2054,10" coordsize="977,0" path="m2054,10l3031,10e" filled="false" stroked="true" strokeweight=".95996pt" strokecolor="#000000">
                <v:path arrowok="t"/>
              </v:shape>
            </v:group>
            <v:group style="position:absolute;left:3031;top:10;width:704;height:2" coordorigin="3031,10" coordsize="704,2">
              <v:shape style="position:absolute;left:3031;top:10;width:704;height:2" coordorigin="3031,10" coordsize="704,0" path="m3031,10l3734,10e" filled="false" stroked="true" strokeweight=".95996pt" strokecolor="#000000">
                <v:path arrowok="t"/>
              </v:shape>
            </v:group>
            <v:group style="position:absolute;left:3734;top:10;width:941;height:2" coordorigin="3734,10" coordsize="941,2">
              <v:shape style="position:absolute;left:3734;top:10;width:941;height:2" coordorigin="3734,10" coordsize="941,0" path="m3734,10l4675,10e" filled="false" stroked="true" strokeweight=".95996pt" strokecolor="#000000">
                <v:path arrowok="t"/>
              </v:shape>
            </v:group>
            <v:group style="position:absolute;left:4675;top:10;width:20;height:2" coordorigin="4675,10" coordsize="20,2">
              <v:shape style="position:absolute;left:4675;top:10;width:20;height:2" coordorigin="4675,10" coordsize="20,0" path="m4675,10l4694,10e" filled="false" stroked="true" strokeweight=".95996pt" strokecolor="#000000">
                <v:path arrowok="t"/>
              </v:shape>
            </v:group>
            <v:group style="position:absolute;left:4694;top:10;width:1769;height:2" coordorigin="4694,10" coordsize="1769,2">
              <v:shape style="position:absolute;left:4694;top:10;width:1769;height:2" coordorigin="4694,10" coordsize="1769,0" path="m4694,10l6463,10e" filled="false" stroked="true" strokeweight=".96pt" strokecolor="#000000">
                <v:path arrowok="t"/>
              </v:shape>
            </v:group>
            <v:group style="position:absolute;left:6463;top:10;width:1780;height:2" coordorigin="6463,10" coordsize="1780,2">
              <v:shape style="position:absolute;left:6463;top:10;width:1780;height:2" coordorigin="6463,10" coordsize="1780,0" path="m6463,10l8243,10e" filled="false" stroked="true" strokeweight=".95996pt" strokecolor="#000000">
                <v:path arrowok="t"/>
              </v:shape>
            </v:group>
            <v:group style="position:absolute;left:10;top:3680;width:2045;height:2" coordorigin="10,3680" coordsize="2045,2">
              <v:shape style="position:absolute;left:10;top:3680;width:2045;height:2" coordorigin="10,3680" coordsize="2045,0" path="m10,3680l2054,3680e" filled="false" stroked="true" strokeweight=".96002pt" strokecolor="#000000">
                <v:path arrowok="t"/>
              </v:shape>
            </v:group>
            <v:group style="position:absolute;left:2054;top:3680;width:977;height:2" coordorigin="2054,3680" coordsize="977,2">
              <v:shape style="position:absolute;left:2054;top:3680;width:977;height:2" coordorigin="2054,3680" coordsize="977,0" path="m2054,3680l3031,3680e" filled="false" stroked="true" strokeweight=".96002pt" strokecolor="#000000">
                <v:path arrowok="t"/>
              </v:shape>
            </v:group>
            <v:group style="position:absolute;left:3031;top:3680;width:704;height:2" coordorigin="3031,3680" coordsize="704,2">
              <v:shape style="position:absolute;left:3031;top:3680;width:704;height:2" coordorigin="3031,3680" coordsize="704,0" path="m3031,3680l3734,3680e" filled="false" stroked="true" strokeweight=".96002pt" strokecolor="#000000">
                <v:path arrowok="t"/>
              </v:shape>
            </v:group>
            <v:group style="position:absolute;left:3734;top:3680;width:941;height:2" coordorigin="3734,3680" coordsize="941,2">
              <v:shape style="position:absolute;left:3734;top:3680;width:941;height:2" coordorigin="3734,3680" coordsize="941,0" path="m3734,3680l4675,3680e" filled="false" stroked="true" strokeweight=".96002pt" strokecolor="#000000">
                <v:path arrowok="t"/>
              </v:shape>
            </v:group>
            <v:group style="position:absolute;left:4675;top:3680;width:816;height:2" coordorigin="4675,3680" coordsize="816,2">
              <v:shape style="position:absolute;left:4675;top:3680;width:816;height:2" coordorigin="4675,3680" coordsize="816,0" path="m4675,3680l5491,3680e" filled="false" stroked="true" strokeweight=".96002pt" strokecolor="#000000">
                <v:path arrowok="t"/>
              </v:shape>
            </v:group>
            <v:group style="position:absolute;left:5491;top:3680;width:972;height:2" coordorigin="5491,3680" coordsize="972,2">
              <v:shape style="position:absolute;left:5491;top:3680;width:972;height:2" coordorigin="5491,3680" coordsize="972,0" path="m5491,3680l6463,3680e" filled="false" stroked="true" strokeweight=".96002pt" strokecolor="#000000">
                <v:path arrowok="t"/>
              </v:shape>
            </v:group>
            <v:group style="position:absolute;left:6463;top:3680;width:816;height:2" coordorigin="6463,3680" coordsize="816,2">
              <v:shape style="position:absolute;left:6463;top:3680;width:816;height:2" coordorigin="6463,3680" coordsize="816,0" path="m6463,3680l7279,3680e" filled="false" stroked="true" strokeweight=".96002pt" strokecolor="#000000">
                <v:path arrowok="t"/>
              </v:shape>
              <v:shape style="position:absolute;left:24;top:19;width:8220;height:3652" type="#_x0000_t75" stroked="false">
                <v:imagedata r:id="rId109" o:title=""/>
              </v:shape>
            </v:group>
            <v:group style="position:absolute;left:7279;top:3680;width:971;height:2" coordorigin="7279,3680" coordsize="971,2">
              <v:shape style="position:absolute;left:7279;top:3680;width:971;height:2" coordorigin="7279,3680" coordsize="971,0" path="m7279,3680l8250,3680e" filled="false" stroked="true" strokeweight=".96002pt" strokecolor="#000000">
                <v:path arrowok="t"/>
              </v:shape>
              <v:shape style="position:absolute;left:2171;top:247;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借款起始日</w:t>
                      </w:r>
                    </w:p>
                  </w:txbxContent>
                </v:textbox>
                <w10:wrap type="none"/>
              </v:shape>
              <v:shape style="position:absolute;left:5273;top:24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期末金额</w:t>
                      </w:r>
                    </w:p>
                  </w:txbxContent>
                </v:textbox>
                <w10:wrap type="none"/>
              </v:shape>
              <v:shape style="position:absolute;left:7060;top:24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期初金额</w:t>
                      </w:r>
                    </w:p>
                  </w:txbxContent>
                </v:textbox>
                <w10:wrap type="none"/>
              </v:shape>
              <v:shape style="position:absolute;left:740;top:44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贷款单位</w:t>
                      </w:r>
                    </w:p>
                  </w:txbxContent>
                </v:textbox>
                <w10:wrap type="none"/>
              </v:shape>
              <v:shape style="position:absolute;left:3238;top:441;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币种</w:t>
                      </w:r>
                    </w:p>
                  </w:txbxContent>
                </v:textbox>
                <w10:wrap type="none"/>
              </v:shape>
              <v:shape style="position:absolute;left:3846;top:441;width:725;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利率（</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xbxContent>
                </v:textbox>
                <w10:wrap type="none"/>
              </v:shape>
              <v:shape style="position:absolute;left:2171;top:646;width:4110;height:160" type="#_x0000_t202" filled="false" stroked="false">
                <v:textbox inset="0,0,0,0">
                  <w:txbxContent>
                    <w:p>
                      <w:pPr>
                        <w:tabs>
                          <w:tab w:pos="2617" w:val="left" w:leader="none"/>
                          <w:tab w:pos="3509" w:val="left" w:leader="none"/>
                        </w:tabs>
                        <w:spacing w:line="160" w:lineRule="exact" w:before="0"/>
                        <w:ind w:left="0" w:right="0" w:firstLine="0"/>
                        <w:jc w:val="left"/>
                        <w:rPr>
                          <w:rFonts w:ascii="宋体" w:hAnsi="宋体" w:cs="宋体" w:eastAsia="宋体" w:hint="default"/>
                          <w:sz w:val="15"/>
                          <w:szCs w:val="15"/>
                        </w:rPr>
                      </w:pPr>
                      <w:r>
                        <w:rPr>
                          <w:rFonts w:ascii="宋体" w:hAnsi="宋体" w:cs="宋体" w:eastAsia="宋体" w:hint="default"/>
                          <w:position w:val="1"/>
                          <w:sz w:val="15"/>
                          <w:szCs w:val="15"/>
                        </w:rPr>
                        <w:t>借款终止日</w:t>
                        <w:tab/>
                      </w:r>
                      <w:r>
                        <w:rPr>
                          <w:rFonts w:ascii="宋体" w:hAnsi="宋体" w:cs="宋体" w:eastAsia="宋体" w:hint="default"/>
                          <w:sz w:val="15"/>
                          <w:szCs w:val="15"/>
                        </w:rPr>
                        <w:t>外币金额</w:t>
                        <w:tab/>
                        <w:t>本币金额</w:t>
                      </w:r>
                    </w:p>
                  </w:txbxContent>
                </v:textbox>
                <w10:wrap type="none"/>
              </v:shape>
              <v:shape style="position:absolute;left:6576;top:65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外币金额</w:t>
                      </w:r>
                    </w:p>
                  </w:txbxContent>
                </v:textbox>
                <w10:wrap type="none"/>
              </v:shape>
              <v:shape style="position:absolute;left:7466;top:65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本币金额</w:t>
                      </w:r>
                    </w:p>
                  </w:txbxContent>
                </v:textbox>
                <w10:wrap type="none"/>
              </v:shape>
              <v:shape style="position:absolute;left:2166;top:1083;width:67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2007.06.11</w:t>
                      </w:r>
                    </w:p>
                  </w:txbxContent>
                </v:textbox>
                <w10:wrap type="none"/>
              </v:shape>
              <v:shape style="position:absolute;left:131;top:1267;width:18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中国建设银行沈阳南湖支行</w:t>
                      </w:r>
                    </w:p>
                  </w:txbxContent>
                </v:textbox>
                <w10:wrap type="none"/>
              </v:shape>
              <v:shape style="position:absolute;left:3144;top:1267;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人民币</w:t>
                      </w:r>
                    </w:p>
                  </w:txbxContent>
                </v:textbox>
                <w10:wrap type="none"/>
              </v:shape>
              <v:shape style="position:absolute;left:4232;top:1283;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5.940</w:t>
                      </w:r>
                    </w:p>
                  </w:txbxContent>
                </v:textbox>
                <w10:wrap type="none"/>
              </v:shape>
              <v:shape style="position:absolute;left:5608;top:1283;width:7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152,000,000</w:t>
                      </w:r>
                    </w:p>
                  </w:txbxContent>
                </v:textbox>
                <w10:wrap type="none"/>
              </v:shape>
              <v:shape style="position:absolute;left:7391;top:1283;width:75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175,000,000</w:t>
                      </w:r>
                    </w:p>
                  </w:txbxContent>
                </v:textbox>
                <w10:wrap type="none"/>
              </v:shape>
              <v:shape style="position:absolute;left:2166;top:1482;width:675;height:561" type="#_x0000_t202" filled="false" stroked="false">
                <v:textbox inset="0,0,0,0">
                  <w:txbxContent>
                    <w:p>
                      <w:pPr>
                        <w:spacing w:line="153" w:lineRule="exact" w:before="0"/>
                        <w:ind w:left="0" w:right="0" w:firstLine="0"/>
                        <w:jc w:val="left"/>
                        <w:rPr>
                          <w:rFonts w:ascii="Times New Roman" w:hAnsi="Times New Roman" w:cs="Times New Roman" w:eastAsia="Times New Roman" w:hint="default"/>
                          <w:sz w:val="15"/>
                          <w:szCs w:val="15"/>
                        </w:rPr>
                      </w:pPr>
                      <w:r>
                        <w:rPr>
                          <w:rFonts w:ascii="Times New Roman"/>
                          <w:sz w:val="15"/>
                        </w:rPr>
                        <w:t>-2015.6.11</w:t>
                      </w:r>
                    </w:p>
                    <w:p>
                      <w:pPr>
                        <w:spacing w:line="240" w:lineRule="auto" w:before="2"/>
                        <w:rPr>
                          <w:rFonts w:ascii="宋体" w:hAnsi="宋体" w:cs="宋体" w:eastAsia="宋体" w:hint="default"/>
                          <w:sz w:val="18"/>
                          <w:szCs w:val="18"/>
                        </w:rPr>
                      </w:pPr>
                    </w:p>
                    <w:p>
                      <w:pPr>
                        <w:spacing w:line="169"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2007.12.19</w:t>
                      </w:r>
                    </w:p>
                  </w:txbxContent>
                </v:textbox>
                <w10:wrap type="none"/>
              </v:shape>
              <v:shape style="position:absolute;left:131;top:2077;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兴业银行大连分行</w:t>
                      </w:r>
                    </w:p>
                  </w:txbxContent>
                </v:textbox>
                <w10:wrap type="none"/>
              </v:shape>
              <v:shape style="position:absolute;left:3144;top:2077;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人民币</w:t>
                      </w:r>
                    </w:p>
                  </w:txbxContent>
                </v:textbox>
                <w10:wrap type="none"/>
              </v:shape>
              <v:shape style="position:absolute;left:4232;top:2093;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7.830</w:t>
                      </w:r>
                    </w:p>
                  </w:txbxContent>
                </v:textbox>
                <w10:wrap type="none"/>
              </v:shape>
              <v:shape style="position:absolute;left:7466;top:2093;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50,000,000</w:t>
                      </w:r>
                    </w:p>
                  </w:txbxContent>
                </v:textbox>
                <w10:wrap type="none"/>
              </v:shape>
              <v:shape style="position:absolute;left:2166;top:2292;width:675;height:561" type="#_x0000_t202" filled="false" stroked="false">
                <v:textbox inset="0,0,0,0">
                  <w:txbxContent>
                    <w:p>
                      <w:pPr>
                        <w:spacing w:line="153" w:lineRule="exact" w:before="0"/>
                        <w:ind w:left="0" w:right="0" w:firstLine="0"/>
                        <w:jc w:val="left"/>
                        <w:rPr>
                          <w:rFonts w:ascii="Times New Roman" w:hAnsi="Times New Roman" w:cs="Times New Roman" w:eastAsia="Times New Roman" w:hint="default"/>
                          <w:sz w:val="15"/>
                          <w:szCs w:val="15"/>
                        </w:rPr>
                      </w:pPr>
                      <w:r>
                        <w:rPr>
                          <w:rFonts w:ascii="Times New Roman"/>
                          <w:sz w:val="15"/>
                        </w:rPr>
                        <w:t>-2009.6.19</w:t>
                      </w:r>
                    </w:p>
                    <w:p>
                      <w:pPr>
                        <w:spacing w:line="240" w:lineRule="auto" w:before="2"/>
                        <w:rPr>
                          <w:rFonts w:ascii="宋体" w:hAnsi="宋体" w:cs="宋体" w:eastAsia="宋体" w:hint="default"/>
                          <w:sz w:val="18"/>
                          <w:szCs w:val="18"/>
                        </w:rPr>
                      </w:pPr>
                    </w:p>
                    <w:p>
                      <w:pPr>
                        <w:spacing w:line="169"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2007.12.19</w:t>
                      </w:r>
                    </w:p>
                  </w:txbxContent>
                </v:textbox>
                <w10:wrap type="none"/>
              </v:shape>
              <v:shape style="position:absolute;left:131;top:2887;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兴业银行大连分行</w:t>
                      </w:r>
                    </w:p>
                  </w:txbxContent>
                </v:textbox>
                <w10:wrap type="none"/>
              </v:shape>
              <v:shape style="position:absolute;left:3144;top:2887;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人民币</w:t>
                      </w:r>
                    </w:p>
                  </w:txbxContent>
                </v:textbox>
                <w10:wrap type="none"/>
              </v:shape>
              <v:shape style="position:absolute;left:4232;top:2903;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7.830</w:t>
                      </w:r>
                    </w:p>
                  </w:txbxContent>
                </v:textbox>
                <w10:wrap type="none"/>
              </v:shape>
              <v:shape style="position:absolute;left:7466;top:2903;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50,000,000</w:t>
                      </w:r>
                    </w:p>
                  </w:txbxContent>
                </v:textbox>
                <w10:wrap type="none"/>
              </v:shape>
              <v:shape style="position:absolute;left:2166;top:3102;width:6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-2009.6.19</w:t>
                      </w:r>
                    </w:p>
                  </w:txbxContent>
                </v:textbox>
                <w10:wrap type="none"/>
              </v:shape>
              <v:shape style="position:absolute;left:816;top:3496;width:44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xbxContent>
                </v:textbox>
                <w10:wrap type="none"/>
              </v:shape>
              <v:shape style="position:absolute;left:5608;top:3513;width:7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152,000,000</w:t>
                      </w:r>
                    </w:p>
                  </w:txbxContent>
                </v:textbox>
                <w10:wrap type="none"/>
              </v:shape>
              <v:shape style="position:absolute;left:7391;top:3513;width:75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275,000,000</w:t>
                      </w:r>
                    </w:p>
                  </w:txbxContent>
                </v:textbox>
                <w10:wrap type="none"/>
              </v:shape>
            </v:group>
          </v:group>
        </w:pict>
      </w:r>
      <w:r>
        <w:rPr>
          <w:rFonts w:ascii="宋体" w:hAnsi="宋体" w:cs="宋体" w:eastAsia="宋体" w:hint="default"/>
          <w:position w:val="-73"/>
          <w:sz w:val="20"/>
          <w:szCs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spacing w:before="35"/>
        <w:ind w:left="12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三十一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3"/>
          <w:sz w:val="21"/>
          <w:szCs w:val="21"/>
        </w:rPr>
        <w:t> </w:t>
      </w:r>
      <w:r>
        <w:rPr>
          <w:rFonts w:ascii="宋体" w:hAnsi="宋体" w:cs="宋体" w:eastAsia="宋体" w:hint="default"/>
          <w:sz w:val="21"/>
          <w:szCs w:val="21"/>
        </w:rPr>
        <w:t>长期应付款</w:t>
      </w:r>
    </w:p>
    <w:p>
      <w:pPr>
        <w:spacing w:line="2479" w:lineRule="exact"/>
        <w:ind w:left="723"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12.05pt;height:124pt;mso-position-horizontal-relative:char;mso-position-vertical-relative:line" coordorigin="0,0" coordsize="8241,2480">
            <v:group style="position:absolute;left:24;top:10;width:1941;height:2" coordorigin="24,10" coordsize="1941,2">
              <v:shape style="position:absolute;left:24;top:10;width:1941;height:2" coordorigin="24,10" coordsize="1941,0" path="m24,10l1964,10e" filled="false" stroked="true" strokeweight=".95999pt" strokecolor="#000000">
                <v:path arrowok="t"/>
              </v:shape>
            </v:group>
            <v:group style="position:absolute;left:1964;top:10;width:1618;height:2" coordorigin="1964,10" coordsize="1618,2">
              <v:shape style="position:absolute;left:1964;top:10;width:1618;height:2" coordorigin="1964,10" coordsize="1618,0" path="m1964,10l3582,10e" filled="false" stroked="true" strokeweight=".95999pt" strokecolor="#000000">
                <v:path arrowok="t"/>
              </v:shape>
            </v:group>
            <v:group style="position:absolute;left:3582;top:10;width:978;height:2" coordorigin="3582,10" coordsize="978,2">
              <v:shape style="position:absolute;left:3582;top:10;width:978;height:2" coordorigin="3582,10" coordsize="978,0" path="m3582,10l4560,10e" filled="false" stroked="true" strokeweight=".95999pt" strokecolor="#000000">
                <v:path arrowok="t"/>
              </v:shape>
            </v:group>
            <v:group style="position:absolute;left:4560;top:10;width:941;height:2" coordorigin="4560,10" coordsize="941,2">
              <v:shape style="position:absolute;left:4560;top:10;width:941;height:2" coordorigin="4560,10" coordsize="941,0" path="m4560,10l5501,10e" filled="false" stroked="true" strokeweight=".95999pt" strokecolor="#000000">
                <v:path arrowok="t"/>
              </v:shape>
            </v:group>
            <v:group style="position:absolute;left:5501;top:10;width:826;height:2" coordorigin="5501,10" coordsize="826,2">
              <v:shape style="position:absolute;left:5501;top:10;width:826;height:2" coordorigin="5501,10" coordsize="826,0" path="m5501,10l6326,10e" filled="false" stroked="true" strokeweight=".95999pt" strokecolor="#000000">
                <v:path arrowok="t"/>
              </v:shape>
            </v:group>
            <v:group style="position:absolute;left:6326;top:10;width:968;height:2" coordorigin="6326,10" coordsize="968,2">
              <v:shape style="position:absolute;left:6326;top:10;width:968;height:2" coordorigin="6326,10" coordsize="968,0" path="m6326,10l7294,10e" filled="false" stroked="true" strokeweight=".95999pt" strokecolor="#000000">
                <v:path arrowok="t"/>
              </v:shape>
            </v:group>
            <v:group style="position:absolute;left:7294;top:10;width:930;height:2" coordorigin="7294,10" coordsize="930,2">
              <v:shape style="position:absolute;left:7294;top:10;width:930;height:2" coordorigin="7294,10" coordsize="930,0" path="m7294,10l8224,10e" filled="false" stroked="true" strokeweight=".95999pt" strokecolor="#000000">
                <v:path arrowok="t"/>
              </v:shape>
            </v:group>
            <v:group style="position:absolute;left:10;top:2470;width:1955;height:2" coordorigin="10,2470" coordsize="1955,2">
              <v:shape style="position:absolute;left:10;top:2470;width:1955;height:2" coordorigin="10,2470" coordsize="1955,0" path="m10,2470l1964,2470e" filled="false" stroked="true" strokeweight=".95999pt" strokecolor="#000000">
                <v:path arrowok="t"/>
              </v:shape>
            </v:group>
            <v:group style="position:absolute;left:1964;top:2470;width:1618;height:2" coordorigin="1964,2470" coordsize="1618,2">
              <v:shape style="position:absolute;left:1964;top:2470;width:1618;height:2" coordorigin="1964,2470" coordsize="1618,0" path="m1964,2470l3582,2470e" filled="false" stroked="true" strokeweight=".95999pt" strokecolor="#000000">
                <v:path arrowok="t"/>
              </v:shape>
            </v:group>
            <v:group style="position:absolute;left:3582;top:2470;width:978;height:2" coordorigin="3582,2470" coordsize="978,2">
              <v:shape style="position:absolute;left:3582;top:2470;width:978;height:2" coordorigin="3582,2470" coordsize="978,0" path="m3582,2470l4560,2470e" filled="false" stroked="true" strokeweight=".95999pt" strokecolor="#000000">
                <v:path arrowok="t"/>
              </v:shape>
            </v:group>
            <v:group style="position:absolute;left:4560;top:2470;width:941;height:2" coordorigin="4560,2470" coordsize="941,2">
              <v:shape style="position:absolute;left:4560;top:2470;width:941;height:2" coordorigin="4560,2470" coordsize="941,0" path="m4560,2470l5501,2470e" filled="false" stroked="true" strokeweight=".95999pt" strokecolor="#000000">
                <v:path arrowok="t"/>
              </v:shape>
            </v:group>
            <v:group style="position:absolute;left:5501;top:2470;width:826;height:2" coordorigin="5501,2470" coordsize="826,2">
              <v:shape style="position:absolute;left:5501;top:2470;width:826;height:2" coordorigin="5501,2470" coordsize="826,0" path="m5501,2470l6326,2470e" filled="false" stroked="true" strokeweight=".95999pt" strokecolor="#000000">
                <v:path arrowok="t"/>
              </v:shape>
            </v:group>
            <v:group style="position:absolute;left:6326;top:2470;width:968;height:2" coordorigin="6326,2470" coordsize="968,2">
              <v:shape style="position:absolute;left:6326;top:2470;width:968;height:2" coordorigin="6326,2470" coordsize="968,0" path="m6326,2470l7294,2470e" filled="false" stroked="true" strokeweight=".95999pt" strokecolor="#000000">
                <v:path arrowok="t"/>
              </v:shape>
              <v:shape style="position:absolute;left:24;top:19;width:8210;height:2441" type="#_x0000_t75" stroked="false">
                <v:imagedata r:id="rId110" o:title=""/>
              </v:shape>
            </v:group>
            <v:group style="position:absolute;left:7294;top:2470;width:938;height:2" coordorigin="7294,2470" coordsize="938,2">
              <v:shape style="position:absolute;left:7294;top:2470;width:938;height:2" coordorigin="7294,2470" coordsize="938,0" path="m7294,2470l8231,2470e" filled="false" stroked="true" strokeweight=".95999pt" strokecolor="#000000">
                <v:path arrowok="t"/>
              </v:shape>
              <v:shape style="position:absolute;left:695;top:247;width:67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项    目 </w:t>
                      </w:r>
                    </w:p>
                  </w:txbxContent>
                </v:textbox>
                <w10:wrap type="none"/>
              </v:shape>
              <v:shape style="position:absolute;left:2551;top:247;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  限</w:t>
                      </w:r>
                    </w:p>
                  </w:txbxContent>
                </v:textbox>
                <w10:wrap type="none"/>
              </v:shape>
              <v:shape style="position:absolute;left:3775;top:24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期初金额</w:t>
                      </w:r>
                    </w:p>
                  </w:txbxContent>
                </v:textbox>
                <w10:wrap type="none"/>
              </v:shape>
              <v:shape style="position:absolute;left:4673;top:247;width:1546;height:159" type="#_x0000_t202" filled="false" stroked="false">
                <v:textbox inset="0,0,0,0">
                  <w:txbxContent>
                    <w:p>
                      <w:pPr>
                        <w:tabs>
                          <w:tab w:pos="945" w:val="left" w:leader="none"/>
                        </w:tabs>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利率（</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tab/>
                      </w:r>
                      <w:r>
                        <w:rPr>
                          <w:rFonts w:ascii="宋体" w:hAnsi="宋体" w:cs="宋体" w:eastAsia="宋体" w:hint="default"/>
                          <w:sz w:val="15"/>
                          <w:szCs w:val="15"/>
                        </w:rPr>
                        <w:t>应计利息</w:t>
                      </w:r>
                    </w:p>
                  </w:txbxContent>
                </v:textbox>
                <w10:wrap type="none"/>
              </v:shape>
              <v:shape style="position:absolute;left:6515;top:24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期末金额</w:t>
                      </w:r>
                    </w:p>
                  </w:txbxContent>
                </v:textbox>
                <w10:wrap type="none"/>
              </v:shape>
              <v:shape style="position:absolute;left:7464;top:24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借款条件</w:t>
                      </w:r>
                    </w:p>
                  </w:txbxContent>
                </v:textbox>
                <w10:wrap type="none"/>
              </v:shape>
              <v:shape style="position:absolute;left:131;top:65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住房周转金</w:t>
                      </w:r>
                    </w:p>
                  </w:txbxContent>
                </v:textbox>
                <w10:wrap type="none"/>
              </v:shape>
              <v:shape style="position:absolute;left:3781;top:672;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14,609,431</w:t>
                      </w:r>
                    </w:p>
                  </w:txbxContent>
                </v:textbox>
                <w10:wrap type="none"/>
              </v:shape>
              <v:shape style="position:absolute;left:6515;top:672;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14,609,431</w:t>
                      </w:r>
                    </w:p>
                  </w:txbxContent>
                </v:textbox>
                <w10:wrap type="none"/>
              </v:shape>
              <v:shape style="position:absolute;left:131;top:1065;width:1730;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沈阳东软</w:t>
                      </w:r>
                      <w:r>
                        <w:rPr>
                          <w:rFonts w:ascii="宋体" w:hAnsi="宋体" w:cs="宋体" w:eastAsia="宋体" w:hint="default"/>
                          <w:spacing w:val="-32"/>
                          <w:sz w:val="15"/>
                          <w:szCs w:val="15"/>
                        </w:rPr>
                        <w:t> </w:t>
                      </w:r>
                      <w:r>
                        <w:rPr>
                          <w:rFonts w:ascii="Times New Roman" w:hAnsi="Times New Roman" w:cs="Times New Roman" w:eastAsia="Times New Roman" w:hint="default"/>
                          <w:sz w:val="15"/>
                          <w:szCs w:val="15"/>
                        </w:rPr>
                        <w:t>IT</w:t>
                      </w:r>
                      <w:r>
                        <w:rPr>
                          <w:rFonts w:ascii="Times New Roman" w:hAnsi="Times New Roman" w:cs="Times New Roman" w:eastAsia="Times New Roman" w:hint="default"/>
                          <w:spacing w:val="5"/>
                          <w:sz w:val="15"/>
                          <w:szCs w:val="15"/>
                        </w:rPr>
                        <w:t> </w:t>
                      </w:r>
                      <w:r>
                        <w:rPr>
                          <w:rFonts w:ascii="宋体" w:hAnsi="宋体" w:cs="宋体" w:eastAsia="宋体" w:hint="default"/>
                          <w:sz w:val="15"/>
                          <w:szCs w:val="15"/>
                        </w:rPr>
                        <w:t>人才实训基地</w:t>
                      </w:r>
                    </w:p>
                  </w:txbxContent>
                </v:textbox>
                <w10:wrap type="none"/>
              </v:shape>
              <v:shape style="position:absolute;left:2227;top:1282;width:2230;height:150" type="#_x0000_t202" filled="false" stroked="false">
                <v:textbox inset="0,0,0,0">
                  <w:txbxContent>
                    <w:p>
                      <w:pPr>
                        <w:tabs>
                          <w:tab w:pos="1478"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2008.10.1-2018.10.1</w:t>
                        <w:tab/>
                        <w:t>120,000,000</w:t>
                      </w:r>
                    </w:p>
                  </w:txbxContent>
                </v:textbox>
                <w10:wrap type="none"/>
              </v:shape>
              <v:shape style="position:absolute;left:6439;top:1282;width:7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120,000,000</w:t>
                      </w:r>
                    </w:p>
                  </w:txbxContent>
                </v:textbox>
                <w10:wrap type="none"/>
              </v:shape>
              <v:shape style="position:absolute;left:7759;top:1265;width:364;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1)</w:t>
                      </w:r>
                    </w:p>
                  </w:txbxContent>
                </v:textbox>
                <w10:wrap type="none"/>
              </v:shape>
              <v:shape style="position:absolute;left:131;top:1466;width:7993;height:576"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建设款</w:t>
                      </w:r>
                    </w:p>
                    <w:p>
                      <w:pPr>
                        <w:spacing w:line="240" w:lineRule="auto" w:before="2"/>
                        <w:rPr>
                          <w:rFonts w:ascii="宋体" w:hAnsi="宋体" w:cs="宋体" w:eastAsia="宋体" w:hint="default"/>
                          <w:sz w:val="16"/>
                          <w:szCs w:val="16"/>
                        </w:rPr>
                      </w:pPr>
                    </w:p>
                    <w:p>
                      <w:pPr>
                        <w:tabs>
                          <w:tab w:pos="1946" w:val="left" w:leader="none"/>
                          <w:tab w:pos="3574" w:val="left" w:leader="none"/>
                          <w:tab w:pos="6308" w:val="left" w:leader="none"/>
                          <w:tab w:pos="7628" w:val="left" w:leader="none"/>
                        </w:tabs>
                        <w:spacing w:line="214"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成都三期基建款</w:t>
                        <w:tab/>
                      </w:r>
                      <w:r>
                        <w:rPr>
                          <w:rFonts w:ascii="Times New Roman" w:hAnsi="Times New Roman" w:cs="Times New Roman" w:eastAsia="Times New Roman" w:hint="default"/>
                          <w:spacing w:val="-1"/>
                          <w:sz w:val="15"/>
                          <w:szCs w:val="15"/>
                        </w:rPr>
                        <w:t>2005.12.15-2010.12.15</w:t>
                        <w:tab/>
                        <w:t>169,804,426</w:t>
                        <w:tab/>
                        <w:t>171,932,146</w:t>
                        <w:tab/>
                      </w:r>
                      <w:r>
                        <w:rPr>
                          <w:rFonts w:ascii="Times New Roman" w:hAnsi="Times New Roman" w:cs="Times New Roman" w:eastAsia="Times New Roman" w:hint="default"/>
                          <w:position w:val="1"/>
                          <w:sz w:val="15"/>
                          <w:szCs w:val="15"/>
                        </w:rPr>
                        <w:t>(</w:t>
                      </w:r>
                      <w:r>
                        <w:rPr>
                          <w:rFonts w:ascii="宋体" w:hAnsi="宋体" w:cs="宋体" w:eastAsia="宋体" w:hint="default"/>
                          <w:position w:val="1"/>
                          <w:sz w:val="15"/>
                          <w:szCs w:val="15"/>
                        </w:rPr>
                        <w:t>注</w:t>
                      </w:r>
                      <w:r>
                        <w:rPr>
                          <w:rFonts w:ascii="宋体" w:hAnsi="宋体" w:cs="宋体" w:eastAsia="宋体" w:hint="default"/>
                          <w:spacing w:val="-38"/>
                          <w:position w:val="1"/>
                          <w:sz w:val="15"/>
                          <w:szCs w:val="15"/>
                        </w:rPr>
                        <w:t> </w:t>
                      </w:r>
                      <w:r>
                        <w:rPr>
                          <w:rFonts w:ascii="Times New Roman" w:hAnsi="Times New Roman" w:cs="Times New Roman" w:eastAsia="Times New Roman" w:hint="default"/>
                          <w:position w:val="1"/>
                          <w:sz w:val="15"/>
                          <w:szCs w:val="15"/>
                        </w:rPr>
                        <w:t>2)</w:t>
                      </w:r>
                      <w:r>
                        <w:rPr>
                          <w:rFonts w:ascii="Times New Roman" w:hAnsi="Times New Roman" w:cs="Times New Roman" w:eastAsia="Times New Roman" w:hint="default"/>
                          <w:sz w:val="15"/>
                          <w:szCs w:val="15"/>
                        </w:rPr>
                      </w:r>
                    </w:p>
                  </w:txbxContent>
                </v:textbox>
                <w10:wrap type="none"/>
              </v:shape>
              <v:shape style="position:absolute;left:695;top:2285;width:67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    计 </w:t>
                      </w:r>
                    </w:p>
                  </w:txbxContent>
                </v:textbox>
                <w10:wrap type="none"/>
              </v:shape>
              <v:shape style="position:absolute;left:3706;top:2302;width:75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304,413,857</w:t>
                      </w:r>
                    </w:p>
                  </w:txbxContent>
                </v:textbox>
                <w10:wrap type="none"/>
              </v:shape>
              <v:shape style="position:absolute;left:6439;top:2302;width:7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306,541,577</w:t>
                      </w:r>
                    </w:p>
                  </w:txbxContent>
                </v:textbox>
                <w10:wrap type="none"/>
              </v:shape>
            </v:group>
          </v:group>
        </w:pict>
      </w:r>
      <w:r>
        <w:rPr>
          <w:rFonts w:ascii="宋体" w:hAnsi="宋体" w:cs="宋体" w:eastAsia="宋体" w:hint="default"/>
          <w:position w:val="-49"/>
          <w:sz w:val="20"/>
          <w:szCs w:val="20"/>
        </w:rPr>
      </w:r>
    </w:p>
    <w:p>
      <w:pPr>
        <w:spacing w:line="240" w:lineRule="auto" w:before="10"/>
        <w:rPr>
          <w:rFonts w:ascii="宋体" w:hAnsi="宋体" w:cs="宋体" w:eastAsia="宋体" w:hint="default"/>
          <w:sz w:val="5"/>
          <w:szCs w:val="5"/>
        </w:rPr>
      </w:pPr>
    </w:p>
    <w:p>
      <w:pPr>
        <w:spacing w:line="331" w:lineRule="auto" w:before="35"/>
        <w:ind w:left="855" w:right="128"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27"/>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：沈阳东软</w:t>
      </w:r>
      <w:r>
        <w:rPr>
          <w:rFonts w:ascii="宋体" w:hAnsi="宋体" w:cs="宋体" w:eastAsia="宋体" w:hint="default"/>
          <w:spacing w:val="-27"/>
          <w:sz w:val="21"/>
          <w:szCs w:val="21"/>
        </w:rPr>
        <w:t> </w:t>
      </w:r>
      <w:r>
        <w:rPr>
          <w:rFonts w:ascii="Times New Roman" w:hAnsi="Times New Roman" w:cs="Times New Roman" w:eastAsia="Times New Roman" w:hint="default"/>
          <w:sz w:val="21"/>
          <w:szCs w:val="21"/>
        </w:rPr>
        <w:t>IT</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人才实训基地建设款，为本公司于以前年度内收到的沈阳浑南新区管 委会提供给公司的共</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120,000,000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元建设资金支持，该建设资金不计收利息和其他任何费</w:t>
      </w:r>
    </w:p>
    <w:p>
      <w:pPr>
        <w:spacing w:before="20"/>
        <w:ind w:left="855" w:right="0" w:firstLine="0"/>
        <w:jc w:val="left"/>
        <w:rPr>
          <w:rFonts w:ascii="宋体" w:hAnsi="宋体" w:cs="宋体" w:eastAsia="宋体" w:hint="default"/>
          <w:sz w:val="21"/>
          <w:szCs w:val="21"/>
        </w:rPr>
      </w:pPr>
      <w:r>
        <w:rPr>
          <w:rFonts w:ascii="宋体" w:hAnsi="宋体" w:cs="宋体" w:eastAsia="宋体" w:hint="default"/>
          <w:sz w:val="21"/>
          <w:szCs w:val="21"/>
        </w:rPr>
        <w:t>用，自</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日始，使用期限为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 </w:t>
      </w:r>
      <w:r>
        <w:rPr>
          <w:rFonts w:ascii="宋体" w:hAnsi="宋体" w:cs="宋体" w:eastAsia="宋体" w:hint="default"/>
          <w:sz w:val="21"/>
          <w:szCs w:val="21"/>
        </w:rPr>
        <w:t>年，本公司需于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2013 </w:t>
      </w:r>
      <w:r>
        <w:rPr>
          <w:rFonts w:ascii="宋体" w:hAnsi="宋体" w:cs="宋体" w:eastAsia="宋体" w:hint="default"/>
          <w:sz w:val="21"/>
          <w:szCs w:val="21"/>
        </w:rPr>
        <w:t>年开始，于每年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spacing w:before="109"/>
        <w:ind w:left="85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日前偿还</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24,000,000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元，分</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年还清。</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line="328" w:lineRule="auto" w:before="0"/>
        <w:ind w:left="855" w:right="129"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2</w:t>
      </w:r>
      <w:r>
        <w:rPr>
          <w:rFonts w:ascii="宋体" w:hAnsi="宋体" w:cs="宋体" w:eastAsia="宋体" w:hint="default"/>
          <w:sz w:val="21"/>
          <w:szCs w:val="21"/>
        </w:rPr>
        <w:t>：成都三期基建款系根据成都东软信息技术发展有限公司（</w:t>
      </w:r>
      <w:r>
        <w:rPr>
          <w:rFonts w:ascii="Times New Roman" w:hAnsi="Times New Roman" w:cs="Times New Roman" w:eastAsia="Times New Roman" w:hint="default"/>
          <w:sz w:val="21"/>
          <w:szCs w:val="21"/>
        </w:rPr>
        <w:t>“</w:t>
      </w:r>
      <w:r>
        <w:rPr>
          <w:rFonts w:ascii="宋体" w:hAnsi="宋体" w:cs="宋体" w:eastAsia="宋体" w:hint="default"/>
          <w:sz w:val="21"/>
          <w:szCs w:val="21"/>
        </w:rPr>
        <w:t>成都东软发展</w:t>
      </w:r>
      <w:r>
        <w:rPr>
          <w:rFonts w:ascii="Times New Roman" w:hAnsi="Times New Roman" w:cs="Times New Roman" w:eastAsia="Times New Roman" w:hint="default"/>
          <w:sz w:val="21"/>
          <w:szCs w:val="21"/>
        </w:rPr>
        <w:t>”</w:t>
      </w:r>
      <w:r>
        <w:rPr>
          <w:rFonts w:ascii="宋体" w:hAnsi="宋体" w:cs="宋体" w:eastAsia="宋体" w:hint="default"/>
          <w:sz w:val="21"/>
          <w:szCs w:val="21"/>
        </w:rPr>
        <w:t>）与都江 堰青城信息产业有限公司于</w:t>
      </w:r>
      <w:r>
        <w:rPr>
          <w:rFonts w:ascii="宋体" w:hAnsi="宋体" w:cs="宋体" w:eastAsia="宋体" w:hint="default"/>
          <w:spacing w:val="-52"/>
          <w:sz w:val="21"/>
          <w:szCs w:val="21"/>
        </w:rPr>
        <w:t> </w:t>
      </w:r>
      <w:r>
        <w:rPr>
          <w:rFonts w:ascii="Times New Roman" w:hAnsi="Times New Roman" w:cs="Times New Roman" w:eastAsia="Times New Roman" w:hint="default"/>
          <w:spacing w:val="-1"/>
          <w:sz w:val="21"/>
          <w:szCs w:val="21"/>
        </w:rPr>
        <w:t>2005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1"/>
          <w:sz w:val="21"/>
          <w:szCs w:val="21"/>
        </w:rPr>
        <w:t> </w:t>
      </w:r>
      <w:r>
        <w:rPr>
          <w:rFonts w:ascii="宋体" w:hAnsi="宋体" w:cs="宋体" w:eastAsia="宋体" w:hint="default"/>
          <w:spacing w:val="-5"/>
          <w:sz w:val="21"/>
          <w:szCs w:val="21"/>
        </w:rPr>
        <w:t>日签订的协议书，由都江堰市政府以无息贷款</w:t>
      </w:r>
    </w:p>
    <w:p>
      <w:pPr>
        <w:spacing w:before="24"/>
        <w:ind w:left="855" w:right="0" w:firstLine="0"/>
        <w:jc w:val="left"/>
        <w:rPr>
          <w:rFonts w:ascii="宋体" w:hAnsi="宋体" w:cs="宋体" w:eastAsia="宋体" w:hint="default"/>
          <w:sz w:val="21"/>
          <w:szCs w:val="21"/>
        </w:rPr>
      </w:pPr>
      <w:r>
        <w:rPr>
          <w:rFonts w:ascii="宋体" w:hAnsi="宋体" w:cs="宋体" w:eastAsia="宋体" w:hint="default"/>
          <w:sz w:val="21"/>
          <w:szCs w:val="21"/>
        </w:rPr>
        <w:t>形式提供融资总额为</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180,000,000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元的专项资金给成都东软发展，用于青城山建设软件园</w:t>
      </w:r>
    </w:p>
    <w:p>
      <w:pPr>
        <w:spacing w:line="328" w:lineRule="auto" w:before="109"/>
        <w:ind w:left="855" w:right="0" w:firstLine="0"/>
        <w:jc w:val="left"/>
        <w:rPr>
          <w:rFonts w:ascii="宋体" w:hAnsi="宋体" w:cs="宋体" w:eastAsia="宋体" w:hint="default"/>
          <w:sz w:val="21"/>
          <w:szCs w:val="21"/>
        </w:rPr>
      </w:pPr>
      <w:r>
        <w:rPr>
          <w:rFonts w:ascii="宋体" w:hAnsi="宋体" w:cs="宋体" w:eastAsia="宋体" w:hint="default"/>
          <w:spacing w:val="-5"/>
          <w:sz w:val="21"/>
          <w:szCs w:val="21"/>
        </w:rPr>
        <w:t>产业基地。截止</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日，成都东软发展已融资</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171,932,146</w:t>
      </w:r>
      <w:r>
        <w:rPr>
          <w:rFonts w:ascii="Times New Roman" w:hAnsi="Times New Roman" w:cs="Times New Roman" w:eastAsia="Times New Roman" w:hint="default"/>
          <w:spacing w:val="-1"/>
          <w:sz w:val="21"/>
          <w:szCs w:val="21"/>
        </w:rPr>
        <w:t> </w:t>
      </w:r>
      <w:r>
        <w:rPr>
          <w:rFonts w:ascii="宋体" w:hAnsi="宋体" w:cs="宋体" w:eastAsia="宋体" w:hint="default"/>
          <w:spacing w:val="-4"/>
          <w:sz w:val="21"/>
          <w:szCs w:val="21"/>
        </w:rPr>
        <w:t>元。还款条件为于</w:t>
      </w:r>
      <w:r>
        <w:rPr>
          <w:rFonts w:ascii="宋体" w:hAnsi="宋体" w:cs="宋体" w:eastAsia="宋体" w:hint="default"/>
          <w:sz w:val="21"/>
          <w:szCs w:val="21"/>
        </w:rPr>
        <w:t> 第一笔用款日期起五年内一次性偿还。</w:t>
      </w:r>
    </w:p>
    <w:p>
      <w:pPr>
        <w:spacing w:after="0" w:line="328" w:lineRule="auto"/>
        <w:jc w:val="left"/>
        <w:rPr>
          <w:rFonts w:ascii="宋体" w:hAnsi="宋体" w:cs="宋体" w:eastAsia="宋体" w:hint="default"/>
          <w:sz w:val="21"/>
          <w:szCs w:val="21"/>
        </w:rPr>
        <w:sectPr>
          <w:pgSz w:w="11900" w:h="16840"/>
          <w:pgMar w:header="0" w:footer="1003" w:top="1540" w:bottom="1200" w:left="1660" w:right="1140"/>
        </w:sectPr>
      </w:pPr>
    </w:p>
    <w:p>
      <w:pPr>
        <w:spacing w:line="240" w:lineRule="auto" w:before="10"/>
        <w:rPr>
          <w:rFonts w:ascii="宋体" w:hAnsi="宋体" w:cs="宋体" w:eastAsia="宋体" w:hint="default"/>
          <w:sz w:val="8"/>
          <w:szCs w:val="8"/>
        </w:rPr>
      </w:pPr>
    </w:p>
    <w:p>
      <w:pPr>
        <w:spacing w:before="35"/>
        <w:ind w:left="1783" w:right="0" w:firstLine="0"/>
        <w:jc w:val="left"/>
        <w:rPr>
          <w:rFonts w:ascii="宋体" w:hAnsi="宋体" w:cs="宋体" w:eastAsia="宋体" w:hint="default"/>
          <w:sz w:val="21"/>
          <w:szCs w:val="21"/>
        </w:rPr>
      </w:pPr>
      <w:r>
        <w:rPr/>
        <w:pict>
          <v:group style="position:absolute;margin-left:119.88002pt;margin-top:17.133995pt;width:412.65pt;height:82.5pt;mso-position-horizontal-relative:page;mso-position-vertical-relative:paragraph;z-index:-980632" coordorigin="2398,343" coordsize="8253,1650">
            <v:group style="position:absolute;left:2407;top:352;width:3782;height:2" coordorigin="2407,352" coordsize="3782,2">
              <v:shape style="position:absolute;left:2407;top:352;width:3782;height:2" coordorigin="2407,352" coordsize="3782,0" path="m2407,352l6188,352e" filled="false" stroked="true" strokeweight=".95996pt" strokecolor="#000000">
                <v:path arrowok="t"/>
              </v:shape>
            </v:group>
            <v:group style="position:absolute;left:6188;top:352;width:2268;height:2" coordorigin="6188,352" coordsize="2268,2">
              <v:shape style="position:absolute;left:6188;top:352;width:2268;height:2" coordorigin="6188,352" coordsize="2268,0" path="m6188,352l8456,352e" filled="false" stroked="true" strokeweight=".95996pt" strokecolor="#000000">
                <v:path arrowok="t"/>
              </v:shape>
            </v:group>
            <v:group style="position:absolute;left:8456;top:352;width:2182;height:2" coordorigin="8456,352" coordsize="2182,2">
              <v:shape style="position:absolute;left:8456;top:352;width:2182;height:2" coordorigin="8456,352" coordsize="2182,0" path="m8456,352l10638,352e" filled="false" stroked="true" strokeweight=".95996pt" strokecolor="#000000">
                <v:path arrowok="t"/>
              </v:shape>
              <v:shape style="position:absolute;left:2407;top:362;width:8243;height:1631" type="#_x0000_t75" stroked="false">
                <v:imagedata r:id="rId111" o:titl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三十二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4"/>
          <w:sz w:val="21"/>
          <w:szCs w:val="21"/>
        </w:rPr>
        <w:t> </w:t>
      </w:r>
      <w:r>
        <w:rPr>
          <w:rFonts w:ascii="宋体" w:hAnsi="宋体" w:cs="宋体" w:eastAsia="宋体" w:hint="default"/>
          <w:sz w:val="21"/>
          <w:szCs w:val="21"/>
        </w:rPr>
        <w:t>其他非流动负债</w:t>
      </w:r>
    </w:p>
    <w:p>
      <w:pPr>
        <w:spacing w:line="240" w:lineRule="auto" w:before="4"/>
        <w:rPr>
          <w:rFonts w:ascii="宋体" w:hAnsi="宋体" w:cs="宋体" w:eastAsia="宋体" w:hint="default"/>
          <w:sz w:val="7"/>
          <w:szCs w:val="7"/>
        </w:rPr>
      </w:pPr>
    </w:p>
    <w:tbl>
      <w:tblPr>
        <w:tblW w:w="0" w:type="auto"/>
        <w:jc w:val="left"/>
        <w:tblInd w:w="2392" w:type="dxa"/>
        <w:tblLayout w:type="fixed"/>
        <w:tblCellMar>
          <w:top w:w="0" w:type="dxa"/>
          <w:left w:w="0" w:type="dxa"/>
          <w:bottom w:w="0" w:type="dxa"/>
          <w:right w:w="0" w:type="dxa"/>
        </w:tblCellMar>
        <w:tblLook w:val="01E0"/>
      </w:tblPr>
      <w:tblGrid>
        <w:gridCol w:w="1223"/>
        <w:gridCol w:w="630"/>
        <w:gridCol w:w="210"/>
        <w:gridCol w:w="1252"/>
        <w:gridCol w:w="2930"/>
        <w:gridCol w:w="2007"/>
      </w:tblGrid>
      <w:tr>
        <w:trPr>
          <w:trHeight w:val="832" w:hRule="exact"/>
        </w:trPr>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63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0"/>
              <w:jc w:val="right"/>
              <w:rPr>
                <w:rFonts w:ascii="宋体" w:hAnsi="宋体" w:cs="宋体" w:eastAsia="宋体" w:hint="default"/>
                <w:sz w:val="21"/>
                <w:szCs w:val="21"/>
              </w:rPr>
            </w:pPr>
            <w:r>
              <w:rPr>
                <w:rFonts w:ascii="宋体" w:hAnsi="宋体" w:cs="宋体" w:eastAsia="宋体" w:hint="default"/>
                <w:sz w:val="21"/>
                <w:szCs w:val="21"/>
              </w:rPr>
              <w:t>项 </w:t>
            </w:r>
          </w:p>
        </w:tc>
        <w:tc>
          <w:tcPr>
            <w:tcW w:w="21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0"/>
              <w:jc w:val="center"/>
              <w:rPr>
                <w:rFonts w:ascii="宋体" w:hAnsi="宋体" w:cs="宋体" w:eastAsia="宋体" w:hint="default"/>
                <w:sz w:val="21"/>
                <w:szCs w:val="21"/>
              </w:rPr>
            </w:pPr>
            <w:r>
              <w:rPr>
                <w:rFonts w:ascii="宋体"/>
                <w:sz w:val="21"/>
              </w:rPr>
              <w:t> </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 w:right="0"/>
              <w:jc w:val="left"/>
              <w:rPr>
                <w:rFonts w:ascii="宋体" w:hAnsi="宋体" w:cs="宋体" w:eastAsia="宋体" w:hint="default"/>
                <w:sz w:val="21"/>
                <w:szCs w:val="21"/>
              </w:rPr>
            </w:pPr>
            <w:r>
              <w:rPr>
                <w:rFonts w:ascii="宋体" w:hAnsi="宋体" w:cs="宋体" w:eastAsia="宋体" w:hint="default"/>
                <w:sz w:val="21"/>
                <w:szCs w:val="21"/>
              </w:rPr>
              <w:t>目</w:t>
            </w:r>
          </w:p>
        </w:tc>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89" w:right="0"/>
              <w:jc w:val="left"/>
              <w:rPr>
                <w:rFonts w:ascii="宋体" w:hAnsi="宋体" w:cs="宋体" w:eastAsia="宋体" w:hint="default"/>
                <w:sz w:val="21"/>
                <w:szCs w:val="21"/>
              </w:rPr>
            </w:pPr>
            <w:r>
              <w:rPr>
                <w:rFonts w:ascii="宋体" w:hAnsi="宋体" w:cs="宋体" w:eastAsia="宋体" w:hint="default"/>
                <w:sz w:val="21"/>
                <w:szCs w:val="21"/>
              </w:rPr>
              <w:t>期末账面金额</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595" w:right="0"/>
              <w:jc w:val="left"/>
              <w:rPr>
                <w:rFonts w:ascii="Times New Roman" w:hAnsi="Times New Roman" w:cs="Times New Roman" w:eastAsia="Times New Roman" w:hint="default"/>
                <w:sz w:val="21"/>
                <w:szCs w:val="21"/>
              </w:rPr>
            </w:pPr>
            <w:r>
              <w:rPr>
                <w:rFonts w:ascii="Times New Roman"/>
                <w:sz w:val="21"/>
              </w:rPr>
              <w:t>162,301,565</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83" w:right="0"/>
              <w:jc w:val="left"/>
              <w:rPr>
                <w:rFonts w:ascii="宋体" w:hAnsi="宋体" w:cs="宋体" w:eastAsia="宋体" w:hint="default"/>
                <w:sz w:val="21"/>
                <w:szCs w:val="21"/>
              </w:rPr>
            </w:pPr>
            <w:r>
              <w:rPr>
                <w:rFonts w:ascii="宋体" w:hAnsi="宋体" w:cs="宋体" w:eastAsia="宋体" w:hint="default"/>
                <w:sz w:val="21"/>
                <w:szCs w:val="21"/>
              </w:rPr>
              <w:t>期初账面金额</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862" w:right="0"/>
              <w:jc w:val="left"/>
              <w:rPr>
                <w:rFonts w:ascii="Times New Roman" w:hAnsi="Times New Roman" w:cs="Times New Roman" w:eastAsia="Times New Roman" w:hint="default"/>
                <w:sz w:val="21"/>
                <w:szCs w:val="21"/>
              </w:rPr>
            </w:pPr>
            <w:r>
              <w:rPr>
                <w:rFonts w:ascii="Times New Roman"/>
                <w:sz w:val="21"/>
              </w:rPr>
              <w:t>111,486,244</w:t>
            </w:r>
          </w:p>
        </w:tc>
      </w:tr>
      <w:tr>
        <w:trPr>
          <w:trHeight w:val="410" w:hRule="exact"/>
        </w:trPr>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其    他</w:t>
            </w:r>
          </w:p>
        </w:tc>
        <w:tc>
          <w:tcPr>
            <w:tcW w:w="630" w:type="dxa"/>
            <w:tcBorders>
              <w:top w:val="nil" w:sz="6" w:space="0" w:color="auto"/>
              <w:left w:val="nil" w:sz="6" w:space="0" w:color="auto"/>
              <w:bottom w:val="nil" w:sz="6" w:space="0" w:color="auto"/>
              <w:right w:val="nil" w:sz="6" w:space="0" w:color="auto"/>
            </w:tcBorders>
          </w:tcPr>
          <w:p>
            <w:pPr/>
          </w:p>
        </w:tc>
        <w:tc>
          <w:tcPr>
            <w:tcW w:w="210" w:type="dxa"/>
            <w:tcBorders>
              <w:top w:val="nil" w:sz="6" w:space="0" w:color="auto"/>
              <w:left w:val="nil" w:sz="6" w:space="0" w:color="auto"/>
              <w:bottom w:val="nil" w:sz="6" w:space="0" w:color="auto"/>
              <w:right w:val="nil" w:sz="6" w:space="0" w:color="auto"/>
            </w:tcBorders>
          </w:tcPr>
          <w:p>
            <w:pPr/>
          </w:p>
        </w:tc>
        <w:tc>
          <w:tcPr>
            <w:tcW w:w="1252" w:type="dxa"/>
            <w:tcBorders>
              <w:top w:val="nil" w:sz="6" w:space="0" w:color="auto"/>
              <w:left w:val="nil" w:sz="6" w:space="0" w:color="auto"/>
              <w:bottom w:val="nil" w:sz="6" w:space="0" w:color="auto"/>
              <w:right w:val="nil" w:sz="6" w:space="0" w:color="auto"/>
            </w:tcBorders>
          </w:tcPr>
          <w:p>
            <w:pPr/>
          </w:p>
        </w:tc>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83"/>
              <w:jc w:val="right"/>
              <w:rPr>
                <w:rFonts w:ascii="Times New Roman" w:hAnsi="Times New Roman" w:cs="Times New Roman" w:eastAsia="Times New Roman" w:hint="default"/>
                <w:sz w:val="21"/>
                <w:szCs w:val="21"/>
              </w:rPr>
            </w:pPr>
            <w:r>
              <w:rPr>
                <w:rFonts w:ascii="Times New Roman"/>
                <w:spacing w:val="-1"/>
                <w:sz w:val="21"/>
              </w:rPr>
              <w:t>1,783,513</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8"/>
              <w:jc w:val="right"/>
              <w:rPr>
                <w:rFonts w:ascii="Times New Roman" w:hAnsi="Times New Roman" w:cs="Times New Roman" w:eastAsia="Times New Roman" w:hint="default"/>
                <w:sz w:val="21"/>
                <w:szCs w:val="21"/>
              </w:rPr>
            </w:pPr>
            <w:r>
              <w:rPr>
                <w:rFonts w:ascii="Times New Roman"/>
                <w:spacing w:val="-1"/>
                <w:sz w:val="21"/>
              </w:rPr>
              <w:t>883,214</w:t>
            </w:r>
          </w:p>
        </w:tc>
      </w:tr>
      <w:tr>
        <w:trPr>
          <w:trHeight w:val="340" w:hRule="exact"/>
        </w:trPr>
        <w:tc>
          <w:tcPr>
            <w:tcW w:w="1223" w:type="dxa"/>
            <w:tcBorders>
              <w:top w:val="nil" w:sz="6" w:space="0" w:color="auto"/>
              <w:left w:val="nil" w:sz="6" w:space="0" w:color="auto"/>
              <w:bottom w:val="single" w:sz="8" w:space="0" w:color="000000"/>
              <w:right w:val="nil" w:sz="6" w:space="0" w:color="auto"/>
            </w:tcBorders>
          </w:tcPr>
          <w:p>
            <w:pPr/>
          </w:p>
        </w:tc>
        <w:tc>
          <w:tcPr>
            <w:tcW w:w="630"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right="50"/>
              <w:jc w:val="right"/>
              <w:rPr>
                <w:rFonts w:ascii="宋体" w:hAnsi="宋体" w:cs="宋体" w:eastAsia="宋体" w:hint="default"/>
                <w:sz w:val="21"/>
                <w:szCs w:val="21"/>
              </w:rPr>
            </w:pPr>
            <w:r>
              <w:rPr>
                <w:rFonts w:ascii="宋体" w:hAnsi="宋体" w:cs="宋体" w:eastAsia="宋体" w:hint="default"/>
                <w:sz w:val="21"/>
                <w:szCs w:val="21"/>
              </w:rPr>
              <w:t>合 </w:t>
            </w:r>
          </w:p>
        </w:tc>
        <w:tc>
          <w:tcPr>
            <w:tcW w:w="210"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right="0"/>
              <w:jc w:val="center"/>
              <w:rPr>
                <w:rFonts w:ascii="宋体" w:hAnsi="宋体" w:cs="宋体" w:eastAsia="宋体" w:hint="default"/>
                <w:sz w:val="21"/>
                <w:szCs w:val="21"/>
              </w:rPr>
            </w:pPr>
            <w:r>
              <w:rPr>
                <w:rFonts w:ascii="宋体"/>
                <w:sz w:val="21"/>
              </w:rPr>
              <w:t> </w:t>
            </w:r>
          </w:p>
        </w:tc>
        <w:tc>
          <w:tcPr>
            <w:tcW w:w="1252"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52"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930"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281"/>
              <w:jc w:val="right"/>
              <w:rPr>
                <w:rFonts w:ascii="Times New Roman" w:hAnsi="Times New Roman" w:cs="Times New Roman" w:eastAsia="Times New Roman" w:hint="default"/>
                <w:sz w:val="21"/>
                <w:szCs w:val="21"/>
              </w:rPr>
            </w:pPr>
            <w:r>
              <w:rPr>
                <w:rFonts w:ascii="Times New Roman"/>
                <w:spacing w:val="-1"/>
                <w:sz w:val="21"/>
              </w:rPr>
              <w:t>164,085,078</w:t>
            </w:r>
          </w:p>
        </w:tc>
        <w:tc>
          <w:tcPr>
            <w:tcW w:w="2007"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21"/>
                <w:szCs w:val="21"/>
              </w:rPr>
            </w:pPr>
            <w:r>
              <w:rPr>
                <w:rFonts w:ascii="Times New Roman"/>
                <w:spacing w:val="-2"/>
                <w:sz w:val="21"/>
              </w:rPr>
              <w:t>112,369,458</w:t>
            </w:r>
          </w:p>
        </w:tc>
      </w:tr>
    </w:tbl>
    <w:p>
      <w:pPr>
        <w:spacing w:line="350" w:lineRule="auto" w:before="83"/>
        <w:ind w:left="2515" w:right="0" w:firstLine="0"/>
        <w:jc w:val="left"/>
        <w:rPr>
          <w:rFonts w:ascii="宋体" w:hAnsi="宋体" w:cs="宋体" w:eastAsia="宋体" w:hint="default"/>
          <w:sz w:val="21"/>
          <w:szCs w:val="21"/>
        </w:rPr>
      </w:pPr>
      <w:r>
        <w:rPr>
          <w:rFonts w:ascii="宋体" w:hAnsi="宋体" w:cs="宋体" w:eastAsia="宋体" w:hint="default"/>
          <w:spacing w:val="-3"/>
          <w:sz w:val="21"/>
          <w:szCs w:val="21"/>
        </w:rPr>
        <w:t>注：递延收益为本公司及子公司收到的用于补偿公司一年以上的相关费用的收益性政府补</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贴。</w:t>
      </w:r>
    </w:p>
    <w:p>
      <w:pPr>
        <w:spacing w:line="240" w:lineRule="auto" w:before="0"/>
        <w:rPr>
          <w:rFonts w:ascii="宋体" w:hAnsi="宋体" w:cs="宋体" w:eastAsia="宋体" w:hint="default"/>
          <w:sz w:val="20"/>
          <w:szCs w:val="20"/>
        </w:rPr>
      </w:pPr>
    </w:p>
    <w:p>
      <w:pPr>
        <w:spacing w:before="166"/>
        <w:ind w:left="178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三十三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2"/>
          <w:sz w:val="21"/>
          <w:szCs w:val="21"/>
        </w:rPr>
        <w:t> </w:t>
      </w:r>
      <w:r>
        <w:rPr>
          <w:rFonts w:ascii="宋体" w:hAnsi="宋体" w:cs="宋体" w:eastAsia="宋体" w:hint="default"/>
          <w:sz w:val="21"/>
          <w:szCs w:val="21"/>
        </w:rPr>
        <w:t>股本</w:t>
      </w:r>
    </w:p>
    <w:p>
      <w:pPr>
        <w:spacing w:line="8640" w:lineRule="exact"/>
        <w:ind w:left="2383" w:right="0" w:firstLine="0"/>
        <w:rPr>
          <w:rFonts w:ascii="宋体" w:hAnsi="宋体" w:cs="宋体" w:eastAsia="宋体" w:hint="default"/>
          <w:sz w:val="20"/>
          <w:szCs w:val="20"/>
        </w:rPr>
      </w:pPr>
      <w:r>
        <w:rPr>
          <w:rFonts w:ascii="宋体" w:hAnsi="宋体" w:cs="宋体" w:eastAsia="宋体" w:hint="default"/>
          <w:position w:val="-172"/>
          <w:sz w:val="20"/>
          <w:szCs w:val="20"/>
        </w:rPr>
        <w:pict>
          <v:group style="width:415.35pt;height:432pt;mso-position-horizontal-relative:char;mso-position-vertical-relative:line" coordorigin="0,0" coordsize="8307,8640">
            <v:group style="position:absolute;left:31;top:10;width:2162;height:2" coordorigin="31,10" coordsize="2162,2">
              <v:shape style="position:absolute;left:31;top:10;width:2162;height:2" coordorigin="31,10" coordsize="2162,0" path="m31,10l2192,10e" filled="false" stroked="true" strokeweight=".96002pt" strokecolor="#000000">
                <v:path arrowok="t"/>
              </v:shape>
            </v:group>
            <v:group style="position:absolute;left:2192;top:10;width:1185;height:2" coordorigin="2192,10" coordsize="1185,2">
              <v:shape style="position:absolute;left:2192;top:10;width:1185;height:2" coordorigin="2192,10" coordsize="1185,0" path="m2192,10l3377,10e" filled="false" stroked="true" strokeweight=".96002pt" strokecolor="#000000">
                <v:path arrowok="t"/>
              </v:shape>
            </v:group>
            <v:group style="position:absolute;left:3377;top:10;width:3794;height:2" coordorigin="3377,10" coordsize="3794,2">
              <v:shape style="position:absolute;left:3377;top:10;width:3794;height:2" coordorigin="3377,10" coordsize="3794,0" path="m3377,10l7170,10e" filled="false" stroked="true" strokeweight=".96002pt" strokecolor="#000000">
                <v:path arrowok="t"/>
              </v:shape>
            </v:group>
            <v:group style="position:absolute;left:7170;top:10;width:1120;height:2" coordorigin="7170,10" coordsize="1120,2">
              <v:shape style="position:absolute;left:7170;top:10;width:1120;height:2" coordorigin="7170,10" coordsize="1120,0" path="m7170,10l8290,10e" filled="false" stroked="true" strokeweight=".96002pt" strokecolor="#000000">
                <v:path arrowok="t"/>
              </v:shape>
            </v:group>
            <v:group style="position:absolute;left:10;top:8630;width:2183;height:2" coordorigin="10,8630" coordsize="2183,2">
              <v:shape style="position:absolute;left:10;top:8630;width:2183;height:2" coordorigin="10,8630" coordsize="2183,0" path="m10,8630l2192,8630e" filled="false" stroked="true" strokeweight=".95999pt" strokecolor="#000000">
                <v:path arrowok="t"/>
              </v:shape>
            </v:group>
            <v:group style="position:absolute;left:2192;top:8630;width:1185;height:2" coordorigin="2192,8630" coordsize="1185,2">
              <v:shape style="position:absolute;left:2192;top:8630;width:1185;height:2" coordorigin="2192,8630" coordsize="1185,0" path="m2192,8630l3377,8630e" filled="false" stroked="true" strokeweight=".95999pt" strokecolor="#000000">
                <v:path arrowok="t"/>
              </v:shape>
            </v:group>
            <v:group style="position:absolute;left:3377;top:8630;width:892;height:2" coordorigin="3377,8630" coordsize="892,2">
              <v:shape style="position:absolute;left:3377;top:8630;width:892;height:2" coordorigin="3377,8630" coordsize="892,0" path="m3377,8630l4268,8630e" filled="false" stroked="true" strokeweight=".95999pt" strokecolor="#000000">
                <v:path arrowok="t"/>
              </v:shape>
            </v:group>
            <v:group style="position:absolute;left:4268;top:8630;width:602;height:2" coordorigin="4268,8630" coordsize="602,2">
              <v:shape style="position:absolute;left:4268;top:8630;width:602;height:2" coordorigin="4268,8630" coordsize="602,0" path="m4268,8630l4870,8630e" filled="false" stroked="true" strokeweight=".95999pt" strokecolor="#000000">
                <v:path arrowok="t"/>
              </v:shape>
            </v:group>
            <v:group style="position:absolute;left:4870;top:8630;width:1065;height:2" coordorigin="4870,8630" coordsize="1065,2">
              <v:shape style="position:absolute;left:4870;top:8630;width:1065;height:2" coordorigin="4870,8630" coordsize="1065,0" path="m4870,8630l5934,8630e" filled="false" stroked="true" strokeweight=".95999pt" strokecolor="#000000">
                <v:path arrowok="t"/>
              </v:shape>
            </v:group>
            <v:group style="position:absolute;left:5934;top:8630;width:602;height:2" coordorigin="5934,8630" coordsize="602,2">
              <v:shape style="position:absolute;left:5934;top:8630;width:602;height:2" coordorigin="5934,8630" coordsize="602,0" path="m5934,8630l6535,8630e" filled="false" stroked="true" strokeweight=".95999pt" strokecolor="#000000">
                <v:path arrowok="t"/>
              </v:shape>
            </v:group>
            <v:group style="position:absolute;left:6535;top:8630;width:635;height:2" coordorigin="6535,8630" coordsize="635,2">
              <v:shape style="position:absolute;left:6535;top:8630;width:635;height:2" coordorigin="6535,8630" coordsize="635,0" path="m6535,8630l7170,8630e" filled="false" stroked="true" strokeweight=".95999pt" strokecolor="#000000">
                <v:path arrowok="t"/>
              </v:shape>
              <v:shape style="position:absolute;left:24;top:19;width:8279;height:8602" type="#_x0000_t75" stroked="false">
                <v:imagedata r:id="rId112" o:title=""/>
              </v:shape>
            </v:group>
            <v:group style="position:absolute;left:7170;top:8630;width:1127;height:2" coordorigin="7170,8630" coordsize="1127,2">
              <v:shape style="position:absolute;left:7170;top:8630;width:1127;height:2" coordorigin="7170,8630" coordsize="1127,0" path="m7170,8630l8297,8630e" filled="false" stroked="true" strokeweight=".95999pt" strokecolor="#000000">
                <v:path arrowok="t"/>
              </v:shape>
              <v:shape style="position:absolute;left:4267;top:213;width:2082;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本期变动增（</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p>
                  </w:txbxContent>
                </v:textbox>
                <w10:wrap type="none"/>
              </v:shape>
              <v:shape style="position:absolute;left:780;top:407;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 </w:t>
                      </w:r>
                    </w:p>
                  </w:txbxContent>
                </v:textbox>
                <w10:wrap type="none"/>
              </v:shape>
              <v:shape style="position:absolute;left:2459;top:4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期初金额</w:t>
                      </w:r>
                    </w:p>
                  </w:txbxContent>
                </v:textbox>
                <w10:wrap type="none"/>
              </v:shape>
              <v:shape style="position:absolute;left:7406;top:4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期末金额</w:t>
                      </w:r>
                    </w:p>
                  </w:txbxContent>
                </v:textbox>
                <w10:wrap type="none"/>
              </v:shape>
              <v:shape style="position:absolute;left:3498;top:622;width:3570;height:180" type="#_x0000_t202" filled="false" stroked="false">
                <v:textbox inset="0,0,0,0">
                  <w:txbxContent>
                    <w:p>
                      <w:pPr>
                        <w:tabs>
                          <w:tab w:pos="926" w:val="left" w:leader="none"/>
                          <w:tab w:pos="1487" w:val="left" w:leader="none"/>
                          <w:tab w:pos="2591" w:val="left" w:leader="none"/>
                          <w:tab w:pos="320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发行新股</w:t>
                        <w:tab/>
                        <w:t>送股</w:t>
                        <w:tab/>
                        <w:t>公积金转股</w:t>
                        <w:tab/>
                        <w:t>其他</w:t>
                        <w:tab/>
                        <w:t>小计</w:t>
                      </w:r>
                    </w:p>
                  </w:txbxContent>
                </v:textbox>
                <w10:wrap type="none"/>
              </v:shape>
              <v:shape style="position:absolute;left:131;top:1031;width:1530;height:601"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．有限售条件股份</w:t>
                      </w:r>
                    </w:p>
                    <w:p>
                      <w:pPr>
                        <w:spacing w:line="245" w:lineRule="exact" w:before="161"/>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国家持股</w:t>
                      </w:r>
                    </w:p>
                  </w:txbxContent>
                </v:textbox>
                <w10:wrap type="none"/>
              </v:shape>
              <v:shape style="position:absolute;left:2522;top:146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93,721,599</w:t>
                      </w:r>
                    </w:p>
                  </w:txbxContent>
                </v:textbox>
                <w10:wrap type="none"/>
              </v:shape>
              <v:shape style="position:absolute;left:7439;top:146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93,721,599</w:t>
                      </w:r>
                    </w:p>
                  </w:txbxContent>
                </v:textbox>
                <w10:wrap type="none"/>
              </v:shape>
              <v:shape style="position:absolute;left:131;top:1852;width:142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国有法人持股</w:t>
                      </w:r>
                    </w:p>
                  </w:txbxContent>
                </v:textbox>
                <w10:wrap type="none"/>
              </v:shape>
              <v:shape style="position:absolute;left:2432;top:187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166,431,971</w:t>
                      </w:r>
                    </w:p>
                  </w:txbxContent>
                </v:textbox>
                <w10:wrap type="none"/>
              </v:shape>
              <v:shape style="position:absolute;left:7349;top:187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166,431,971</w:t>
                      </w:r>
                    </w:p>
                  </w:txbxContent>
                </v:textbox>
                <w10:wrap type="none"/>
              </v:shape>
              <v:shape style="position:absolute;left:131;top:2261;width:142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其他内资持股</w:t>
                      </w:r>
                    </w:p>
                  </w:txbxContent>
                </v:textbox>
                <w10:wrap type="none"/>
              </v:shape>
              <v:shape style="position:absolute;left:2432;top:228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293,900,851</w:t>
                      </w:r>
                    </w:p>
                  </w:txbxContent>
                </v:textbox>
                <w10:wrap type="none"/>
              </v:shape>
              <v:shape style="position:absolute;left:7349;top:228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293,900,851</w:t>
                      </w:r>
                    </w:p>
                  </w:txbxContent>
                </v:textbox>
                <w10:wrap type="none"/>
              </v:shape>
              <v:shape style="position:absolute;left:131;top:2671;width:1080;height:59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w:t>
                      </w:r>
                    </w:p>
                    <w:p>
                      <w:pPr>
                        <w:spacing w:line="240" w:lineRule="auto" w:before="5"/>
                        <w:rPr>
                          <w:rFonts w:ascii="宋体" w:hAnsi="宋体" w:cs="宋体" w:eastAsia="宋体" w:hint="default"/>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境内法人持股</w:t>
                      </w:r>
                    </w:p>
                  </w:txbxContent>
                </v:textbox>
                <w10:wrap type="none"/>
              </v:shape>
              <v:shape style="position:absolute;left:2432;top:310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293,900,851</w:t>
                      </w:r>
                    </w:p>
                  </w:txbxContent>
                </v:textbox>
                <w10:wrap type="none"/>
              </v:shape>
              <v:shape style="position:absolute;left:7349;top:310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293,900,851</w:t>
                      </w:r>
                    </w:p>
                  </w:txbxContent>
                </v:textbox>
                <w10:wrap type="none"/>
              </v:shape>
              <v:shape style="position:absolute;left:131;top:3491;width:1260;height:60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境内自然人持股</w:t>
                      </w:r>
                    </w:p>
                    <w:p>
                      <w:pPr>
                        <w:spacing w:line="240" w:lineRule="auto" w:before="5"/>
                        <w:rPr>
                          <w:rFonts w:ascii="宋体" w:hAnsi="宋体" w:cs="宋体" w:eastAsia="宋体" w:hint="default"/>
                          <w:sz w:val="13"/>
                          <w:szCs w:val="13"/>
                        </w:rPr>
                      </w:pPr>
                    </w:p>
                    <w:p>
                      <w:pPr>
                        <w:spacing w:line="245"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外资持股</w:t>
                      </w:r>
                    </w:p>
                  </w:txbxContent>
                </v:textbox>
                <w10:wrap type="none"/>
              </v:shape>
              <v:shape style="position:absolute;left:2432;top:392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138,479,456</w:t>
                      </w:r>
                    </w:p>
                  </w:txbxContent>
                </v:textbox>
                <w10:wrap type="none"/>
              </v:shape>
              <v:shape style="position:absolute;left:7349;top:392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138,479,456</w:t>
                      </w:r>
                    </w:p>
                  </w:txbxContent>
                </v:textbox>
                <w10:wrap type="none"/>
              </v:shape>
              <v:shape style="position:absolute;left:131;top:4312;width:1080;height:5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w:t>
                      </w:r>
                    </w:p>
                    <w:p>
                      <w:pPr>
                        <w:spacing w:line="240" w:lineRule="auto" w:before="4"/>
                        <w:rPr>
                          <w:rFonts w:ascii="宋体" w:hAnsi="宋体" w:cs="宋体" w:eastAsia="宋体" w:hint="default"/>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境外法人持股</w:t>
                      </w:r>
                    </w:p>
                  </w:txbxContent>
                </v:textbox>
                <w10:wrap type="none"/>
              </v:shape>
              <v:shape style="position:absolute;left:2432;top:474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138,479,456</w:t>
                      </w:r>
                    </w:p>
                  </w:txbxContent>
                </v:textbox>
                <w10:wrap type="none"/>
              </v:shape>
              <v:shape style="position:absolute;left:7349;top:474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138,479,456</w:t>
                      </w:r>
                    </w:p>
                  </w:txbxContent>
                </v:textbox>
                <w10:wrap type="none"/>
              </v:shape>
              <v:shape style="position:absolute;left:131;top:5131;width:1620;height:59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境外自然人持股</w:t>
                      </w:r>
                    </w:p>
                    <w:p>
                      <w:pPr>
                        <w:spacing w:line="240" w:lineRule="auto" w:before="5"/>
                        <w:rPr>
                          <w:rFonts w:ascii="宋体" w:hAnsi="宋体" w:cs="宋体" w:eastAsia="宋体" w:hint="default"/>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有限售条件股份合计</w:t>
                      </w:r>
                    </w:p>
                  </w:txbxContent>
                </v:textbox>
                <w10:wrap type="none"/>
              </v:shape>
              <v:shape style="position:absolute;left:2432;top:556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692,533,877</w:t>
                      </w:r>
                    </w:p>
                  </w:txbxContent>
                </v:textbox>
                <w10:wrap type="none"/>
              </v:shape>
              <v:shape style="position:absolute;left:7349;top:556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692,533,877</w:t>
                      </w:r>
                    </w:p>
                  </w:txbxContent>
                </v:textbox>
                <w10:wrap type="none"/>
              </v:shape>
              <v:shape style="position:absolute;left:131;top:5951;width:1890;height:601"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．无限售条件流通股份</w:t>
                      </w:r>
                    </w:p>
                    <w:p>
                      <w:pPr>
                        <w:spacing w:line="245" w:lineRule="exact" w:before="161"/>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人民币普通股</w:t>
                      </w:r>
                    </w:p>
                  </w:txbxContent>
                </v:textbox>
                <w10:wrap type="none"/>
              </v:shape>
              <v:shape style="position:absolute;left:2432;top:638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251,769,388</w:t>
                      </w:r>
                    </w:p>
                  </w:txbxContent>
                </v:textbox>
                <w10:wrap type="none"/>
              </v:shape>
              <v:shape style="position:absolute;left:7349;top:638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251,769,388</w:t>
                      </w:r>
                    </w:p>
                  </w:txbxContent>
                </v:textbox>
                <w10:wrap type="none"/>
              </v:shape>
              <v:shape style="position:absolute;left:131;top:6772;width:1980;height:141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境内上市的外资股</w:t>
                      </w:r>
                    </w:p>
                    <w:p>
                      <w:pPr>
                        <w:spacing w:before="16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境外上市的外资股</w:t>
                      </w:r>
                    </w:p>
                    <w:p>
                      <w:pPr>
                        <w:spacing w:line="390" w:lineRule="atLeast" w:before="2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其 他</w:t>
                      </w:r>
                      <w:r>
                        <w:rPr>
                          <w:rFonts w:ascii="宋体" w:hAnsi="宋体" w:cs="宋体" w:eastAsia="宋体" w:hint="default"/>
                          <w:w w:val="99"/>
                          <w:sz w:val="18"/>
                          <w:szCs w:val="18"/>
                        </w:rPr>
                        <w:t> </w:t>
                      </w:r>
                      <w:r>
                        <w:rPr>
                          <w:rFonts w:ascii="宋体" w:hAnsi="宋体" w:cs="宋体" w:eastAsia="宋体" w:hint="default"/>
                          <w:w w:val="95"/>
                          <w:sz w:val="18"/>
                          <w:szCs w:val="18"/>
                        </w:rPr>
                        <w:t>无限售条件流通股份合计</w:t>
                      </w:r>
                      <w:r>
                        <w:rPr>
                          <w:rFonts w:ascii="宋体" w:hAnsi="宋体" w:cs="宋体" w:eastAsia="宋体" w:hint="default"/>
                          <w:sz w:val="18"/>
                          <w:szCs w:val="18"/>
                        </w:rPr>
                      </w:r>
                    </w:p>
                  </w:txbxContent>
                </v:textbox>
                <w10:wrap type="none"/>
              </v:shape>
              <v:shape style="position:absolute;left:2432;top:802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251,769,388</w:t>
                      </w:r>
                    </w:p>
                  </w:txbxContent>
                </v:textbox>
                <w10:wrap type="none"/>
              </v:shape>
              <v:shape style="position:absolute;left:7349;top:802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251,769,388</w:t>
                      </w:r>
                    </w:p>
                  </w:txbxContent>
                </v:textbox>
                <w10:wrap type="none"/>
              </v:shape>
              <v:shape style="position:absolute;left:780;top:8411;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 </w:t>
                      </w:r>
                    </w:p>
                  </w:txbxContent>
                </v:textbox>
                <w10:wrap type="none"/>
              </v:shape>
              <v:shape style="position:absolute;left:2432;top:843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944,303,265</w:t>
                      </w:r>
                    </w:p>
                  </w:txbxContent>
                </v:textbox>
                <w10:wrap type="none"/>
              </v:shape>
              <v:shape style="position:absolute;left:7349;top:843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944,303,265</w:t>
                      </w:r>
                    </w:p>
                  </w:txbxContent>
                </v:textbox>
                <w10:wrap type="none"/>
              </v:shape>
            </v:group>
          </v:group>
        </w:pict>
      </w:r>
      <w:r>
        <w:rPr>
          <w:rFonts w:ascii="宋体" w:hAnsi="宋体" w:cs="宋体" w:eastAsia="宋体" w:hint="default"/>
          <w:position w:val="-172"/>
          <w:sz w:val="20"/>
          <w:szCs w:val="20"/>
        </w:rPr>
      </w:r>
    </w:p>
    <w:p>
      <w:pPr>
        <w:spacing w:after="0" w:line="8640" w:lineRule="exact"/>
        <w:rPr>
          <w:rFonts w:ascii="宋体" w:hAnsi="宋体" w:cs="宋体" w:eastAsia="宋体" w:hint="default"/>
          <w:sz w:val="20"/>
          <w:szCs w:val="20"/>
        </w:rPr>
        <w:sectPr>
          <w:pgSz w:w="11900" w:h="16840"/>
          <w:pgMar w:header="0" w:footer="1003" w:top="1540" w:bottom="1200" w:left="0" w:right="1100"/>
        </w:sectPr>
      </w:pPr>
    </w:p>
    <w:p>
      <w:pPr>
        <w:spacing w:line="240" w:lineRule="auto" w:before="10"/>
        <w:rPr>
          <w:rFonts w:ascii="宋体" w:hAnsi="宋体" w:cs="宋体" w:eastAsia="宋体" w:hint="default"/>
          <w:sz w:val="8"/>
          <w:szCs w:val="8"/>
        </w:rPr>
      </w:pPr>
    </w:p>
    <w:p>
      <w:pPr>
        <w:spacing w:before="35"/>
        <w:ind w:left="123" w:right="95" w:firstLine="0"/>
        <w:jc w:val="left"/>
        <w:rPr>
          <w:rFonts w:ascii="宋体" w:hAnsi="宋体" w:cs="宋体" w:eastAsia="宋体" w:hint="default"/>
          <w:sz w:val="21"/>
          <w:szCs w:val="21"/>
        </w:rPr>
      </w:pPr>
      <w:r>
        <w:rPr/>
        <w:pict>
          <v:group style="position:absolute;margin-left:119.88002pt;margin-top:17.133995pt;width:416.65pt;height:82.5pt;mso-position-horizontal-relative:page;mso-position-vertical-relative:paragraph;z-index:-980608" coordorigin="2398,343" coordsize="8333,1650">
            <v:group style="position:absolute;left:2407;top:352;width:2298;height:2" coordorigin="2407,352" coordsize="2298,2">
              <v:shape style="position:absolute;left:2407;top:352;width:2298;height:2" coordorigin="2407,352" coordsize="2298,0" path="m2407,352l4705,352e" filled="false" stroked="true" strokeweight=".95996pt" strokecolor="#000000">
                <v:path arrowok="t"/>
              </v:shape>
            </v:group>
            <v:group style="position:absolute;left:4705;top:352;width:1514;height:2" coordorigin="4705,352" coordsize="1514,2">
              <v:shape style="position:absolute;left:4705;top:352;width:1514;height:2" coordorigin="4705,352" coordsize="1514,0" path="m4705,352l6218,352e" filled="false" stroked="true" strokeweight=".95996pt" strokecolor="#000000">
                <v:path arrowok="t"/>
              </v:shape>
            </v:group>
            <v:group style="position:absolute;left:6218;top:352;width:1362;height:2" coordorigin="6218,352" coordsize="1362,2">
              <v:shape style="position:absolute;left:6218;top:352;width:1362;height:2" coordorigin="6218,352" coordsize="1362,0" path="m6218,352l7580,352e" filled="false" stroked="true" strokeweight=".95996pt" strokecolor="#000000">
                <v:path arrowok="t"/>
              </v:shape>
            </v:group>
            <v:group style="position:absolute;left:7580;top:352;width:1421;height:2" coordorigin="7580,352" coordsize="1421,2">
              <v:shape style="position:absolute;left:7580;top:352;width:1421;height:2" coordorigin="7580,352" coordsize="1421,0" path="m7580,352l9001,352e" filled="false" stroked="true" strokeweight=".95996pt" strokecolor="#000000">
                <v:path arrowok="t"/>
              </v:shape>
            </v:group>
            <v:group style="position:absolute;left:9001;top:352;width:1720;height:2" coordorigin="9001,352" coordsize="1720,2">
              <v:shape style="position:absolute;left:9001;top:352;width:1720;height:2" coordorigin="9001,352" coordsize="1720,0" path="m9001,352l10721,352e" filled="false" stroked="true" strokeweight=".95996pt" strokecolor="#000000">
                <v:path arrowok="t"/>
              </v:shape>
              <v:shape style="position:absolute;left:2407;top:362;width:8322;height:1631" type="#_x0000_t75" stroked="false">
                <v:imagedata r:id="rId113" o:titl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三十四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4"/>
          <w:sz w:val="21"/>
          <w:szCs w:val="21"/>
        </w:rPr>
        <w:t> </w:t>
      </w:r>
      <w:r>
        <w:rPr>
          <w:rFonts w:ascii="宋体" w:hAnsi="宋体" w:cs="宋体" w:eastAsia="宋体" w:hint="default"/>
          <w:sz w:val="21"/>
          <w:szCs w:val="21"/>
        </w:rPr>
        <w:t>资本公积</w:t>
      </w:r>
    </w:p>
    <w:p>
      <w:pPr>
        <w:spacing w:line="240" w:lineRule="auto" w:before="4"/>
        <w:rPr>
          <w:rFonts w:ascii="宋体" w:hAnsi="宋体" w:cs="宋体" w:eastAsia="宋体" w:hint="default"/>
          <w:sz w:val="7"/>
          <w:szCs w:val="7"/>
        </w:rPr>
      </w:pPr>
    </w:p>
    <w:tbl>
      <w:tblPr>
        <w:tblW w:w="0" w:type="auto"/>
        <w:jc w:val="left"/>
        <w:tblInd w:w="732" w:type="dxa"/>
        <w:tblLayout w:type="fixed"/>
        <w:tblCellMar>
          <w:top w:w="0" w:type="dxa"/>
          <w:left w:w="0" w:type="dxa"/>
          <w:bottom w:w="0" w:type="dxa"/>
          <w:right w:w="0" w:type="dxa"/>
        </w:tblCellMar>
        <w:tblLook w:val="01E0"/>
      </w:tblPr>
      <w:tblGrid>
        <w:gridCol w:w="2483"/>
        <w:gridCol w:w="1424"/>
        <w:gridCol w:w="1375"/>
        <w:gridCol w:w="1496"/>
        <w:gridCol w:w="1556"/>
      </w:tblGrid>
      <w:tr>
        <w:trPr>
          <w:trHeight w:val="832" w:hRule="exact"/>
        </w:trPr>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3"/>
              <w:jc w:val="center"/>
              <w:rPr>
                <w:rFonts w:ascii="宋体" w:hAnsi="宋体" w:cs="宋体" w:eastAsia="宋体" w:hint="default"/>
                <w:sz w:val="21"/>
                <w:szCs w:val="21"/>
              </w:rPr>
            </w:pPr>
            <w:r>
              <w:rPr>
                <w:rFonts w:ascii="宋体" w:hAnsi="宋体" w:cs="宋体" w:eastAsia="宋体" w:hint="default"/>
                <w:sz w:val="21"/>
                <w:szCs w:val="21"/>
              </w:rPr>
              <w:t>项    目</w:t>
            </w:r>
          </w:p>
          <w:p>
            <w:pPr>
              <w:pStyle w:val="TableParagraph"/>
              <w:spacing w:line="240" w:lineRule="auto" w:before="134"/>
              <w:ind w:right="47"/>
              <w:jc w:val="center"/>
              <w:rPr>
                <w:rFonts w:ascii="宋体" w:hAnsi="宋体" w:cs="宋体" w:eastAsia="宋体" w:hint="default"/>
                <w:sz w:val="21"/>
                <w:szCs w:val="21"/>
              </w:rPr>
            </w:pPr>
            <w:r>
              <w:rPr>
                <w:rFonts w:ascii="Times New Roman" w:hAnsi="Times New Roman" w:cs="Times New Roman" w:eastAsia="Times New Roman" w:hint="default"/>
                <w:spacing w:val="-6"/>
                <w:sz w:val="21"/>
                <w:szCs w:val="21"/>
              </w:rPr>
              <w:t>1.</w:t>
            </w:r>
            <w:r>
              <w:rPr>
                <w:rFonts w:ascii="宋体" w:hAnsi="宋体" w:cs="宋体" w:eastAsia="宋体" w:hint="default"/>
                <w:spacing w:val="-6"/>
                <w:sz w:val="21"/>
                <w:szCs w:val="21"/>
              </w:rPr>
              <w:t>资本溢价（股本溢价）</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70" w:right="0"/>
              <w:jc w:val="left"/>
              <w:rPr>
                <w:rFonts w:ascii="宋体" w:hAnsi="宋体" w:cs="宋体" w:eastAsia="宋体" w:hint="default"/>
                <w:sz w:val="21"/>
                <w:szCs w:val="21"/>
              </w:rPr>
            </w:pPr>
            <w:r>
              <w:rPr>
                <w:rFonts w:ascii="宋体" w:hAnsi="宋体" w:cs="宋体" w:eastAsia="宋体" w:hint="default"/>
                <w:sz w:val="21"/>
                <w:szCs w:val="21"/>
              </w:rPr>
              <w:t>期初金额</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90" w:right="0"/>
              <w:jc w:val="left"/>
              <w:rPr>
                <w:rFonts w:ascii="Times New Roman" w:hAnsi="Times New Roman" w:cs="Times New Roman" w:eastAsia="Times New Roman" w:hint="default"/>
                <w:sz w:val="21"/>
                <w:szCs w:val="21"/>
              </w:rPr>
            </w:pPr>
            <w:r>
              <w:rPr>
                <w:rFonts w:ascii="Times New Roman"/>
                <w:sz w:val="21"/>
              </w:rPr>
              <w:t>623,419,018</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83"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00"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74" w:right="0"/>
              <w:jc w:val="left"/>
              <w:rPr>
                <w:rFonts w:ascii="宋体" w:hAnsi="宋体" w:cs="宋体" w:eastAsia="宋体" w:hint="default"/>
                <w:sz w:val="21"/>
                <w:szCs w:val="21"/>
              </w:rPr>
            </w:pPr>
            <w:r>
              <w:rPr>
                <w:rFonts w:ascii="宋体" w:hAnsi="宋体" w:cs="宋体" w:eastAsia="宋体" w:hint="default"/>
                <w:sz w:val="21"/>
                <w:szCs w:val="21"/>
              </w:rPr>
              <w:t>期末金额</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397" w:right="0"/>
              <w:jc w:val="left"/>
              <w:rPr>
                <w:rFonts w:ascii="Times New Roman" w:hAnsi="Times New Roman" w:cs="Times New Roman" w:eastAsia="Times New Roman" w:hint="default"/>
                <w:sz w:val="21"/>
                <w:szCs w:val="21"/>
              </w:rPr>
            </w:pPr>
            <w:r>
              <w:rPr>
                <w:rFonts w:ascii="Times New Roman"/>
                <w:sz w:val="21"/>
              </w:rPr>
              <w:t>623,419,018</w:t>
            </w:r>
          </w:p>
        </w:tc>
      </w:tr>
      <w:tr>
        <w:trPr>
          <w:trHeight w:val="410" w:hRule="exact"/>
        </w:trPr>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944"/>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其他资本公积</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82"/>
              <w:jc w:val="right"/>
              <w:rPr>
                <w:rFonts w:ascii="Times New Roman" w:hAnsi="Times New Roman" w:cs="Times New Roman" w:eastAsia="Times New Roman" w:hint="default"/>
                <w:sz w:val="21"/>
                <w:szCs w:val="21"/>
              </w:rPr>
            </w:pPr>
            <w:r>
              <w:rPr>
                <w:rFonts w:ascii="Times New Roman"/>
                <w:spacing w:val="-1"/>
                <w:sz w:val="21"/>
              </w:rPr>
              <w:t>68,700,053</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98"/>
              <w:jc w:val="right"/>
              <w:rPr>
                <w:rFonts w:ascii="Times New Roman" w:hAnsi="Times New Roman" w:cs="Times New Roman" w:eastAsia="Times New Roman" w:hint="default"/>
                <w:sz w:val="21"/>
                <w:szCs w:val="21"/>
              </w:rPr>
            </w:pPr>
            <w:r>
              <w:rPr>
                <w:rFonts w:ascii="Times New Roman"/>
                <w:spacing w:val="-1"/>
                <w:sz w:val="21"/>
              </w:rPr>
              <w:t>71,944</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72"/>
              <w:jc w:val="right"/>
              <w:rPr>
                <w:rFonts w:ascii="Times New Roman" w:hAnsi="Times New Roman" w:cs="Times New Roman" w:eastAsia="Times New Roman" w:hint="default"/>
                <w:sz w:val="21"/>
                <w:szCs w:val="21"/>
              </w:rPr>
            </w:pPr>
            <w:r>
              <w:rPr>
                <w:rFonts w:ascii="Times New Roman"/>
                <w:spacing w:val="-1"/>
                <w:sz w:val="21"/>
              </w:rPr>
              <w:t>45,825,312</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6"/>
              <w:jc w:val="right"/>
              <w:rPr>
                <w:rFonts w:ascii="Times New Roman" w:hAnsi="Times New Roman" w:cs="Times New Roman" w:eastAsia="Times New Roman" w:hint="default"/>
                <w:sz w:val="21"/>
                <w:szCs w:val="21"/>
              </w:rPr>
            </w:pPr>
            <w:r>
              <w:rPr>
                <w:rFonts w:ascii="Times New Roman"/>
                <w:spacing w:val="-1"/>
                <w:sz w:val="21"/>
              </w:rPr>
              <w:t>22,946,685</w:t>
            </w:r>
          </w:p>
        </w:tc>
      </w:tr>
      <w:tr>
        <w:trPr>
          <w:trHeight w:val="340" w:hRule="exact"/>
        </w:trPr>
        <w:tc>
          <w:tcPr>
            <w:tcW w:w="2483"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right="897"/>
              <w:jc w:val="right"/>
              <w:rPr>
                <w:rFonts w:ascii="宋体" w:hAnsi="宋体" w:cs="宋体" w:eastAsia="宋体" w:hint="default"/>
                <w:sz w:val="21"/>
                <w:szCs w:val="21"/>
              </w:rPr>
            </w:pPr>
            <w:r>
              <w:rPr>
                <w:rFonts w:ascii="宋体" w:hAnsi="宋体" w:cs="宋体" w:eastAsia="宋体" w:hint="default"/>
                <w:sz w:val="21"/>
                <w:szCs w:val="21"/>
              </w:rPr>
              <w:t>合    计</w:t>
            </w:r>
          </w:p>
        </w:tc>
        <w:tc>
          <w:tcPr>
            <w:tcW w:w="1424"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182"/>
              <w:jc w:val="right"/>
              <w:rPr>
                <w:rFonts w:ascii="Times New Roman" w:hAnsi="Times New Roman" w:cs="Times New Roman" w:eastAsia="Times New Roman" w:hint="default"/>
                <w:sz w:val="21"/>
                <w:szCs w:val="21"/>
              </w:rPr>
            </w:pPr>
            <w:r>
              <w:rPr>
                <w:rFonts w:ascii="Times New Roman"/>
                <w:spacing w:val="-2"/>
                <w:sz w:val="21"/>
              </w:rPr>
              <w:t>692,119,071</w:t>
            </w:r>
          </w:p>
        </w:tc>
        <w:tc>
          <w:tcPr>
            <w:tcW w:w="1375"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198"/>
              <w:jc w:val="right"/>
              <w:rPr>
                <w:rFonts w:ascii="Times New Roman" w:hAnsi="Times New Roman" w:cs="Times New Roman" w:eastAsia="Times New Roman" w:hint="default"/>
                <w:sz w:val="21"/>
                <w:szCs w:val="21"/>
              </w:rPr>
            </w:pPr>
            <w:r>
              <w:rPr>
                <w:rFonts w:ascii="Times New Roman"/>
                <w:spacing w:val="-1"/>
                <w:sz w:val="21"/>
              </w:rPr>
              <w:t>71,944</w:t>
            </w:r>
          </w:p>
        </w:tc>
        <w:tc>
          <w:tcPr>
            <w:tcW w:w="1496"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272"/>
              <w:jc w:val="right"/>
              <w:rPr>
                <w:rFonts w:ascii="Times New Roman" w:hAnsi="Times New Roman" w:cs="Times New Roman" w:eastAsia="Times New Roman" w:hint="default"/>
                <w:sz w:val="21"/>
                <w:szCs w:val="21"/>
              </w:rPr>
            </w:pPr>
            <w:r>
              <w:rPr>
                <w:rFonts w:ascii="Times New Roman"/>
                <w:spacing w:val="-1"/>
                <w:sz w:val="21"/>
              </w:rPr>
              <w:t>45,825,312</w:t>
            </w:r>
          </w:p>
        </w:tc>
        <w:tc>
          <w:tcPr>
            <w:tcW w:w="1556"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21"/>
                <w:szCs w:val="21"/>
              </w:rPr>
            </w:pPr>
            <w:r>
              <w:rPr>
                <w:rFonts w:ascii="Times New Roman"/>
                <w:spacing w:val="-1"/>
                <w:sz w:val="21"/>
              </w:rPr>
              <w:t>646,365,703</w:t>
            </w:r>
          </w:p>
        </w:tc>
      </w:tr>
    </w:tbl>
    <w:p>
      <w:pPr>
        <w:spacing w:before="83"/>
        <w:ind w:left="855" w:right="95" w:firstLine="0"/>
        <w:jc w:val="left"/>
        <w:rPr>
          <w:rFonts w:ascii="宋体" w:hAnsi="宋体" w:cs="宋体" w:eastAsia="宋体" w:hint="default"/>
          <w:sz w:val="21"/>
          <w:szCs w:val="21"/>
        </w:rPr>
      </w:pPr>
      <w:r>
        <w:rPr>
          <w:rFonts w:ascii="宋体" w:hAnsi="宋体" w:cs="宋体" w:eastAsia="宋体" w:hint="default"/>
          <w:sz w:val="21"/>
          <w:szCs w:val="21"/>
        </w:rPr>
        <w:t>注：本期其他资本公积减少全部为处置可供出售金融资产。</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spacing w:before="0"/>
        <w:ind w:left="123" w:right="95" w:firstLine="0"/>
        <w:jc w:val="left"/>
        <w:rPr>
          <w:rFonts w:ascii="宋体" w:hAnsi="宋体" w:cs="宋体" w:eastAsia="宋体" w:hint="default"/>
          <w:sz w:val="21"/>
          <w:szCs w:val="21"/>
        </w:rPr>
      </w:pPr>
      <w:r>
        <w:rPr/>
        <w:pict>
          <v:group style="position:absolute;margin-left:119.87999pt;margin-top:15.324282pt;width:416.7pt;height:82.6pt;mso-position-horizontal-relative:page;mso-position-vertical-relative:paragraph;z-index:-980584" coordorigin="2398,306" coordsize="8334,1652">
            <v:group style="position:absolute;left:2407;top:316;width:2298;height:2" coordorigin="2407,316" coordsize="2298,2">
              <v:shape style="position:absolute;left:2407;top:316;width:2298;height:2" coordorigin="2407,316" coordsize="2298,0" path="m2407,316l4705,316e" filled="false" stroked="true" strokeweight=".96002pt" strokecolor="#000000">
                <v:path arrowok="t"/>
              </v:shape>
            </v:group>
            <v:group style="position:absolute;left:4705;top:316;width:1568;height:2" coordorigin="4705,316" coordsize="1568,2">
              <v:shape style="position:absolute;left:4705;top:316;width:1568;height:2" coordorigin="4705,316" coordsize="1568,0" path="m4705,316l6272,316e" filled="false" stroked="true" strokeweight=".96002pt" strokecolor="#000000">
                <v:path arrowok="t"/>
              </v:shape>
            </v:group>
            <v:group style="position:absolute;left:6272;top:316;width:1554;height:2" coordorigin="6272,316" coordsize="1554,2">
              <v:shape style="position:absolute;left:6272;top:316;width:1554;height:2" coordorigin="6272,316" coordsize="1554,0" path="m6272,316l7826,316e" filled="false" stroked="true" strokeweight=".96002pt" strokecolor="#000000">
                <v:path arrowok="t"/>
              </v:shape>
            </v:group>
            <v:group style="position:absolute;left:7826;top:316;width:20;height:2" coordorigin="7826,316" coordsize="20,2">
              <v:shape style="position:absolute;left:7826;top:316;width:20;height:2" coordorigin="7826,316" coordsize="20,0" path="m7826,316l7846,316e" filled="false" stroked="true" strokeweight=".96002pt" strokecolor="#000000">
                <v:path arrowok="t"/>
              </v:shape>
            </v:group>
            <v:group style="position:absolute;left:7846;top:316;width:1446;height:2" coordorigin="7846,316" coordsize="1446,2">
              <v:shape style="position:absolute;left:7846;top:316;width:1446;height:2" coordorigin="7846,316" coordsize="1446,0" path="m7846,316l9292,316e" filled="false" stroked="true" strokeweight=".96pt" strokecolor="#000000">
                <v:path arrowok="t"/>
              </v:shape>
            </v:group>
            <v:group style="position:absolute;left:9292;top:316;width:1430;height:2" coordorigin="9292,316" coordsize="1430,2">
              <v:shape style="position:absolute;left:9292;top:316;width:1430;height:2" coordorigin="9292,316" coordsize="1430,0" path="m9292,316l10721,316e" filled="false" stroked="true" strokeweight=".96002pt" strokecolor="#000000">
                <v:path arrowok="t"/>
              </v:shape>
              <v:shape style="position:absolute;left:2407;top:326;width:8324;height:1632" type="#_x0000_t75" stroked="false">
                <v:imagedata r:id="rId114" o:titl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三十五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4"/>
          <w:sz w:val="21"/>
          <w:szCs w:val="21"/>
        </w:rPr>
        <w:t> </w:t>
      </w:r>
      <w:r>
        <w:rPr>
          <w:rFonts w:ascii="宋体" w:hAnsi="宋体" w:cs="宋体" w:eastAsia="宋体" w:hint="default"/>
          <w:sz w:val="21"/>
          <w:szCs w:val="21"/>
        </w:rPr>
        <w:t>盈余公积</w:t>
      </w:r>
    </w:p>
    <w:p>
      <w:pPr>
        <w:spacing w:line="240" w:lineRule="auto" w:before="3"/>
        <w:rPr>
          <w:rFonts w:ascii="宋体" w:hAnsi="宋体" w:cs="宋体" w:eastAsia="宋体" w:hint="default"/>
          <w:sz w:val="7"/>
          <w:szCs w:val="7"/>
        </w:rPr>
      </w:pPr>
    </w:p>
    <w:tbl>
      <w:tblPr>
        <w:tblW w:w="0" w:type="auto"/>
        <w:jc w:val="left"/>
        <w:tblInd w:w="732" w:type="dxa"/>
        <w:tblLayout w:type="fixed"/>
        <w:tblCellMar>
          <w:top w:w="0" w:type="dxa"/>
          <w:left w:w="0" w:type="dxa"/>
          <w:bottom w:w="0" w:type="dxa"/>
          <w:right w:w="0" w:type="dxa"/>
        </w:tblCellMar>
        <w:tblLook w:val="01E0"/>
      </w:tblPr>
      <w:tblGrid>
        <w:gridCol w:w="2132"/>
        <w:gridCol w:w="1876"/>
        <w:gridCol w:w="1532"/>
        <w:gridCol w:w="1344"/>
        <w:gridCol w:w="1451"/>
      </w:tblGrid>
      <w:tr>
        <w:trPr>
          <w:trHeight w:val="832" w:hRule="exact"/>
        </w:trPr>
        <w:tc>
          <w:tcPr>
            <w:tcW w:w="2132" w:type="dxa"/>
            <w:tcBorders>
              <w:top w:val="nil" w:sz="6" w:space="0" w:color="auto"/>
              <w:left w:val="nil" w:sz="6" w:space="0" w:color="auto"/>
              <w:bottom w:val="nil" w:sz="6" w:space="0" w:color="auto"/>
              <w:right w:val="nil" w:sz="6" w:space="0" w:color="auto"/>
            </w:tcBorders>
          </w:tcPr>
          <w:p>
            <w:pPr>
              <w:pStyle w:val="TableParagraph"/>
              <w:spacing w:line="357" w:lineRule="auto" w:before="35"/>
              <w:ind w:left="121" w:right="546" w:firstLine="622"/>
              <w:jc w:val="left"/>
              <w:rPr>
                <w:rFonts w:ascii="宋体" w:hAnsi="宋体" w:cs="宋体" w:eastAsia="宋体" w:hint="default"/>
                <w:sz w:val="21"/>
                <w:szCs w:val="21"/>
              </w:rPr>
            </w:pPr>
            <w:r>
              <w:rPr>
                <w:rFonts w:ascii="宋体" w:hAnsi="宋体" w:cs="宋体" w:eastAsia="宋体" w:hint="default"/>
                <w:sz w:val="21"/>
                <w:szCs w:val="21"/>
              </w:rPr>
              <w:t>项</w:t>
            </w:r>
            <w:r>
              <w:rPr>
                <w:rFonts w:ascii="宋体" w:hAnsi="宋体" w:cs="宋体" w:eastAsia="宋体" w:hint="default"/>
                <w:spacing w:val="105"/>
                <w:sz w:val="21"/>
                <w:szCs w:val="21"/>
              </w:rPr>
              <w:t> </w:t>
            </w:r>
            <w:r>
              <w:rPr>
                <w:rFonts w:ascii="宋体" w:hAnsi="宋体" w:cs="宋体" w:eastAsia="宋体" w:hint="default"/>
                <w:sz w:val="21"/>
                <w:szCs w:val="21"/>
              </w:rPr>
              <w:t>目 法定盈余公积</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48" w:right="0"/>
              <w:jc w:val="left"/>
              <w:rPr>
                <w:rFonts w:ascii="宋体" w:hAnsi="宋体" w:cs="宋体" w:eastAsia="宋体" w:hint="default"/>
                <w:sz w:val="21"/>
                <w:szCs w:val="21"/>
              </w:rPr>
            </w:pPr>
            <w:r>
              <w:rPr>
                <w:rFonts w:ascii="宋体" w:hAnsi="宋体" w:cs="宋体" w:eastAsia="宋体" w:hint="default"/>
                <w:sz w:val="21"/>
                <w:szCs w:val="21"/>
              </w:rPr>
              <w:t>期初金额</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593" w:right="0"/>
              <w:jc w:val="left"/>
              <w:rPr>
                <w:rFonts w:ascii="Times New Roman" w:hAnsi="Times New Roman" w:cs="Times New Roman" w:eastAsia="Times New Roman" w:hint="default"/>
                <w:sz w:val="21"/>
                <w:szCs w:val="21"/>
              </w:rPr>
            </w:pPr>
            <w:r>
              <w:rPr>
                <w:rFonts w:ascii="Times New Roman"/>
                <w:sz w:val="21"/>
              </w:rPr>
              <w:t>263,044,532</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31" w:right="0"/>
              <w:jc w:val="left"/>
              <w:rPr>
                <w:rFonts w:ascii="宋体" w:hAnsi="宋体" w:cs="宋体" w:eastAsia="宋体" w:hint="default"/>
                <w:sz w:val="21"/>
                <w:szCs w:val="21"/>
              </w:rPr>
            </w:pPr>
            <w:r>
              <w:rPr>
                <w:rFonts w:ascii="宋体" w:hAnsi="宋体" w:cs="宋体" w:eastAsia="宋体" w:hint="default"/>
                <w:sz w:val="21"/>
                <w:szCs w:val="21"/>
              </w:rPr>
              <w:t>本期增加</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375" w:right="0"/>
              <w:jc w:val="left"/>
              <w:rPr>
                <w:rFonts w:ascii="Times New Roman" w:hAnsi="Times New Roman" w:cs="Times New Roman" w:eastAsia="Times New Roman" w:hint="default"/>
                <w:sz w:val="21"/>
                <w:szCs w:val="21"/>
              </w:rPr>
            </w:pPr>
            <w:r>
              <w:rPr>
                <w:rFonts w:ascii="Times New Roman"/>
                <w:sz w:val="21"/>
              </w:rPr>
              <w:t>57,274,042</w:t>
            </w: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11"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14" w:right="0"/>
              <w:jc w:val="left"/>
              <w:rPr>
                <w:rFonts w:ascii="宋体" w:hAnsi="宋体" w:cs="宋体" w:eastAsia="宋体" w:hint="default"/>
                <w:sz w:val="21"/>
                <w:szCs w:val="21"/>
              </w:rPr>
            </w:pPr>
            <w:r>
              <w:rPr>
                <w:rFonts w:ascii="宋体" w:hAnsi="宋体" w:cs="宋体" w:eastAsia="宋体" w:hint="default"/>
                <w:sz w:val="21"/>
                <w:szCs w:val="21"/>
              </w:rPr>
              <w:t>期末金额</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292" w:right="0"/>
              <w:jc w:val="left"/>
              <w:rPr>
                <w:rFonts w:ascii="Times New Roman" w:hAnsi="Times New Roman" w:cs="Times New Roman" w:eastAsia="Times New Roman" w:hint="default"/>
                <w:sz w:val="21"/>
                <w:szCs w:val="21"/>
              </w:rPr>
            </w:pPr>
            <w:r>
              <w:rPr>
                <w:rFonts w:ascii="Times New Roman"/>
                <w:sz w:val="21"/>
              </w:rPr>
              <w:t>320,318,574</w:t>
            </w:r>
          </w:p>
        </w:tc>
      </w:tr>
      <w:tr>
        <w:trPr>
          <w:trHeight w:val="410" w:hRule="exact"/>
        </w:trPr>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任意盈余公积</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29"/>
              <w:jc w:val="right"/>
              <w:rPr>
                <w:rFonts w:ascii="Times New Roman" w:hAnsi="Times New Roman" w:cs="Times New Roman" w:eastAsia="Times New Roman" w:hint="default"/>
                <w:sz w:val="21"/>
                <w:szCs w:val="21"/>
              </w:rPr>
            </w:pPr>
            <w:r>
              <w:rPr>
                <w:rFonts w:ascii="Times New Roman"/>
                <w:spacing w:val="-1"/>
                <w:sz w:val="21"/>
              </w:rPr>
              <w:t>154,702,482</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09"/>
              <w:jc w:val="right"/>
              <w:rPr>
                <w:rFonts w:ascii="Times New Roman" w:hAnsi="Times New Roman" w:cs="Times New Roman" w:eastAsia="Times New Roman" w:hint="default"/>
                <w:sz w:val="21"/>
                <w:szCs w:val="21"/>
              </w:rPr>
            </w:pPr>
            <w:r>
              <w:rPr>
                <w:rFonts w:ascii="Times New Roman"/>
                <w:spacing w:val="-1"/>
                <w:sz w:val="21"/>
              </w:rPr>
              <w:t>25,594,319</w:t>
            </w:r>
          </w:p>
        </w:tc>
        <w:tc>
          <w:tcPr>
            <w:tcW w:w="1344" w:type="dxa"/>
            <w:tcBorders>
              <w:top w:val="nil" w:sz="6" w:space="0" w:color="auto"/>
              <w:left w:val="nil" w:sz="6" w:space="0" w:color="auto"/>
              <w:bottom w:val="nil" w:sz="6" w:space="0" w:color="auto"/>
              <w:right w:val="nil" w:sz="6" w:space="0" w:color="auto"/>
            </w:tcBorders>
          </w:tcPr>
          <w:p>
            <w:pP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21"/>
                <w:szCs w:val="21"/>
              </w:rPr>
            </w:pPr>
            <w:r>
              <w:rPr>
                <w:rFonts w:ascii="Times New Roman"/>
                <w:spacing w:val="-1"/>
                <w:sz w:val="21"/>
              </w:rPr>
              <w:t>180,296,801</w:t>
            </w:r>
          </w:p>
        </w:tc>
      </w:tr>
      <w:tr>
        <w:trPr>
          <w:trHeight w:val="340" w:hRule="exact"/>
        </w:trPr>
        <w:tc>
          <w:tcPr>
            <w:tcW w:w="2132"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744" w:right="0"/>
              <w:jc w:val="left"/>
              <w:rPr>
                <w:rFonts w:ascii="宋体" w:hAnsi="宋体" w:cs="宋体" w:eastAsia="宋体" w:hint="default"/>
                <w:sz w:val="21"/>
                <w:szCs w:val="21"/>
              </w:rPr>
            </w:pPr>
            <w:r>
              <w:rPr>
                <w:rFonts w:ascii="宋体" w:hAnsi="宋体" w:cs="宋体" w:eastAsia="宋体" w:hint="default"/>
                <w:sz w:val="21"/>
                <w:szCs w:val="21"/>
              </w:rPr>
              <w:t>合    计</w:t>
            </w:r>
          </w:p>
        </w:tc>
        <w:tc>
          <w:tcPr>
            <w:tcW w:w="1876"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229"/>
              <w:jc w:val="right"/>
              <w:rPr>
                <w:rFonts w:ascii="Times New Roman" w:hAnsi="Times New Roman" w:cs="Times New Roman" w:eastAsia="Times New Roman" w:hint="default"/>
                <w:sz w:val="21"/>
                <w:szCs w:val="21"/>
              </w:rPr>
            </w:pPr>
            <w:r>
              <w:rPr>
                <w:rFonts w:ascii="Times New Roman"/>
                <w:spacing w:val="-1"/>
                <w:sz w:val="21"/>
              </w:rPr>
              <w:t>417,747,014</w:t>
            </w:r>
          </w:p>
        </w:tc>
        <w:tc>
          <w:tcPr>
            <w:tcW w:w="1532"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209"/>
              <w:jc w:val="right"/>
              <w:rPr>
                <w:rFonts w:ascii="Times New Roman" w:hAnsi="Times New Roman" w:cs="Times New Roman" w:eastAsia="Times New Roman" w:hint="default"/>
                <w:sz w:val="21"/>
                <w:szCs w:val="21"/>
              </w:rPr>
            </w:pPr>
            <w:r>
              <w:rPr>
                <w:rFonts w:ascii="Times New Roman"/>
                <w:spacing w:val="-1"/>
                <w:sz w:val="21"/>
              </w:rPr>
              <w:t>82,868,361</w:t>
            </w:r>
          </w:p>
        </w:tc>
        <w:tc>
          <w:tcPr>
            <w:tcW w:w="1344" w:type="dxa"/>
            <w:tcBorders>
              <w:top w:val="nil" w:sz="6" w:space="0" w:color="auto"/>
              <w:left w:val="nil" w:sz="6" w:space="0" w:color="auto"/>
              <w:bottom w:val="single" w:sz="8" w:space="0" w:color="000000"/>
              <w:right w:val="nil" w:sz="6" w:space="0" w:color="auto"/>
            </w:tcBorders>
          </w:tcPr>
          <w:p>
            <w:pPr/>
          </w:p>
        </w:tc>
        <w:tc>
          <w:tcPr>
            <w:tcW w:w="1451"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21"/>
                <w:szCs w:val="21"/>
              </w:rPr>
            </w:pPr>
            <w:r>
              <w:rPr>
                <w:rFonts w:ascii="Times New Roman"/>
                <w:spacing w:val="-1"/>
                <w:sz w:val="21"/>
              </w:rPr>
              <w:t>500,615,375</w:t>
            </w:r>
          </w:p>
        </w:tc>
      </w:tr>
    </w:tbl>
    <w:p>
      <w:pPr>
        <w:spacing w:line="348" w:lineRule="auto" w:before="83"/>
        <w:ind w:left="855" w:right="3895" w:firstLine="0"/>
        <w:jc w:val="left"/>
        <w:rPr>
          <w:rFonts w:ascii="宋体" w:hAnsi="宋体" w:cs="宋体" w:eastAsia="宋体" w:hint="default"/>
          <w:sz w:val="21"/>
          <w:szCs w:val="21"/>
        </w:rPr>
      </w:pPr>
      <w:r>
        <w:rPr>
          <w:rFonts w:ascii="宋体" w:hAnsi="宋体" w:cs="宋体" w:eastAsia="宋体" w:hint="default"/>
          <w:sz w:val="21"/>
          <w:szCs w:val="21"/>
        </w:rPr>
        <w:t>盈余公积说明： 本公司及境内子公司盈余公积的提列政策如下：</w:t>
      </w:r>
    </w:p>
    <w:p>
      <w:pPr>
        <w:spacing w:line="240" w:lineRule="auto" w:before="0"/>
        <w:rPr>
          <w:rFonts w:ascii="宋体" w:hAnsi="宋体" w:cs="宋体" w:eastAsia="宋体" w:hint="default"/>
          <w:sz w:val="20"/>
          <w:szCs w:val="20"/>
        </w:rPr>
      </w:pPr>
    </w:p>
    <w:p>
      <w:pPr>
        <w:tabs>
          <w:tab w:pos="1393" w:val="left" w:leader="none"/>
        </w:tabs>
        <w:spacing w:before="169"/>
        <w:ind w:left="855"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法定盈余公积</w:t>
      </w:r>
    </w:p>
    <w:p>
      <w:pPr>
        <w:spacing w:line="340" w:lineRule="auto" w:before="109"/>
        <w:ind w:left="1397" w:right="189" w:firstLine="0"/>
        <w:jc w:val="left"/>
        <w:rPr>
          <w:rFonts w:ascii="宋体" w:hAnsi="宋体" w:cs="宋体" w:eastAsia="宋体" w:hint="default"/>
          <w:sz w:val="21"/>
          <w:szCs w:val="21"/>
        </w:rPr>
      </w:pPr>
      <w:r>
        <w:rPr>
          <w:rFonts w:ascii="宋体" w:hAnsi="宋体" w:cs="宋体" w:eastAsia="宋体" w:hint="default"/>
          <w:sz w:val="21"/>
          <w:szCs w:val="21"/>
        </w:rPr>
        <w:t>根据中国公司法和本公司及子公司章程，本公司及子公司须分别根据其按企业会计 准则编制的法定账目税后利润（弥补以前年度亏损后）的</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提取法定盈余公积。 当该公积金余额累计达各公司注册资本的</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50%</w:t>
      </w:r>
      <w:r>
        <w:rPr>
          <w:rFonts w:ascii="宋体" w:hAnsi="宋体" w:cs="宋体" w:eastAsia="宋体" w:hint="default"/>
          <w:sz w:val="21"/>
          <w:szCs w:val="21"/>
        </w:rPr>
        <w:t>时可不再提取。 法定盈余公积经批准后，可用来弥补亏损或转增资本，但弥补亏损或转增资本后余 额不得低于各公司注册资本的</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w:t>
      </w:r>
    </w:p>
    <w:p>
      <w:pPr>
        <w:spacing w:line="240" w:lineRule="auto" w:before="5"/>
        <w:rPr>
          <w:rFonts w:ascii="宋体" w:hAnsi="宋体" w:cs="宋体" w:eastAsia="宋体" w:hint="default"/>
          <w:sz w:val="31"/>
          <w:szCs w:val="31"/>
        </w:rPr>
      </w:pPr>
    </w:p>
    <w:p>
      <w:pPr>
        <w:tabs>
          <w:tab w:pos="1393" w:val="left" w:leader="none"/>
        </w:tabs>
        <w:spacing w:before="0"/>
        <w:ind w:left="855" w:right="9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任意盈余公积</w:t>
      </w:r>
    </w:p>
    <w:p>
      <w:pPr>
        <w:spacing w:line="348" w:lineRule="auto" w:before="110"/>
        <w:ind w:left="1397" w:right="95" w:firstLine="0"/>
        <w:jc w:val="left"/>
        <w:rPr>
          <w:rFonts w:ascii="宋体" w:hAnsi="宋体" w:cs="宋体" w:eastAsia="宋体" w:hint="default"/>
          <w:sz w:val="21"/>
          <w:szCs w:val="21"/>
        </w:rPr>
      </w:pPr>
      <w:r>
        <w:rPr>
          <w:rFonts w:ascii="宋体" w:hAnsi="宋体" w:cs="宋体" w:eastAsia="宋体" w:hint="default"/>
          <w:spacing w:val="-1"/>
          <w:sz w:val="21"/>
          <w:szCs w:val="21"/>
        </w:rPr>
        <w:t>任意盈余公积是依照公司章程，由董事会提出预案，经股东大会决议通过后，在提</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取法定盈余公积后计提。</w:t>
      </w:r>
    </w:p>
    <w:p>
      <w:pPr>
        <w:spacing w:line="240" w:lineRule="auto" w:before="0"/>
        <w:rPr>
          <w:rFonts w:ascii="宋体" w:hAnsi="宋体" w:cs="宋体" w:eastAsia="宋体" w:hint="default"/>
          <w:sz w:val="20"/>
          <w:szCs w:val="20"/>
        </w:rPr>
      </w:pPr>
    </w:p>
    <w:p>
      <w:pPr>
        <w:spacing w:before="169"/>
        <w:ind w:left="123" w:right="95" w:firstLine="0"/>
        <w:jc w:val="left"/>
        <w:rPr>
          <w:rFonts w:ascii="宋体" w:hAnsi="宋体" w:cs="宋体" w:eastAsia="宋体" w:hint="default"/>
          <w:sz w:val="21"/>
          <w:szCs w:val="21"/>
        </w:rPr>
      </w:pPr>
      <w:r>
        <w:rPr/>
        <w:pict>
          <v:group style="position:absolute;margin-left:119.880005pt;margin-top:23.770538pt;width:413.35pt;height:123.55pt;mso-position-horizontal-relative:page;mso-position-vertical-relative:paragraph;z-index:-980560" coordorigin="2398,475" coordsize="8267,2471">
            <v:group style="position:absolute;left:2407;top:485;width:4268;height:2" coordorigin="2407,485" coordsize="4268,2">
              <v:shape style="position:absolute;left:2407;top:485;width:4268;height:2" coordorigin="2407,485" coordsize="4268,0" path="m2407,485l6674,485e" filled="false" stroked="true" strokeweight=".95999pt" strokecolor="#000000">
                <v:path arrowok="t"/>
              </v:shape>
            </v:group>
            <v:group style="position:absolute;left:6674;top:485;width:1629;height:2" coordorigin="6674,485" coordsize="1629,2">
              <v:shape style="position:absolute;left:6674;top:485;width:1629;height:2" coordorigin="6674,485" coordsize="1629,0" path="m6674,485l8303,485e" filled="false" stroked="true" strokeweight=".95999pt" strokecolor="#000000">
                <v:path arrowok="t"/>
              </v:shape>
            </v:group>
            <v:group style="position:absolute;left:8303;top:485;width:2350;height:2" coordorigin="8303,485" coordsize="2350,2">
              <v:shape style="position:absolute;left:8303;top:485;width:2350;height:2" coordorigin="8303,485" coordsize="2350,0" path="m8303,485l10652,485e" filled="false" stroked="true" strokeweight=".95999pt" strokecolor="#000000">
                <v:path arrowok="t"/>
              </v:shape>
              <v:shape style="position:absolute;left:2407;top:495;width:8257;height:2452" type="#_x0000_t75" stroked="false">
                <v:imagedata r:id="rId115" o:titl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三十六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3"/>
          <w:sz w:val="21"/>
          <w:szCs w:val="21"/>
        </w:rPr>
        <w:t> </w:t>
      </w:r>
      <w:r>
        <w:rPr>
          <w:rFonts w:ascii="宋体" w:hAnsi="宋体" w:cs="宋体" w:eastAsia="宋体" w:hint="default"/>
          <w:sz w:val="21"/>
          <w:szCs w:val="21"/>
        </w:rPr>
        <w:t>未分配利润</w:t>
      </w:r>
    </w:p>
    <w:p>
      <w:pPr>
        <w:spacing w:line="240" w:lineRule="auto" w:before="3"/>
        <w:rPr>
          <w:rFonts w:ascii="宋体" w:hAnsi="宋体" w:cs="宋体" w:eastAsia="宋体" w:hint="default"/>
          <w:sz w:val="7"/>
          <w:szCs w:val="7"/>
        </w:rPr>
      </w:pPr>
    </w:p>
    <w:tbl>
      <w:tblPr>
        <w:tblW w:w="0" w:type="auto"/>
        <w:jc w:val="left"/>
        <w:tblInd w:w="732" w:type="dxa"/>
        <w:tblLayout w:type="fixed"/>
        <w:tblCellMar>
          <w:top w:w="0" w:type="dxa"/>
          <w:left w:w="0" w:type="dxa"/>
          <w:bottom w:w="0" w:type="dxa"/>
          <w:right w:w="0" w:type="dxa"/>
        </w:tblCellMar>
        <w:tblLook w:val="01E0"/>
      </w:tblPr>
      <w:tblGrid>
        <w:gridCol w:w="4440"/>
        <w:gridCol w:w="1493"/>
        <w:gridCol w:w="2334"/>
      </w:tblGrid>
      <w:tr>
        <w:trPr>
          <w:trHeight w:val="832" w:hRule="exact"/>
        </w:trPr>
        <w:tc>
          <w:tcPr>
            <w:tcW w:w="4440" w:type="dxa"/>
            <w:tcBorders>
              <w:top w:val="nil" w:sz="6" w:space="0" w:color="auto"/>
              <w:left w:val="nil" w:sz="6" w:space="0" w:color="auto"/>
              <w:bottom w:val="nil" w:sz="6" w:space="0" w:color="auto"/>
              <w:right w:val="nil" w:sz="6" w:space="0" w:color="auto"/>
            </w:tcBorders>
          </w:tcPr>
          <w:p>
            <w:pPr>
              <w:pStyle w:val="TableParagraph"/>
              <w:spacing w:line="357" w:lineRule="auto" w:before="35"/>
              <w:ind w:left="121" w:right="1871" w:firstLine="1606"/>
              <w:jc w:val="left"/>
              <w:rPr>
                <w:rFonts w:ascii="宋体" w:hAnsi="宋体" w:cs="宋体" w:eastAsia="宋体" w:hint="default"/>
                <w:sz w:val="21"/>
                <w:szCs w:val="21"/>
              </w:rPr>
            </w:pPr>
            <w:r>
              <w:rPr>
                <w:rFonts w:ascii="宋体" w:hAnsi="宋体" w:cs="宋体" w:eastAsia="宋体" w:hint="default"/>
                <w:sz w:val="21"/>
                <w:szCs w:val="21"/>
              </w:rPr>
              <w:t>项 目 调整前</w:t>
            </w:r>
            <w:r>
              <w:rPr>
                <w:rFonts w:ascii="宋体" w:hAnsi="宋体" w:cs="宋体" w:eastAsia="宋体" w:hint="default"/>
                <w:spacing w:val="-2"/>
                <w:sz w:val="21"/>
                <w:szCs w:val="21"/>
              </w:rPr>
              <w:t> </w:t>
            </w:r>
            <w:r>
              <w:rPr>
                <w:rFonts w:ascii="宋体" w:hAnsi="宋体" w:cs="宋体" w:eastAsia="宋体" w:hint="default"/>
                <w:sz w:val="21"/>
                <w:szCs w:val="21"/>
              </w:rPr>
              <w:t>上年末未分配利润</w:t>
            </w:r>
          </w:p>
        </w:tc>
        <w:tc>
          <w:tcPr>
            <w:tcW w:w="1493" w:type="dxa"/>
            <w:tcBorders>
              <w:top w:val="nil" w:sz="6" w:space="0" w:color="auto"/>
              <w:left w:val="nil" w:sz="6" w:space="0" w:color="auto"/>
              <w:bottom w:val="nil" w:sz="6" w:space="0" w:color="auto"/>
              <w:right w:val="nil" w:sz="6" w:space="0" w:color="auto"/>
            </w:tcBorders>
          </w:tcPr>
          <w:p>
            <w:pPr>
              <w:pStyle w:val="TableParagraph"/>
              <w:tabs>
                <w:tab w:pos="765" w:val="left" w:leader="none"/>
              </w:tabs>
              <w:spacing w:line="240" w:lineRule="auto" w:before="35"/>
              <w:ind w:left="344" w:right="0"/>
              <w:jc w:val="left"/>
              <w:rPr>
                <w:rFonts w:ascii="宋体" w:hAnsi="宋体" w:cs="宋体" w:eastAsia="宋体" w:hint="default"/>
                <w:sz w:val="21"/>
                <w:szCs w:val="21"/>
              </w:rPr>
            </w:pPr>
            <w:r>
              <w:rPr>
                <w:rFonts w:ascii="宋体" w:hAnsi="宋体" w:cs="宋体" w:eastAsia="宋体" w:hint="default"/>
                <w:sz w:val="21"/>
                <w:szCs w:val="21"/>
              </w:rPr>
              <w:t>金</w:t>
              <w:tab/>
              <w:t>额</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59" w:right="0"/>
              <w:jc w:val="left"/>
              <w:rPr>
                <w:rFonts w:ascii="Times New Roman" w:hAnsi="Times New Roman" w:cs="Times New Roman" w:eastAsia="Times New Roman" w:hint="default"/>
                <w:sz w:val="21"/>
                <w:szCs w:val="21"/>
              </w:rPr>
            </w:pPr>
            <w:r>
              <w:rPr>
                <w:rFonts w:ascii="Times New Roman"/>
                <w:sz w:val="21"/>
              </w:rPr>
              <w:t>1,367,404,869</w:t>
            </w:r>
          </w:p>
        </w:tc>
        <w:tc>
          <w:tcPr>
            <w:tcW w:w="233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
              <w:jc w:val="center"/>
              <w:rPr>
                <w:rFonts w:ascii="宋体" w:hAnsi="宋体" w:cs="宋体" w:eastAsia="宋体" w:hint="default"/>
                <w:sz w:val="21"/>
                <w:szCs w:val="21"/>
              </w:rPr>
            </w:pPr>
            <w:r>
              <w:rPr>
                <w:rFonts w:ascii="宋体" w:hAnsi="宋体" w:cs="宋体" w:eastAsia="宋体" w:hint="default"/>
                <w:sz w:val="21"/>
                <w:szCs w:val="21"/>
              </w:rPr>
              <w:t>提取或分配比例</w:t>
            </w:r>
          </w:p>
        </w:tc>
      </w:tr>
      <w:tr>
        <w:trPr>
          <w:trHeight w:val="403" w:hRule="exact"/>
        </w:trPr>
        <w:tc>
          <w:tcPr>
            <w:tcW w:w="444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调整</w:t>
            </w:r>
            <w:r>
              <w:rPr>
                <w:rFonts w:ascii="宋体" w:hAnsi="宋体" w:cs="宋体" w:eastAsia="宋体" w:hint="default"/>
                <w:spacing w:val="5"/>
                <w:sz w:val="21"/>
                <w:szCs w:val="21"/>
              </w:rPr>
              <w:t> </w:t>
            </w:r>
            <w:r>
              <w:rPr>
                <w:rFonts w:ascii="宋体" w:hAnsi="宋体" w:cs="宋体" w:eastAsia="宋体" w:hint="default"/>
                <w:spacing w:val="-7"/>
                <w:sz w:val="21"/>
                <w:szCs w:val="21"/>
              </w:rPr>
              <w:t>年初未分配利润合计数（调增</w:t>
            </w:r>
            <w:r>
              <w:rPr>
                <w:rFonts w:ascii="Times New Roman" w:hAnsi="Times New Roman" w:cs="Times New Roman" w:eastAsia="Times New Roman" w:hint="default"/>
                <w:spacing w:val="-7"/>
                <w:sz w:val="21"/>
                <w:szCs w:val="21"/>
              </w:rPr>
              <w:t>+</w:t>
            </w:r>
            <w:r>
              <w:rPr>
                <w:rFonts w:ascii="宋体" w:hAnsi="宋体" w:cs="宋体" w:eastAsia="宋体" w:hint="default"/>
                <w:spacing w:val="-7"/>
                <w:sz w:val="21"/>
                <w:szCs w:val="21"/>
              </w:rPr>
              <w:t>，调减</w:t>
            </w:r>
            <w:r>
              <w:rPr>
                <w:rFonts w:ascii="Times New Roman" w:hAnsi="Times New Roman" w:cs="Times New Roman" w:eastAsia="Times New Roman" w:hint="default"/>
                <w:spacing w:val="-7"/>
                <w:sz w:val="21"/>
                <w:szCs w:val="21"/>
              </w:rPr>
              <w:t>-</w:t>
            </w:r>
            <w:r>
              <w:rPr>
                <w:rFonts w:ascii="宋体" w:hAnsi="宋体" w:cs="宋体" w:eastAsia="宋体" w:hint="default"/>
                <w:spacing w:val="-7"/>
                <w:sz w:val="21"/>
                <w:szCs w:val="21"/>
              </w:rPr>
              <w:t>）</w:t>
            </w:r>
          </w:p>
        </w:tc>
        <w:tc>
          <w:tcPr>
            <w:tcW w:w="1493" w:type="dxa"/>
            <w:tcBorders>
              <w:top w:val="nil" w:sz="6" w:space="0" w:color="auto"/>
              <w:left w:val="nil" w:sz="6" w:space="0" w:color="auto"/>
              <w:bottom w:val="nil" w:sz="6" w:space="0" w:color="auto"/>
              <w:right w:val="nil" w:sz="6" w:space="0" w:color="auto"/>
            </w:tcBorders>
          </w:tcPr>
          <w:p>
            <w:pPr/>
          </w:p>
        </w:tc>
        <w:tc>
          <w:tcPr>
            <w:tcW w:w="2334" w:type="dxa"/>
            <w:tcBorders>
              <w:top w:val="nil" w:sz="6" w:space="0" w:color="auto"/>
              <w:left w:val="nil" w:sz="6" w:space="0" w:color="auto"/>
              <w:bottom w:val="nil" w:sz="6" w:space="0" w:color="auto"/>
              <w:right w:val="nil" w:sz="6" w:space="0" w:color="auto"/>
            </w:tcBorders>
          </w:tcPr>
          <w:p>
            <w:pPr/>
          </w:p>
        </w:tc>
      </w:tr>
      <w:tr>
        <w:trPr>
          <w:trHeight w:val="417" w:hRule="exact"/>
        </w:trPr>
        <w:tc>
          <w:tcPr>
            <w:tcW w:w="4440"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1" w:right="0"/>
              <w:jc w:val="left"/>
              <w:rPr>
                <w:rFonts w:ascii="宋体" w:hAnsi="宋体" w:cs="宋体" w:eastAsia="宋体" w:hint="default"/>
                <w:sz w:val="21"/>
                <w:szCs w:val="21"/>
              </w:rPr>
            </w:pPr>
            <w:r>
              <w:rPr>
                <w:rFonts w:ascii="宋体" w:hAnsi="宋体" w:cs="宋体" w:eastAsia="宋体" w:hint="default"/>
                <w:sz w:val="21"/>
                <w:szCs w:val="21"/>
              </w:rPr>
              <w:t>调整后</w:t>
            </w:r>
            <w:r>
              <w:rPr>
                <w:rFonts w:ascii="宋体" w:hAnsi="宋体" w:cs="宋体" w:eastAsia="宋体" w:hint="default"/>
                <w:spacing w:val="-2"/>
                <w:sz w:val="21"/>
                <w:szCs w:val="21"/>
              </w:rPr>
              <w:t> </w:t>
            </w:r>
            <w:r>
              <w:rPr>
                <w:rFonts w:ascii="宋体" w:hAnsi="宋体" w:cs="宋体" w:eastAsia="宋体" w:hint="default"/>
                <w:sz w:val="21"/>
                <w:szCs w:val="21"/>
              </w:rPr>
              <w:t>年初未分配利润</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23"/>
              <w:jc w:val="right"/>
              <w:rPr>
                <w:rFonts w:ascii="Times New Roman" w:hAnsi="Times New Roman" w:cs="Times New Roman" w:eastAsia="Times New Roman" w:hint="default"/>
                <w:sz w:val="21"/>
                <w:szCs w:val="21"/>
              </w:rPr>
            </w:pPr>
            <w:r>
              <w:rPr>
                <w:rFonts w:ascii="Times New Roman"/>
                <w:spacing w:val="-1"/>
                <w:sz w:val="21"/>
              </w:rPr>
              <w:t>1,367,404,869</w:t>
            </w:r>
          </w:p>
        </w:tc>
        <w:tc>
          <w:tcPr>
            <w:tcW w:w="2334" w:type="dxa"/>
            <w:tcBorders>
              <w:top w:val="nil" w:sz="6" w:space="0" w:color="auto"/>
              <w:left w:val="nil" w:sz="6" w:space="0" w:color="auto"/>
              <w:bottom w:val="nil" w:sz="6" w:space="0" w:color="auto"/>
              <w:right w:val="nil" w:sz="6" w:space="0" w:color="auto"/>
            </w:tcBorders>
          </w:tcPr>
          <w:p>
            <w:pPr/>
          </w:p>
        </w:tc>
      </w:tr>
      <w:tr>
        <w:trPr>
          <w:trHeight w:val="410" w:hRule="exact"/>
        </w:trPr>
        <w:tc>
          <w:tcPr>
            <w:tcW w:w="444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加：本期归属于母公司所有者的净利润</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24"/>
              <w:jc w:val="right"/>
              <w:rPr>
                <w:rFonts w:ascii="Times New Roman" w:hAnsi="Times New Roman" w:cs="Times New Roman" w:eastAsia="Times New Roman" w:hint="default"/>
                <w:sz w:val="21"/>
                <w:szCs w:val="21"/>
              </w:rPr>
            </w:pPr>
            <w:r>
              <w:rPr>
                <w:rFonts w:ascii="Times New Roman"/>
                <w:spacing w:val="-1"/>
                <w:sz w:val="21"/>
              </w:rPr>
              <w:t>640,564,034</w:t>
            </w:r>
          </w:p>
        </w:tc>
        <w:tc>
          <w:tcPr>
            <w:tcW w:w="2334" w:type="dxa"/>
            <w:tcBorders>
              <w:top w:val="nil" w:sz="6" w:space="0" w:color="auto"/>
              <w:left w:val="nil" w:sz="6" w:space="0" w:color="auto"/>
              <w:bottom w:val="nil" w:sz="6" w:space="0" w:color="auto"/>
              <w:right w:val="nil" w:sz="6" w:space="0" w:color="auto"/>
            </w:tcBorders>
          </w:tcPr>
          <w:p>
            <w:pPr/>
          </w:p>
        </w:tc>
      </w:tr>
      <w:tr>
        <w:trPr>
          <w:trHeight w:val="340" w:hRule="exact"/>
        </w:trPr>
        <w:tc>
          <w:tcPr>
            <w:tcW w:w="4440"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1493"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124"/>
              <w:jc w:val="right"/>
              <w:rPr>
                <w:rFonts w:ascii="Times New Roman" w:hAnsi="Times New Roman" w:cs="Times New Roman" w:eastAsia="Times New Roman" w:hint="default"/>
                <w:sz w:val="21"/>
                <w:szCs w:val="21"/>
              </w:rPr>
            </w:pPr>
            <w:r>
              <w:rPr>
                <w:rFonts w:ascii="Times New Roman"/>
                <w:spacing w:val="-1"/>
                <w:sz w:val="21"/>
              </w:rPr>
              <w:t>57,274,042</w:t>
            </w:r>
          </w:p>
        </w:tc>
        <w:tc>
          <w:tcPr>
            <w:tcW w:w="2334"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17" w:right="0"/>
              <w:jc w:val="center"/>
              <w:rPr>
                <w:rFonts w:ascii="宋体" w:hAnsi="宋体" w:cs="宋体" w:eastAsia="宋体" w:hint="default"/>
                <w:sz w:val="21"/>
                <w:szCs w:val="21"/>
              </w:rPr>
            </w:pPr>
            <w:r>
              <w:rPr>
                <w:rFonts w:ascii="宋体" w:hAnsi="宋体" w:cs="宋体" w:eastAsia="宋体" w:hint="default"/>
                <w:sz w:val="21"/>
                <w:szCs w:val="21"/>
              </w:rPr>
              <w:t>参见附注五（三十五）</w:t>
            </w:r>
          </w:p>
        </w:tc>
      </w:tr>
    </w:tbl>
    <w:p>
      <w:pPr>
        <w:spacing w:after="0" w:line="240" w:lineRule="auto"/>
        <w:jc w:val="center"/>
        <w:rPr>
          <w:rFonts w:ascii="宋体" w:hAnsi="宋体" w:cs="宋体" w:eastAsia="宋体" w:hint="default"/>
          <w:sz w:val="21"/>
          <w:szCs w:val="21"/>
        </w:rPr>
        <w:sectPr>
          <w:pgSz w:w="11900" w:h="16840"/>
          <w:pgMar w:header="0" w:footer="1003" w:top="1540" w:bottom="1200" w:left="1660" w:right="1060"/>
        </w:sectPr>
      </w:pPr>
    </w:p>
    <w:p>
      <w:pPr>
        <w:spacing w:line="240" w:lineRule="auto" w:before="4"/>
        <w:rPr>
          <w:rFonts w:ascii="宋体" w:hAnsi="宋体" w:cs="宋体" w:eastAsia="宋体" w:hint="default"/>
          <w:sz w:val="10"/>
          <w:szCs w:val="10"/>
        </w:rPr>
      </w:pPr>
    </w:p>
    <w:tbl>
      <w:tblPr>
        <w:tblW w:w="0" w:type="auto"/>
        <w:jc w:val="left"/>
        <w:tblInd w:w="2838" w:type="dxa"/>
        <w:tblLayout w:type="fixed"/>
        <w:tblCellMar>
          <w:top w:w="0" w:type="dxa"/>
          <w:left w:w="0" w:type="dxa"/>
          <w:bottom w:w="0" w:type="dxa"/>
          <w:right w:w="0" w:type="dxa"/>
        </w:tblCellMar>
        <w:tblLook w:val="01E0"/>
      </w:tblPr>
      <w:tblGrid>
        <w:gridCol w:w="1859"/>
        <w:gridCol w:w="1371"/>
        <w:gridCol w:w="2256"/>
        <w:gridCol w:w="2261"/>
      </w:tblGrid>
      <w:tr>
        <w:trPr>
          <w:trHeight w:val="832" w:hRule="exact"/>
        </w:trPr>
        <w:tc>
          <w:tcPr>
            <w:tcW w:w="1859" w:type="dxa"/>
            <w:tcBorders>
              <w:top w:val="nil" w:sz="6" w:space="0" w:color="auto"/>
              <w:left w:val="nil" w:sz="6" w:space="0" w:color="auto"/>
              <w:bottom w:val="nil" w:sz="6" w:space="0" w:color="auto"/>
              <w:right w:val="nil" w:sz="6" w:space="0" w:color="auto"/>
            </w:tcBorders>
          </w:tcPr>
          <w:p>
            <w:pPr>
              <w:pStyle w:val="TableParagraph"/>
              <w:spacing w:line="357" w:lineRule="auto" w:before="35"/>
              <w:ind w:left="35" w:right="50" w:firstLine="1246"/>
              <w:jc w:val="left"/>
              <w:rPr>
                <w:rFonts w:ascii="宋体" w:hAnsi="宋体" w:cs="宋体" w:eastAsia="宋体" w:hint="default"/>
                <w:sz w:val="21"/>
                <w:szCs w:val="21"/>
              </w:rPr>
            </w:pPr>
            <w:r>
              <w:rPr>
                <w:rFonts w:ascii="宋体" w:hAnsi="宋体" w:cs="宋体" w:eastAsia="宋体" w:hint="default"/>
                <w:sz w:val="21"/>
                <w:szCs w:val="21"/>
              </w:rPr>
              <w:t>项   提取任意盈余公积</w:t>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 w:right="0"/>
              <w:jc w:val="left"/>
              <w:rPr>
                <w:rFonts w:ascii="宋体" w:hAnsi="宋体" w:cs="宋体" w:eastAsia="宋体" w:hint="default"/>
                <w:sz w:val="21"/>
                <w:szCs w:val="21"/>
              </w:rPr>
            </w:pPr>
            <w:r>
              <w:rPr>
                <w:rFonts w:ascii="宋体" w:hAnsi="宋体" w:cs="宋体" w:eastAsia="宋体" w:hint="default"/>
                <w:sz w:val="21"/>
                <w:szCs w:val="21"/>
              </w:rPr>
              <w:t>目</w:t>
            </w:r>
          </w:p>
        </w:tc>
        <w:tc>
          <w:tcPr>
            <w:tcW w:w="2256" w:type="dxa"/>
            <w:tcBorders>
              <w:top w:val="nil" w:sz="6" w:space="0" w:color="auto"/>
              <w:left w:val="nil" w:sz="6" w:space="0" w:color="auto"/>
              <w:bottom w:val="nil" w:sz="6" w:space="0" w:color="auto"/>
              <w:right w:val="nil" w:sz="6" w:space="0" w:color="auto"/>
            </w:tcBorders>
          </w:tcPr>
          <w:p>
            <w:pPr>
              <w:pStyle w:val="TableParagraph"/>
              <w:tabs>
                <w:tab w:pos="1529" w:val="left" w:leader="none"/>
              </w:tabs>
              <w:spacing w:line="240" w:lineRule="auto" w:before="35"/>
              <w:ind w:left="1108" w:right="0"/>
              <w:jc w:val="left"/>
              <w:rPr>
                <w:rFonts w:ascii="宋体" w:hAnsi="宋体" w:cs="宋体" w:eastAsia="宋体" w:hint="default"/>
                <w:sz w:val="21"/>
                <w:szCs w:val="21"/>
              </w:rPr>
            </w:pPr>
            <w:r>
              <w:rPr>
                <w:rFonts w:ascii="宋体" w:hAnsi="宋体" w:cs="宋体" w:eastAsia="宋体" w:hint="default"/>
                <w:sz w:val="21"/>
                <w:szCs w:val="21"/>
              </w:rPr>
              <w:t>金</w:t>
              <w:tab/>
              <w:t>额</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184" w:right="0"/>
              <w:jc w:val="left"/>
              <w:rPr>
                <w:rFonts w:ascii="Times New Roman" w:hAnsi="Times New Roman" w:cs="Times New Roman" w:eastAsia="Times New Roman" w:hint="default"/>
                <w:sz w:val="21"/>
                <w:szCs w:val="21"/>
              </w:rPr>
            </w:pPr>
            <w:r>
              <w:rPr>
                <w:rFonts w:ascii="Times New Roman"/>
                <w:sz w:val="21"/>
              </w:rPr>
              <w:t>25,594,319</w:t>
            </w:r>
          </w:p>
        </w:tc>
        <w:tc>
          <w:tcPr>
            <w:tcW w:w="2261" w:type="dxa"/>
            <w:tcBorders>
              <w:top w:val="nil" w:sz="6" w:space="0" w:color="auto"/>
              <w:left w:val="nil" w:sz="6" w:space="0" w:color="auto"/>
              <w:bottom w:val="nil" w:sz="6" w:space="0" w:color="auto"/>
              <w:right w:val="nil" w:sz="6" w:space="0" w:color="auto"/>
            </w:tcBorders>
          </w:tcPr>
          <w:p>
            <w:pPr>
              <w:pStyle w:val="TableParagraph"/>
              <w:spacing w:line="357" w:lineRule="auto" w:before="35"/>
              <w:ind w:left="126" w:right="33" w:firstLine="296"/>
              <w:jc w:val="left"/>
              <w:rPr>
                <w:rFonts w:ascii="宋体" w:hAnsi="宋体" w:cs="宋体" w:eastAsia="宋体" w:hint="default"/>
                <w:sz w:val="21"/>
                <w:szCs w:val="21"/>
              </w:rPr>
            </w:pPr>
            <w:r>
              <w:rPr>
                <w:rFonts w:ascii="宋体" w:hAnsi="宋体" w:cs="宋体" w:eastAsia="宋体" w:hint="default"/>
                <w:sz w:val="21"/>
                <w:szCs w:val="21"/>
              </w:rPr>
              <w:t>提取或分配比例 参见附注五（三十五）</w:t>
            </w:r>
          </w:p>
        </w:tc>
      </w:tr>
      <w:tr>
        <w:trPr>
          <w:trHeight w:val="397" w:hRule="exact"/>
        </w:trPr>
        <w:tc>
          <w:tcPr>
            <w:tcW w:w="185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1371" w:type="dxa"/>
            <w:tcBorders>
              <w:top w:val="nil" w:sz="6" w:space="0" w:color="auto"/>
              <w:left w:val="nil" w:sz="6" w:space="0" w:color="auto"/>
              <w:bottom w:val="nil" w:sz="6" w:space="0" w:color="auto"/>
              <w:right w:val="nil" w:sz="6" w:space="0" w:color="auto"/>
            </w:tcBorders>
          </w:tcPr>
          <w:p>
            <w:pPr/>
          </w:p>
        </w:tc>
        <w:tc>
          <w:tcPr>
            <w:tcW w:w="2256" w:type="dxa"/>
            <w:tcBorders>
              <w:top w:val="nil" w:sz="6" w:space="0" w:color="auto"/>
              <w:left w:val="nil" w:sz="6" w:space="0" w:color="auto"/>
              <w:bottom w:val="nil" w:sz="6" w:space="0" w:color="auto"/>
              <w:right w:val="nil" w:sz="6" w:space="0" w:color="auto"/>
            </w:tcBorders>
          </w:tcPr>
          <w:p>
            <w:pPr/>
          </w:p>
        </w:tc>
        <w:tc>
          <w:tcPr>
            <w:tcW w:w="2261"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4"/>
          <w:szCs w:val="14"/>
        </w:rPr>
      </w:pPr>
    </w:p>
    <w:p>
      <w:pPr>
        <w:spacing w:before="35"/>
        <w:ind w:left="0" w:right="4458" w:firstLine="0"/>
        <w:jc w:val="center"/>
        <w:rPr>
          <w:rFonts w:ascii="宋体" w:hAnsi="宋体" w:cs="宋体" w:eastAsia="宋体" w:hint="default"/>
          <w:sz w:val="21"/>
          <w:szCs w:val="21"/>
        </w:rPr>
      </w:pPr>
      <w:r>
        <w:rPr/>
        <w:pict>
          <v:group style="position:absolute;margin-left:88.140007pt;margin-top:-127.405983pt;width:445.35pt;height:104.55pt;mso-position-horizontal-relative:page;mso-position-vertical-relative:paragraph;z-index:-979480" coordorigin="1763,-2548" coordsize="8907,2091">
            <v:group style="position:absolute;left:1768;top:-2543;width:8877;height:2" coordorigin="1768,-2543" coordsize="8877,2">
              <v:shape style="position:absolute;left:1768;top:-2543;width:8877;height:2" coordorigin="1768,-2543" coordsize="8877,0" path="m1768,-2543l10644,-2543e" filled="false" stroked="true" strokeweight=".47998pt" strokecolor="#000000">
                <v:path arrowok="t"/>
              </v:shape>
            </v:group>
            <v:group style="position:absolute;left:2407;top:-2529;width:4268;height:2" coordorigin="2407,-2529" coordsize="4268,2">
              <v:shape style="position:absolute;left:2407;top:-2529;width:4268;height:2" coordorigin="2407,-2529" coordsize="4268,0" path="m2407,-2529l6674,-2529e" filled="false" stroked="true" strokeweight=".96002pt" strokecolor="#000000">
                <v:path arrowok="t"/>
              </v:shape>
            </v:group>
            <v:group style="position:absolute;left:6674;top:-2529;width:1629;height:2" coordorigin="6674,-2529" coordsize="1629,2">
              <v:shape style="position:absolute;left:6674;top:-2529;width:1629;height:2" coordorigin="6674,-2529" coordsize="1629,0" path="m6674,-2529l8303,-2529e" filled="false" stroked="true" strokeweight=".96002pt" strokecolor="#000000">
                <v:path arrowok="t"/>
              </v:shape>
            </v:group>
            <v:group style="position:absolute;left:8303;top:-2529;width:2350;height:2" coordorigin="8303,-2529" coordsize="2350,2">
              <v:shape style="position:absolute;left:8303;top:-2529;width:2350;height:2" coordorigin="8303,-2529" coordsize="2350,0" path="m8303,-2529l10652,-2529e" filled="false" stroked="true" strokeweight=".96002pt" strokecolor="#000000">
                <v:path arrowok="t"/>
              </v:shape>
            </v:group>
            <v:group style="position:absolute;left:2393;top:-467;width:4282;height:2" coordorigin="2393,-467" coordsize="4282,2">
              <v:shape style="position:absolute;left:2393;top:-467;width:4282;height:2" coordorigin="2393,-467" coordsize="4282,0" path="m2393,-467l6674,-467e" filled="false" stroked="true" strokeweight=".96002pt" strokecolor="#000000">
                <v:path arrowok="t"/>
              </v:shape>
            </v:group>
            <v:group style="position:absolute;left:6674;top:-467;width:1629;height:2" coordorigin="6674,-467" coordsize="1629,2">
              <v:shape style="position:absolute;left:6674;top:-467;width:1629;height:2" coordorigin="6674,-467" coordsize="1629,0" path="m6674,-467l8303,-467e" filled="false" stroked="true" strokeweight=".96002pt" strokecolor="#000000">
                <v:path arrowok="t"/>
              </v:shape>
              <v:shape style="position:absolute;left:2407;top:-2519;width:8257;height:2042" type="#_x0000_t75" stroked="false">
                <v:imagedata r:id="rId116" o:title=""/>
              </v:shape>
            </v:group>
            <v:group style="position:absolute;left:8303;top:-467;width:2357;height:2" coordorigin="8303,-467" coordsize="2357,2">
              <v:shape style="position:absolute;left:8303;top:-467;width:2357;height:2" coordorigin="8303,-467" coordsize="2357,0" path="m8303,-467l10660,-467e" filled="false" stroked="true" strokeweight=".96002pt" strokecolor="#000000">
                <v:path arrowok="t"/>
              </v:shape>
              <v:shape style="position:absolute;left:2514;top:-1130;width:2460;height:620" type="#_x0000_t202" filled="false" stroked="false">
                <v:textbox inset="0,0,0,0">
                  <w:txbxContent>
                    <w:p>
                      <w:pPr>
                        <w:spacing w:line="210" w:lineRule="exact" w:before="0"/>
                        <w:ind w:left="359" w:right="0" w:firstLine="0"/>
                        <w:jc w:val="left"/>
                        <w:rPr>
                          <w:rFonts w:ascii="宋体" w:hAnsi="宋体" w:cs="宋体" w:eastAsia="宋体" w:hint="default"/>
                          <w:sz w:val="21"/>
                          <w:szCs w:val="21"/>
                        </w:rPr>
                      </w:pPr>
                      <w:r>
                        <w:rPr>
                          <w:rFonts w:ascii="宋体" w:hAnsi="宋体" w:cs="宋体" w:eastAsia="宋体" w:hint="default"/>
                          <w:sz w:val="21"/>
                          <w:szCs w:val="21"/>
                        </w:rPr>
                        <w:t>转作股本的普通股股利</w:t>
                      </w:r>
                    </w:p>
                    <w:p>
                      <w:pPr>
                        <w:spacing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期末未分配利润</w:t>
                      </w:r>
                    </w:p>
                  </w:txbxContent>
                </v:textbox>
                <w10:wrap type="none"/>
              </v:shape>
              <v:shape style="position:absolute;left:6992;top:-695;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1,925,100,542</w:t>
                      </w:r>
                    </w:p>
                  </w:txbxContent>
                </v:textbox>
                <w10:wrap type="non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三十七</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7"/>
          <w:sz w:val="21"/>
          <w:szCs w:val="21"/>
        </w:rPr>
        <w:t> </w:t>
      </w:r>
      <w:r>
        <w:rPr>
          <w:rFonts w:ascii="宋体" w:hAnsi="宋体" w:cs="宋体" w:eastAsia="宋体" w:hint="default"/>
          <w:sz w:val="21"/>
          <w:szCs w:val="21"/>
        </w:rPr>
        <w:t>营业收入及营业成本</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538" w:val="left" w:leader="none"/>
        </w:tabs>
        <w:spacing w:before="0"/>
        <w:ind w:left="0" w:right="4364"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营业收入</w:t>
      </w:r>
    </w:p>
    <w:p>
      <w:pPr>
        <w:spacing w:line="1260" w:lineRule="exact"/>
        <w:ind w:left="2383"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14.3pt;height:63pt;mso-position-horizontal-relative:char;mso-position-vertical-relative:line" coordorigin="0,0" coordsize="8286,1260">
            <v:group style="position:absolute;left:24;top:10;width:3783;height:2" coordorigin="24,10" coordsize="3783,2">
              <v:shape style="position:absolute;left:24;top:10;width:3783;height:2" coordorigin="24,10" coordsize="3783,0" path="m24,10l3806,10e" filled="false" stroked="true" strokeweight=".95996pt" strokecolor="#000000">
                <v:path arrowok="t"/>
              </v:shape>
            </v:group>
            <v:group style="position:absolute;left:3806;top:10;width:20;height:2" coordorigin="3806,10" coordsize="20,2">
              <v:shape style="position:absolute;left:3806;top:10;width:20;height:2" coordorigin="3806,10" coordsize="20,0" path="m3806,10l3826,10e" filled="false" stroked="true" strokeweight=".95996pt" strokecolor="#000000">
                <v:path arrowok="t"/>
              </v:shape>
            </v:group>
            <v:group style="position:absolute;left:3826;top:10;width:2264;height:2" coordorigin="3826,10" coordsize="2264,2">
              <v:shape style="position:absolute;left:3826;top:10;width:2264;height:2" coordorigin="3826,10" coordsize="2264,0" path="m3826,10l6089,10e" filled="false" stroked="true" strokeweight=".96pt" strokecolor="#000000">
                <v:path arrowok="t"/>
              </v:shape>
            </v:group>
            <v:group style="position:absolute;left:6089;top:10;width:2181;height:2" coordorigin="6089,10" coordsize="2181,2">
              <v:shape style="position:absolute;left:6089;top:10;width:2181;height:2" coordorigin="6089,10" coordsize="2181,0" path="m6089,10l8269,10e" filled="false" stroked="true" strokeweight=".95996pt" strokecolor="#000000">
                <v:path arrowok="t"/>
              </v:shape>
            </v:group>
            <v:group style="position:absolute;left:10;top:1250;width:3797;height:2" coordorigin="10,1250" coordsize="3797,2">
              <v:shape style="position:absolute;left:10;top:1250;width:3797;height:2" coordorigin="10,1250" coordsize="3797,0" path="m10,1250l3806,1250e" filled="false" stroked="true" strokeweight=".96002pt" strokecolor="#000000">
                <v:path arrowok="t"/>
              </v:shape>
            </v:group>
            <v:group style="position:absolute;left:3806;top:1250;width:20;height:2" coordorigin="3806,1250" coordsize="20,2">
              <v:shape style="position:absolute;left:3806;top:1250;width:20;height:2" coordorigin="3806,1250" coordsize="20,0" path="m3806,1250l3826,1250e" filled="false" stroked="true" strokeweight=".96002pt" strokecolor="#000000">
                <v:path arrowok="t"/>
              </v:shape>
            </v:group>
            <v:group style="position:absolute;left:3826;top:1250;width:2264;height:2" coordorigin="3826,1250" coordsize="2264,2">
              <v:shape style="position:absolute;left:3826;top:1250;width:2264;height:2" coordorigin="3826,1250" coordsize="2264,0" path="m3826,1250l6089,1250e" filled="false" stroked="true" strokeweight=".96pt" strokecolor="#000000">
                <v:path arrowok="t"/>
              </v:shape>
              <v:shape style="position:absolute;left:24;top:19;width:8254;height:1222" type="#_x0000_t75" stroked="false">
                <v:imagedata r:id="rId117" o:title=""/>
              </v:shape>
            </v:group>
            <v:group style="position:absolute;left:6089;top:1250;width:2188;height:2" coordorigin="6089,1250" coordsize="2188,2">
              <v:shape style="position:absolute;left:6089;top:1250;width:2188;height:2" coordorigin="6089,1250" coordsize="2188,0" path="m6089,1250l8276,1250e" filled="false" stroked="true" strokeweight=".96002pt" strokecolor="#000000">
                <v:path arrowok="t"/>
              </v:shape>
              <v:shape style="position:absolute;left:1496;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    目</w:t>
                      </w:r>
                    </w:p>
                  </w:txbxContent>
                </v:textbox>
                <w10:wrap type="none"/>
              </v:shape>
              <v:shape style="position:absolute;left:4427;top:178;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本期发生额</w:t>
                      </w:r>
                    </w:p>
                  </w:txbxContent>
                </v:textbox>
                <w10:wrap type="none"/>
              </v:shape>
              <v:shape style="position:absolute;left:6660;top:178;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上期发生额</w:t>
                      </w:r>
                    </w:p>
                  </w:txbxContent>
                </v:textbox>
                <w10:wrap type="none"/>
              </v:shape>
              <v:shape style="position:absolute;left:131;top:588;width:840;height:62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营业收入</w:t>
                      </w:r>
                    </w:p>
                    <w:p>
                      <w:pPr>
                        <w:spacing w:before="135"/>
                        <w:ind w:left="0" w:right="0" w:firstLine="0"/>
                        <w:jc w:val="left"/>
                        <w:rPr>
                          <w:rFonts w:ascii="宋体" w:hAnsi="宋体" w:cs="宋体" w:eastAsia="宋体" w:hint="default"/>
                          <w:sz w:val="21"/>
                          <w:szCs w:val="21"/>
                        </w:rPr>
                      </w:pPr>
                      <w:r>
                        <w:rPr>
                          <w:rFonts w:ascii="宋体" w:hAnsi="宋体" w:cs="宋体" w:eastAsia="宋体" w:hint="default"/>
                          <w:sz w:val="21"/>
                          <w:szCs w:val="21"/>
                        </w:rPr>
                        <w:t>营业成本</w:t>
                      </w:r>
                    </w:p>
                  </w:txbxContent>
                </v:textbox>
                <w10:wrap type="none"/>
              </v:shape>
              <v:shape style="position:absolute;left:4778;top:613;width:1208;height:621"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4,166,055,393</w:t>
                      </w:r>
                    </w:p>
                    <w:p>
                      <w:pPr>
                        <w:spacing w:line="237" w:lineRule="exact" w:before="169"/>
                        <w:ind w:left="7" w:right="0" w:firstLine="0"/>
                        <w:jc w:val="left"/>
                        <w:rPr>
                          <w:rFonts w:ascii="Times New Roman" w:hAnsi="Times New Roman" w:cs="Times New Roman" w:eastAsia="Times New Roman" w:hint="default"/>
                          <w:sz w:val="21"/>
                          <w:szCs w:val="21"/>
                        </w:rPr>
                      </w:pPr>
                      <w:r>
                        <w:rPr>
                          <w:rFonts w:ascii="Times New Roman"/>
                          <w:spacing w:val="-1"/>
                          <w:sz w:val="21"/>
                        </w:rPr>
                        <w:t>2,711,973,065</w:t>
                      </w:r>
                    </w:p>
                  </w:txbxContent>
                </v:textbox>
                <w10:wrap type="none"/>
              </v:shape>
              <v:shape style="position:absolute;left:6961;top:613;width:1209;height:621" type="#_x0000_t202" filled="false" stroked="false">
                <v:textbox inset="0,0,0,0">
                  <w:txbxContent>
                    <w:p>
                      <w:pPr>
                        <w:spacing w:line="214" w:lineRule="exact" w:before="0"/>
                        <w:ind w:left="7" w:right="0" w:firstLine="0"/>
                        <w:jc w:val="left"/>
                        <w:rPr>
                          <w:rFonts w:ascii="Times New Roman" w:hAnsi="Times New Roman" w:cs="Times New Roman" w:eastAsia="Times New Roman" w:hint="default"/>
                          <w:sz w:val="21"/>
                          <w:szCs w:val="21"/>
                        </w:rPr>
                      </w:pPr>
                      <w:r>
                        <w:rPr>
                          <w:rFonts w:ascii="Times New Roman"/>
                          <w:spacing w:val="-1"/>
                          <w:sz w:val="21"/>
                        </w:rPr>
                        <w:t>3,711,345,600</w:t>
                      </w:r>
                    </w:p>
                    <w:p>
                      <w:pPr>
                        <w:spacing w:line="237" w:lineRule="exact" w:before="169"/>
                        <w:ind w:left="0" w:right="0" w:firstLine="0"/>
                        <w:jc w:val="left"/>
                        <w:rPr>
                          <w:rFonts w:ascii="Times New Roman" w:hAnsi="Times New Roman" w:cs="Times New Roman" w:eastAsia="Times New Roman" w:hint="default"/>
                          <w:sz w:val="21"/>
                          <w:szCs w:val="21"/>
                        </w:rPr>
                      </w:pPr>
                      <w:r>
                        <w:rPr>
                          <w:rFonts w:ascii="Times New Roman"/>
                          <w:spacing w:val="-1"/>
                          <w:sz w:val="21"/>
                        </w:rPr>
                        <w:t>2,355,303,276</w:t>
                      </w:r>
                    </w:p>
                  </w:txbxContent>
                </v:textbox>
                <w10:wrap type="none"/>
              </v:shape>
            </v:group>
          </v:group>
        </w:pict>
      </w:r>
      <w:r>
        <w:rPr>
          <w:rFonts w:ascii="宋体" w:hAnsi="宋体" w:cs="宋体" w:eastAsia="宋体" w:hint="default"/>
          <w:position w:val="-24"/>
          <w:sz w:val="20"/>
          <w:szCs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tabs>
          <w:tab w:pos="3053" w:val="left" w:leader="none"/>
        </w:tabs>
        <w:spacing w:before="35"/>
        <w:ind w:left="2515" w:right="451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营业收入（分行业）</w:t>
      </w:r>
    </w:p>
    <w:p>
      <w:pPr>
        <w:spacing w:line="3300" w:lineRule="exact"/>
        <w:ind w:left="2383"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14.3pt;height:165pt;mso-position-horizontal-relative:char;mso-position-vertical-relative:line" coordorigin="0,0" coordsize="8286,3300">
            <v:group style="position:absolute;left:31;top:10;width:2427;height:2" coordorigin="31,10" coordsize="2427,2">
              <v:shape style="position:absolute;left:31;top:10;width:2427;height:2" coordorigin="31,10" coordsize="2427,0" path="m31,10l2458,10e" filled="false" stroked="true" strokeweight=".95999pt" strokecolor="#000000">
                <v:path arrowok="t"/>
              </v:shape>
            </v:group>
            <v:group style="position:absolute;left:2458;top:10;width:2805;height:2" coordorigin="2458,10" coordsize="2805,2">
              <v:shape style="position:absolute;left:2458;top:10;width:2805;height:2" coordorigin="2458,10" coordsize="2805,0" path="m2458,10l5262,10e" filled="false" stroked="true" strokeweight=".95999pt" strokecolor="#000000">
                <v:path arrowok="t"/>
              </v:shape>
            </v:group>
            <v:group style="position:absolute;left:5262;top:10;width:3008;height:2" coordorigin="5262,10" coordsize="3008,2">
              <v:shape style="position:absolute;left:5262;top:10;width:3008;height:2" coordorigin="5262,10" coordsize="3008,0" path="m5262,10l8269,10e" filled="false" stroked="true" strokeweight=".95999pt" strokecolor="#000000">
                <v:path arrowok="t"/>
              </v:shape>
            </v:group>
            <v:group style="position:absolute;left:10;top:3290;width:2448;height:2" coordorigin="10,3290" coordsize="2448,2">
              <v:shape style="position:absolute;left:10;top:3290;width:2448;height:2" coordorigin="10,3290" coordsize="2448,0" path="m10,3290l2458,3290e" filled="false" stroked="true" strokeweight=".95999pt" strokecolor="#000000">
                <v:path arrowok="t"/>
              </v:shape>
            </v:group>
            <v:group style="position:absolute;left:2458;top:3290;width:1348;height:2" coordorigin="2458,3290" coordsize="1348,2">
              <v:shape style="position:absolute;left:2458;top:3290;width:1348;height:2" coordorigin="2458,3290" coordsize="1348,0" path="m2458,3290l3805,3290e" filled="false" stroked="true" strokeweight=".95999pt" strokecolor="#000000">
                <v:path arrowok="t"/>
              </v:shape>
            </v:group>
            <v:group style="position:absolute;left:3805;top:3290;width:1457;height:2" coordorigin="3805,3290" coordsize="1457,2">
              <v:shape style="position:absolute;left:3805;top:3290;width:1457;height:2" coordorigin="3805,3290" coordsize="1457,0" path="m3805,3290l5262,3290e" filled="false" stroked="true" strokeweight=".95999pt" strokecolor="#000000">
                <v:path arrowok="t"/>
              </v:shape>
            </v:group>
            <v:group style="position:absolute;left:5262;top:3290;width:20;height:2" coordorigin="5262,3290" coordsize="20,2">
              <v:shape style="position:absolute;left:5262;top:3290;width:20;height:2" coordorigin="5262,3290" coordsize="20,0" path="m5262,3290l5281,3290e" filled="false" stroked="true" strokeweight=".95999pt" strokecolor="#000000">
                <v:path arrowok="t"/>
              </v:shape>
            </v:group>
            <v:group style="position:absolute;left:5281;top:3290;width:1500;height:2" coordorigin="5281,3290" coordsize="1500,2">
              <v:shape style="position:absolute;left:5281;top:3290;width:1500;height:2" coordorigin="5281,3290" coordsize="1500,0" path="m5281,3290l6781,3290e" filled="false" stroked="true" strokeweight=".96pt" strokecolor="#000000">
                <v:path arrowok="t"/>
              </v:shape>
              <v:shape style="position:absolute;left:24;top:19;width:8255;height:3262" type="#_x0000_t75" stroked="false">
                <v:imagedata r:id="rId118" o:title=""/>
              </v:shape>
            </v:group>
            <v:group style="position:absolute;left:6781;top:3290;width:1496;height:2" coordorigin="6781,3290" coordsize="1496,2">
              <v:shape style="position:absolute;left:6781;top:3290;width:1496;height:2" coordorigin="6781,3290" coordsize="1496,0" path="m6781,3290l8276,3290e" filled="false" stroked="true" strokeweight=".95999pt" strokecolor="#000000">
                <v:path arrowok="t"/>
              </v:shape>
              <v:shape style="position:absolute;left:3414;top:21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本期发生额</w:t>
                      </w:r>
                    </w:p>
                  </w:txbxContent>
                </v:textbox>
                <w10:wrap type="none"/>
              </v:shape>
              <v:shape style="position:absolute;left:6322;top:21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上期发生额</w:t>
                      </w:r>
                    </w:p>
                  </w:txbxContent>
                </v:textbox>
                <w10:wrap type="none"/>
              </v:shape>
              <v:shape style="position:absolute;left:882;top:40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1422;top:40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2776;top:6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4178;top:6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5666;top:6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7171;top:6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131;top:1031;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系统集成、软件产品销售、</w:t>
                      </w:r>
                    </w:p>
                  </w:txbxContent>
                </v:textbox>
                <w10:wrap type="none"/>
              </v:shape>
              <v:shape style="position:absolute;left:2666;top:125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3,426,948,772</w:t>
                      </w:r>
                    </w:p>
                  </w:txbxContent>
                </v:textbox>
                <w10:wrap type="none"/>
              </v:shape>
              <v:shape style="position:absolute;left:4123;top:125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2,273,625,818</w:t>
                      </w:r>
                    </w:p>
                  </w:txbxContent>
                </v:textbox>
                <w10:wrap type="none"/>
              </v:shape>
              <v:shape style="position:absolute;left:5643;top:1251;width:1037;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2,933,546,880</w:t>
                      </w:r>
                    </w:p>
                  </w:txbxContent>
                </v:textbox>
                <w10:wrap type="none"/>
              </v:shape>
              <v:shape style="position:absolute;left:7133;top:125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1,900,818,584</w:t>
                      </w:r>
                    </w:p>
                  </w:txbxContent>
                </v:textbox>
                <w10:wrap type="none"/>
              </v:shape>
              <v:shape style="position:absolute;left:131;top:1432;width:1620;height:5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软件定制及其他劳务</w:t>
                      </w:r>
                    </w:p>
                    <w:p>
                      <w:pPr>
                        <w:spacing w:line="240" w:lineRule="auto" w:before="4"/>
                        <w:rPr>
                          <w:rFonts w:ascii="宋体" w:hAnsi="宋体" w:cs="宋体" w:eastAsia="宋体" w:hint="default"/>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医疗系统产品</w:t>
                      </w:r>
                    </w:p>
                  </w:txbxContent>
                </v:textbox>
                <w10:wrap type="none"/>
              </v:shape>
              <v:shape style="position:absolute;left:2801;top:1860;width:90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633,417,848</w:t>
                      </w:r>
                    </w:p>
                  </w:txbxContent>
                </v:textbox>
                <w10:wrap type="none"/>
              </v:shape>
              <v:shape style="position:absolute;left:4257;top:1860;width:90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391,131,709</w:t>
                      </w:r>
                    </w:p>
                  </w:txbxContent>
                </v:textbox>
                <w10:wrap type="none"/>
              </v:shape>
              <v:shape style="position:absolute;left:5777;top:186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671,073,662</w:t>
                      </w:r>
                    </w:p>
                  </w:txbxContent>
                </v:textbox>
                <w10:wrap type="none"/>
              </v:shape>
              <v:shape style="position:absolute;left:7267;top:1860;width:90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404,524,627</w:t>
                      </w:r>
                    </w:p>
                  </w:txbxContent>
                </v:textbox>
                <w10:wrap type="none"/>
              </v:shape>
              <v:shape style="position:absolute;left:131;top:2251;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    告 </w:t>
                      </w:r>
                    </w:p>
                  </w:txbxContent>
                </v:textbox>
                <w10:wrap type="none"/>
              </v:shape>
              <v:shape style="position:absolute;left:2981;top:2271;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7,789,514</w:t>
                      </w:r>
                    </w:p>
                  </w:txbxContent>
                </v:textbox>
                <w10:wrap type="none"/>
              </v:shape>
              <v:shape style="position:absolute;left:4437;top:2271;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5,496,425</w:t>
                      </w:r>
                    </w:p>
                  </w:txbxContent>
                </v:textbox>
                <w10:wrap type="none"/>
              </v:shape>
              <v:shape style="position:absolute;left:5957;top:227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6,366,813</w:t>
                      </w:r>
                    </w:p>
                  </w:txbxContent>
                </v:textbox>
                <w10:wrap type="none"/>
              </v:shape>
              <v:shape style="position:absolute;left:7447;top:2271;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4,516,950</w:t>
                      </w:r>
                    </w:p>
                  </w:txbxContent>
                </v:textbox>
                <w10:wrap type="none"/>
              </v:shape>
              <v:shape style="position:absolute;left:131;top:266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物业服务及租金</w:t>
                      </w:r>
                    </w:p>
                  </w:txbxContent>
                </v:textbox>
                <w10:wrap type="none"/>
              </v:shape>
              <v:shape style="position:absolute;left:2891;top:268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97,899,259</w:t>
                      </w:r>
                    </w:p>
                  </w:txbxContent>
                </v:textbox>
                <w10:wrap type="none"/>
              </v:shape>
              <v:shape style="position:absolute;left:4355;top:2681;width:80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41,719,113</w:t>
                      </w:r>
                    </w:p>
                  </w:txbxContent>
                </v:textbox>
                <w10:wrap type="none"/>
              </v:shape>
              <v:shape style="position:absolute;left:5778;top:268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100,358,245</w:t>
                      </w:r>
                    </w:p>
                  </w:txbxContent>
                </v:textbox>
                <w10:wrap type="none"/>
              </v:shape>
              <v:shape style="position:absolute;left:7365;top:2681;width:80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45,443,115</w:t>
                      </w:r>
                    </w:p>
                  </w:txbxContent>
                </v:textbox>
                <w10:wrap type="none"/>
              </v:shape>
              <v:shape style="position:absolute;left:926;top:307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1376;top:307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2666;top:309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4,166,055,393</w:t>
                      </w:r>
                    </w:p>
                  </w:txbxContent>
                </v:textbox>
                <w10:wrap type="none"/>
              </v:shape>
              <v:shape style="position:absolute;left:4129;top:3090;width:10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2,711,973,065</w:t>
                      </w:r>
                    </w:p>
                  </w:txbxContent>
                </v:textbox>
                <w10:wrap type="none"/>
              </v:shape>
              <v:shape style="position:absolute;left:5650;top:3090;width:10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3,711,345,600</w:t>
                      </w:r>
                    </w:p>
                  </w:txbxContent>
                </v:textbox>
                <w10:wrap type="none"/>
              </v:shape>
              <v:shape style="position:absolute;left:7133;top:309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2,355,303,276</w:t>
                      </w:r>
                    </w:p>
                  </w:txbxContent>
                </v:textbox>
                <w10:wrap type="none"/>
              </v:shape>
            </v:group>
          </v:group>
        </w:pict>
      </w:r>
      <w:r>
        <w:rPr>
          <w:rFonts w:ascii="宋体" w:hAnsi="宋体" w:cs="宋体" w:eastAsia="宋体" w:hint="default"/>
          <w:position w:val="-65"/>
          <w:sz w:val="20"/>
          <w:szCs w:val="20"/>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spacing w:before="35"/>
        <w:ind w:left="2323" w:right="4512" w:firstLine="0"/>
        <w:jc w:val="left"/>
        <w:rPr>
          <w:rFonts w:ascii="宋体" w:hAnsi="宋体" w:cs="宋体" w:eastAsia="宋体" w:hint="default"/>
          <w:sz w:val="21"/>
          <w:szCs w:val="21"/>
        </w:rPr>
      </w:pPr>
      <w:r>
        <w:rPr/>
        <w:pict>
          <v:group style="position:absolute;margin-left:119.88002pt;margin-top:17.0737pt;width:413.85pt;height:144.1pt;mso-position-horizontal-relative:page;mso-position-vertical-relative:paragraph;z-index:-979456" coordorigin="2398,341" coordsize="8277,2882">
            <v:group style="position:absolute;left:2407;top:351;width:2931;height:2" coordorigin="2407,351" coordsize="2931,2">
              <v:shape style="position:absolute;left:2407;top:351;width:2931;height:2" coordorigin="2407,351" coordsize="2931,0" path="m2407,351l5338,351e" filled="false" stroked="true" strokeweight=".95996pt" strokecolor="#000000">
                <v:path arrowok="t"/>
              </v:shape>
            </v:group>
            <v:group style="position:absolute;left:5338;top:351;width:2183;height:2" coordorigin="5338,351" coordsize="2183,2">
              <v:shape style="position:absolute;left:5338;top:351;width:2183;height:2" coordorigin="5338,351" coordsize="2183,0" path="m5338,351l7520,351e" filled="false" stroked="true" strokeweight=".95996pt" strokecolor="#000000">
                <v:path arrowok="t"/>
              </v:shape>
            </v:group>
            <v:group style="position:absolute;left:7520;top:351;width:3144;height:2" coordorigin="7520,351" coordsize="3144,2">
              <v:shape style="position:absolute;left:7520;top:351;width:3144;height:2" coordorigin="7520,351" coordsize="3144,0" path="m7520,351l10664,351e" filled="false" stroked="true" strokeweight=".95996pt" strokecolor="#000000">
                <v:path arrowok="t"/>
              </v:shape>
              <v:shape style="position:absolute;left:2407;top:361;width:8267;height:2862" type="#_x0000_t75" stroked="false">
                <v:imagedata r:id="rId119" o:title=""/>
              </v:shape>
            </v:group>
            <w10:wrap type="none"/>
          </v:group>
        </w:pict>
      </w:r>
      <w:r>
        <w:rPr>
          <w:rFonts w:ascii="宋体" w:hAnsi="宋体" w:cs="宋体" w:eastAsia="宋体" w:hint="default"/>
          <w:sz w:val="21"/>
          <w:szCs w:val="21"/>
        </w:rPr>
        <w:t>公司前五名客户的营业收入情况</w:t>
      </w:r>
    </w:p>
    <w:p>
      <w:pPr>
        <w:spacing w:line="240" w:lineRule="auto" w:before="5"/>
        <w:rPr>
          <w:rFonts w:ascii="宋体" w:hAnsi="宋体" w:cs="宋体" w:eastAsia="宋体" w:hint="default"/>
          <w:sz w:val="8"/>
          <w:szCs w:val="8"/>
        </w:rPr>
      </w:pPr>
    </w:p>
    <w:tbl>
      <w:tblPr>
        <w:tblW w:w="0" w:type="auto"/>
        <w:jc w:val="left"/>
        <w:tblInd w:w="2392" w:type="dxa"/>
        <w:tblLayout w:type="fixed"/>
        <w:tblCellMar>
          <w:top w:w="0" w:type="dxa"/>
          <w:left w:w="0" w:type="dxa"/>
          <w:bottom w:w="0" w:type="dxa"/>
          <w:right w:w="0" w:type="dxa"/>
        </w:tblCellMar>
        <w:tblLook w:val="01E0"/>
      </w:tblPr>
      <w:tblGrid>
        <w:gridCol w:w="906"/>
        <w:gridCol w:w="1749"/>
        <w:gridCol w:w="2500"/>
        <w:gridCol w:w="3124"/>
      </w:tblGrid>
      <w:tr>
        <w:trPr>
          <w:trHeight w:val="832" w:hRule="exact"/>
        </w:trPr>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4" w:right="0"/>
              <w:jc w:val="left"/>
              <w:rPr>
                <w:rFonts w:ascii="宋体" w:hAnsi="宋体" w:cs="宋体" w:eastAsia="宋体" w:hint="default"/>
                <w:sz w:val="21"/>
                <w:szCs w:val="21"/>
              </w:rPr>
            </w:pPr>
            <w:r>
              <w:rPr>
                <w:rFonts w:ascii="宋体" w:hAnsi="宋体" w:cs="宋体" w:eastAsia="宋体" w:hint="default"/>
                <w:sz w:val="21"/>
                <w:szCs w:val="21"/>
              </w:rPr>
              <w:t>客户排名</w:t>
            </w:r>
          </w:p>
        </w:tc>
        <w:tc>
          <w:tcPr>
            <w:tcW w:w="250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54" w:right="0"/>
              <w:jc w:val="left"/>
              <w:rPr>
                <w:rFonts w:ascii="宋体" w:hAnsi="宋体" w:cs="宋体" w:eastAsia="宋体" w:hint="default"/>
                <w:sz w:val="21"/>
                <w:szCs w:val="21"/>
              </w:rPr>
            </w:pPr>
            <w:r>
              <w:rPr>
                <w:rFonts w:ascii="宋体" w:hAnsi="宋体" w:cs="宋体" w:eastAsia="宋体" w:hint="default"/>
                <w:sz w:val="21"/>
                <w:szCs w:val="21"/>
              </w:rPr>
              <w:t>营业收入总额</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316" w:right="0"/>
              <w:jc w:val="left"/>
              <w:rPr>
                <w:rFonts w:ascii="Times New Roman" w:hAnsi="Times New Roman" w:cs="Times New Roman" w:eastAsia="Times New Roman" w:hint="default"/>
                <w:sz w:val="21"/>
                <w:szCs w:val="21"/>
              </w:rPr>
            </w:pPr>
            <w:r>
              <w:rPr>
                <w:rFonts w:ascii="Times New Roman"/>
                <w:sz w:val="21"/>
              </w:rPr>
              <w:t>221,833,554</w:t>
            </w:r>
          </w:p>
        </w:tc>
        <w:tc>
          <w:tcPr>
            <w:tcW w:w="312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3"/>
              <w:jc w:val="right"/>
              <w:rPr>
                <w:rFonts w:ascii="Times New Roman" w:hAnsi="Times New Roman" w:cs="Times New Roman" w:eastAsia="Times New Roman" w:hint="default"/>
                <w:sz w:val="21"/>
                <w:szCs w:val="21"/>
              </w:rPr>
            </w:pPr>
            <w:r>
              <w:rPr>
                <w:rFonts w:ascii="宋体" w:hAnsi="宋体" w:cs="宋体" w:eastAsia="宋体" w:hint="default"/>
                <w:spacing w:val="-1"/>
                <w:sz w:val="21"/>
                <w:szCs w:val="21"/>
              </w:rPr>
              <w:t>占公司全部营业收入的比例</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r>
          </w:p>
          <w:p>
            <w:pPr>
              <w:pStyle w:val="TableParagraph"/>
              <w:spacing w:line="240" w:lineRule="auto" w:before="182"/>
              <w:ind w:right="105"/>
              <w:jc w:val="right"/>
              <w:rPr>
                <w:rFonts w:ascii="Times New Roman" w:hAnsi="Times New Roman" w:cs="Times New Roman" w:eastAsia="Times New Roman" w:hint="default"/>
                <w:sz w:val="21"/>
                <w:szCs w:val="21"/>
              </w:rPr>
            </w:pPr>
            <w:r>
              <w:rPr>
                <w:rFonts w:ascii="Times New Roman"/>
                <w:spacing w:val="-1"/>
                <w:sz w:val="21"/>
              </w:rPr>
              <w:t>5.32</w:t>
            </w:r>
          </w:p>
        </w:tc>
      </w:tr>
      <w:tr>
        <w:trPr>
          <w:trHeight w:val="410" w:hRule="exact"/>
        </w:trPr>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1749" w:type="dxa"/>
            <w:tcBorders>
              <w:top w:val="nil" w:sz="6" w:space="0" w:color="auto"/>
              <w:left w:val="nil" w:sz="6" w:space="0" w:color="auto"/>
              <w:bottom w:val="nil" w:sz="6" w:space="0" w:color="auto"/>
              <w:right w:val="nil" w:sz="6" w:space="0" w:color="auto"/>
            </w:tcBorders>
          </w:tcPr>
          <w:p>
            <w:pPr/>
          </w:p>
        </w:tc>
        <w:tc>
          <w:tcPr>
            <w:tcW w:w="250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31"/>
              <w:jc w:val="right"/>
              <w:rPr>
                <w:rFonts w:ascii="Times New Roman" w:hAnsi="Times New Roman" w:cs="Times New Roman" w:eastAsia="Times New Roman" w:hint="default"/>
                <w:sz w:val="21"/>
                <w:szCs w:val="21"/>
              </w:rPr>
            </w:pPr>
            <w:r>
              <w:rPr>
                <w:rFonts w:ascii="Times New Roman"/>
                <w:spacing w:val="-1"/>
                <w:sz w:val="21"/>
              </w:rPr>
              <w:t>141,750,380</w:t>
            </w:r>
          </w:p>
        </w:tc>
        <w:tc>
          <w:tcPr>
            <w:tcW w:w="312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21"/>
                <w:szCs w:val="21"/>
              </w:rPr>
            </w:pPr>
            <w:r>
              <w:rPr>
                <w:rFonts w:ascii="Times New Roman"/>
                <w:spacing w:val="-1"/>
                <w:sz w:val="21"/>
              </w:rPr>
              <w:t>3.40</w:t>
            </w:r>
          </w:p>
        </w:tc>
      </w:tr>
      <w:tr>
        <w:trPr>
          <w:trHeight w:val="410" w:hRule="exact"/>
        </w:trPr>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1749" w:type="dxa"/>
            <w:tcBorders>
              <w:top w:val="nil" w:sz="6" w:space="0" w:color="auto"/>
              <w:left w:val="nil" w:sz="6" w:space="0" w:color="auto"/>
              <w:bottom w:val="nil" w:sz="6" w:space="0" w:color="auto"/>
              <w:right w:val="nil" w:sz="6" w:space="0" w:color="auto"/>
            </w:tcBorders>
          </w:tcPr>
          <w:p>
            <w:pPr/>
          </w:p>
        </w:tc>
        <w:tc>
          <w:tcPr>
            <w:tcW w:w="250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31"/>
              <w:jc w:val="right"/>
              <w:rPr>
                <w:rFonts w:ascii="Times New Roman" w:hAnsi="Times New Roman" w:cs="Times New Roman" w:eastAsia="Times New Roman" w:hint="default"/>
                <w:sz w:val="21"/>
                <w:szCs w:val="21"/>
              </w:rPr>
            </w:pPr>
            <w:r>
              <w:rPr>
                <w:rFonts w:ascii="Times New Roman"/>
                <w:spacing w:val="-1"/>
                <w:sz w:val="21"/>
              </w:rPr>
              <w:t>123,647,450</w:t>
            </w:r>
          </w:p>
        </w:tc>
        <w:tc>
          <w:tcPr>
            <w:tcW w:w="312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21"/>
                <w:szCs w:val="21"/>
              </w:rPr>
            </w:pPr>
            <w:r>
              <w:rPr>
                <w:rFonts w:ascii="Times New Roman"/>
                <w:spacing w:val="-1"/>
                <w:sz w:val="21"/>
              </w:rPr>
              <w:t>2.97</w:t>
            </w:r>
          </w:p>
        </w:tc>
      </w:tr>
      <w:tr>
        <w:trPr>
          <w:trHeight w:val="410" w:hRule="exact"/>
        </w:trPr>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1749" w:type="dxa"/>
            <w:tcBorders>
              <w:top w:val="nil" w:sz="6" w:space="0" w:color="auto"/>
              <w:left w:val="nil" w:sz="6" w:space="0" w:color="auto"/>
              <w:bottom w:val="nil" w:sz="6" w:space="0" w:color="auto"/>
              <w:right w:val="nil" w:sz="6" w:space="0" w:color="auto"/>
            </w:tcBorders>
          </w:tcPr>
          <w:p>
            <w:pPr/>
          </w:p>
        </w:tc>
        <w:tc>
          <w:tcPr>
            <w:tcW w:w="250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31"/>
              <w:jc w:val="right"/>
              <w:rPr>
                <w:rFonts w:ascii="Times New Roman" w:hAnsi="Times New Roman" w:cs="Times New Roman" w:eastAsia="Times New Roman" w:hint="default"/>
                <w:sz w:val="21"/>
                <w:szCs w:val="21"/>
              </w:rPr>
            </w:pPr>
            <w:r>
              <w:rPr>
                <w:rFonts w:ascii="Times New Roman"/>
                <w:spacing w:val="-1"/>
                <w:sz w:val="21"/>
              </w:rPr>
              <w:t>140,782,956</w:t>
            </w:r>
          </w:p>
        </w:tc>
        <w:tc>
          <w:tcPr>
            <w:tcW w:w="312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21"/>
                <w:szCs w:val="21"/>
              </w:rPr>
            </w:pPr>
            <w:r>
              <w:rPr>
                <w:rFonts w:ascii="Times New Roman"/>
                <w:spacing w:val="-1"/>
                <w:sz w:val="21"/>
              </w:rPr>
              <w:t>3.38</w:t>
            </w:r>
          </w:p>
        </w:tc>
      </w:tr>
      <w:tr>
        <w:trPr>
          <w:trHeight w:val="410" w:hRule="exact"/>
        </w:trPr>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1749" w:type="dxa"/>
            <w:tcBorders>
              <w:top w:val="nil" w:sz="6" w:space="0" w:color="auto"/>
              <w:left w:val="nil" w:sz="6" w:space="0" w:color="auto"/>
              <w:bottom w:val="nil" w:sz="6" w:space="0" w:color="auto"/>
              <w:right w:val="nil" w:sz="6" w:space="0" w:color="auto"/>
            </w:tcBorders>
          </w:tcPr>
          <w:p>
            <w:pPr/>
          </w:p>
        </w:tc>
        <w:tc>
          <w:tcPr>
            <w:tcW w:w="250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31"/>
              <w:jc w:val="right"/>
              <w:rPr>
                <w:rFonts w:ascii="Times New Roman" w:hAnsi="Times New Roman" w:cs="Times New Roman" w:eastAsia="Times New Roman" w:hint="default"/>
                <w:sz w:val="21"/>
                <w:szCs w:val="21"/>
              </w:rPr>
            </w:pPr>
            <w:r>
              <w:rPr>
                <w:rFonts w:ascii="Times New Roman"/>
                <w:spacing w:val="-1"/>
                <w:sz w:val="21"/>
              </w:rPr>
              <w:t>113,479,143</w:t>
            </w:r>
          </w:p>
        </w:tc>
        <w:tc>
          <w:tcPr>
            <w:tcW w:w="312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21"/>
                <w:szCs w:val="21"/>
              </w:rPr>
            </w:pPr>
            <w:r>
              <w:rPr>
                <w:rFonts w:ascii="Times New Roman"/>
                <w:spacing w:val="-1"/>
                <w:sz w:val="21"/>
              </w:rPr>
              <w:t>2.72</w:t>
            </w:r>
          </w:p>
        </w:tc>
      </w:tr>
      <w:tr>
        <w:trPr>
          <w:trHeight w:val="340" w:hRule="exact"/>
        </w:trPr>
        <w:tc>
          <w:tcPr>
            <w:tcW w:w="906" w:type="dxa"/>
            <w:tcBorders>
              <w:top w:val="nil" w:sz="6" w:space="0" w:color="auto"/>
              <w:left w:val="nil" w:sz="6" w:space="0" w:color="auto"/>
              <w:bottom w:val="single" w:sz="8" w:space="0" w:color="000000"/>
              <w:right w:val="nil" w:sz="6" w:space="0" w:color="auto"/>
            </w:tcBorders>
          </w:tcPr>
          <w:p>
            <w:pPr/>
          </w:p>
        </w:tc>
        <w:tc>
          <w:tcPr>
            <w:tcW w:w="1749"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154" w:right="0"/>
              <w:jc w:val="left"/>
              <w:rPr>
                <w:rFonts w:ascii="宋体" w:hAnsi="宋体" w:cs="宋体" w:eastAsia="宋体" w:hint="default"/>
                <w:sz w:val="21"/>
                <w:szCs w:val="21"/>
              </w:rPr>
            </w:pPr>
            <w:r>
              <w:rPr>
                <w:rFonts w:ascii="宋体" w:hAnsi="宋体" w:cs="宋体" w:eastAsia="宋体" w:hint="default"/>
                <w:sz w:val="21"/>
                <w:szCs w:val="21"/>
              </w:rPr>
              <w:t>合    计</w:t>
            </w:r>
          </w:p>
        </w:tc>
        <w:tc>
          <w:tcPr>
            <w:tcW w:w="2500"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131"/>
              <w:jc w:val="right"/>
              <w:rPr>
                <w:rFonts w:ascii="Times New Roman" w:hAnsi="Times New Roman" w:cs="Times New Roman" w:eastAsia="Times New Roman" w:hint="default"/>
                <w:sz w:val="21"/>
                <w:szCs w:val="21"/>
              </w:rPr>
            </w:pPr>
            <w:r>
              <w:rPr>
                <w:rFonts w:ascii="Times New Roman"/>
                <w:spacing w:val="-1"/>
                <w:sz w:val="21"/>
              </w:rPr>
              <w:t>741,493,483</w:t>
            </w:r>
          </w:p>
        </w:tc>
        <w:tc>
          <w:tcPr>
            <w:tcW w:w="3124"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104"/>
              <w:jc w:val="right"/>
              <w:rPr>
                <w:rFonts w:ascii="Times New Roman" w:hAnsi="Times New Roman" w:cs="Times New Roman" w:eastAsia="Times New Roman" w:hint="default"/>
                <w:sz w:val="21"/>
                <w:szCs w:val="21"/>
              </w:rPr>
            </w:pPr>
            <w:r>
              <w:rPr>
                <w:rFonts w:ascii="Times New Roman"/>
                <w:spacing w:val="-1"/>
                <w:sz w:val="21"/>
              </w:rPr>
              <w:t>17.79</w:t>
            </w:r>
          </w:p>
        </w:tc>
      </w:tr>
    </w:tbl>
    <w:p>
      <w:pPr>
        <w:spacing w:after="0" w:line="240" w:lineRule="auto"/>
        <w:jc w:val="right"/>
        <w:rPr>
          <w:rFonts w:ascii="Times New Roman" w:hAnsi="Times New Roman" w:cs="Times New Roman" w:eastAsia="Times New Roman" w:hint="default"/>
          <w:sz w:val="21"/>
          <w:szCs w:val="21"/>
        </w:rPr>
        <w:sectPr>
          <w:pgSz w:w="11900" w:h="16840"/>
          <w:pgMar w:header="0" w:footer="1003" w:top="1540" w:bottom="1200" w:left="0" w:right="1120"/>
        </w:sectPr>
      </w:pPr>
    </w:p>
    <w:p>
      <w:pPr>
        <w:spacing w:line="240" w:lineRule="auto" w:before="1"/>
        <w:rPr>
          <w:rFonts w:ascii="Times New Roman" w:hAnsi="Times New Roman" w:cs="Times New Roman" w:eastAsia="Times New Roman" w:hint="default"/>
          <w:sz w:val="4"/>
          <w:szCs w:val="4"/>
        </w:rPr>
      </w:pPr>
      <w:r>
        <w:rPr/>
        <w:pict>
          <v:group style="position:absolute;margin-left:119.87999pt;margin-top:278.039978pt;width:414.7pt;height:135.550pt;mso-position-horizontal-relative:page;mso-position-vertical-relative:page;z-index:-979408" coordorigin="2398,5561" coordsize="8294,2711">
            <v:group style="position:absolute;left:2407;top:5570;width:4620;height:2" coordorigin="2407,5570" coordsize="4620,2">
              <v:shape style="position:absolute;left:2407;top:5570;width:4620;height:2" coordorigin="2407,5570" coordsize="4620,0" path="m2407,5570l7027,5570e" filled="false" stroked="true" strokeweight=".96002pt" strokecolor="#000000">
                <v:path arrowok="t"/>
              </v:shape>
            </v:group>
            <v:group style="position:absolute;left:7027;top:5570;width:1835;height:2" coordorigin="7027,5570" coordsize="1835,2">
              <v:shape style="position:absolute;left:7027;top:5570;width:1835;height:2" coordorigin="7027,5570" coordsize="1835,0" path="m7027,5570l8862,5570e" filled="false" stroked="true" strokeweight=".96002pt" strokecolor="#000000">
                <v:path arrowok="t"/>
              </v:shape>
            </v:group>
            <v:group style="position:absolute;left:8862;top:5570;width:1818;height:2" coordorigin="8862,5570" coordsize="1818,2">
              <v:shape style="position:absolute;left:8862;top:5570;width:1818;height:2" coordorigin="8862,5570" coordsize="1818,0" path="m8862,5570l10680,5570e" filled="false" stroked="true" strokeweight=".96002pt" strokecolor="#000000">
                <v:path arrowok="t"/>
              </v:shape>
              <v:shape style="position:absolute;left:2407;top:5580;width:8284;height:2692" type="#_x0000_t75" stroked="false">
                <v:imagedata r:id="rId120" o:title=""/>
              </v:shape>
            </v:group>
            <w10:wrap type="none"/>
          </v:group>
        </w:pict>
      </w:r>
      <w:r>
        <w:rPr/>
        <w:pict>
          <v:shape style="position:absolute;margin-left:120.360001pt;margin-top:503.519653pt;width:412.559928pt;height:224.58pt;mso-position-horizontal-relative:page;mso-position-vertical-relative:page;z-index:-979384" type="#_x0000_t75" stroked="false">
            <v:imagedata r:id="rId121" o:title=""/>
          </v:shape>
        </w:pict>
      </w:r>
      <w:r>
        <w:rPr/>
        <w:pict>
          <v:shape style="position:absolute;margin-left:120.300003pt;margin-top:103.079712pt;width:414.119886pt;height:134.580pt;mso-position-horizontal-relative:page;mso-position-vertical-relative:page;z-index:-979360" type="#_x0000_t75" stroked="false">
            <v:imagedata r:id="rId122" o:title=""/>
          </v:shape>
        </w:pict>
      </w:r>
    </w:p>
    <w:p>
      <w:pPr>
        <w:spacing w:line="20" w:lineRule="exact"/>
        <w:ind w:left="12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44.3pt;height:.5pt;mso-position-horizontal-relative:char;mso-position-vertical-relative:line" coordorigin="0,0" coordsize="8886,10">
            <v:group style="position:absolute;left:5;top:5;width:8877;height:2" coordorigin="5,5" coordsize="8877,2">
              <v:shape style="position:absolute;left:5;top:5;width:8877;height:2" coordorigin="5,5" coordsize="8877,0" path="m5,5l8881,5e" filled="false" stroked="true" strokeweight=".47998pt" strokecolor="#000000">
                <v:path arrowok="t"/>
              </v:shape>
            </v:group>
          </v:group>
        </w:pict>
      </w:r>
      <w:r>
        <w:rPr>
          <w:rFonts w:ascii="Times New Roman" w:hAnsi="Times New Roman" w:cs="Times New Roman" w:eastAsia="Times New Roman" w:hint="default"/>
          <w:sz w:val="2"/>
          <w:szCs w:val="2"/>
        </w:rPr>
      </w:r>
    </w:p>
    <w:p>
      <w:pPr>
        <w:spacing w:line="240" w:lineRule="auto" w:before="7"/>
        <w:rPr>
          <w:rFonts w:ascii="Times New Roman" w:hAnsi="Times New Roman" w:cs="Times New Roman" w:eastAsia="Times New Roman" w:hint="default"/>
          <w:sz w:val="7"/>
          <w:szCs w:val="7"/>
        </w:rPr>
      </w:pPr>
    </w:p>
    <w:tbl>
      <w:tblPr>
        <w:tblW w:w="0" w:type="auto"/>
        <w:jc w:val="left"/>
        <w:tblInd w:w="108" w:type="dxa"/>
        <w:tblLayout w:type="fixed"/>
        <w:tblCellMar>
          <w:top w:w="0" w:type="dxa"/>
          <w:left w:w="0" w:type="dxa"/>
          <w:bottom w:w="0" w:type="dxa"/>
          <w:right w:w="0" w:type="dxa"/>
        </w:tblCellMar>
        <w:tblLook w:val="01E0"/>
      </w:tblPr>
      <w:tblGrid>
        <w:gridCol w:w="645"/>
        <w:gridCol w:w="2302"/>
        <w:gridCol w:w="2284"/>
        <w:gridCol w:w="1907"/>
        <w:gridCol w:w="1802"/>
      </w:tblGrid>
      <w:tr>
        <w:trPr>
          <w:trHeight w:val="354" w:hRule="exact"/>
        </w:trPr>
        <w:tc>
          <w:tcPr>
            <w:tcW w:w="294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三十八</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4"/>
                <w:sz w:val="21"/>
                <w:szCs w:val="21"/>
              </w:rPr>
              <w:t> </w:t>
            </w:r>
            <w:r>
              <w:rPr>
                <w:rFonts w:ascii="宋体" w:hAnsi="宋体" w:cs="宋体" w:eastAsia="宋体" w:hint="default"/>
                <w:sz w:val="21"/>
                <w:szCs w:val="21"/>
              </w:rPr>
              <w:t>营业税金及附加</w:t>
            </w:r>
          </w:p>
        </w:tc>
        <w:tc>
          <w:tcPr>
            <w:tcW w:w="5993" w:type="dxa"/>
            <w:gridSpan w:val="3"/>
            <w:tcBorders>
              <w:top w:val="nil" w:sz="6" w:space="0" w:color="auto"/>
              <w:left w:val="nil" w:sz="6" w:space="0" w:color="auto"/>
              <w:bottom w:val="single" w:sz="8" w:space="0" w:color="000000"/>
              <w:right w:val="nil" w:sz="6" w:space="0" w:color="auto"/>
            </w:tcBorders>
          </w:tcPr>
          <w:p>
            <w:pPr/>
          </w:p>
        </w:tc>
      </w:tr>
      <w:tr>
        <w:trPr>
          <w:trHeight w:val="543" w:hRule="exact"/>
        </w:trPr>
        <w:tc>
          <w:tcPr>
            <w:tcW w:w="294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3"/>
              <w:ind w:left="1453" w:right="0"/>
              <w:jc w:val="left"/>
              <w:rPr>
                <w:rFonts w:ascii="宋体" w:hAnsi="宋体" w:cs="宋体" w:eastAsia="宋体" w:hint="default"/>
                <w:sz w:val="21"/>
                <w:szCs w:val="21"/>
              </w:rPr>
            </w:pPr>
            <w:r>
              <w:rPr>
                <w:rFonts w:ascii="宋体" w:hAnsi="宋体" w:cs="宋体" w:eastAsia="宋体" w:hint="default"/>
                <w:sz w:val="21"/>
                <w:szCs w:val="21"/>
              </w:rPr>
              <w:t>项    目</w:t>
            </w:r>
          </w:p>
        </w:tc>
        <w:tc>
          <w:tcPr>
            <w:tcW w:w="2284" w:type="dxa"/>
            <w:tcBorders>
              <w:top w:val="single" w:sz="8" w:space="0" w:color="000000"/>
              <w:left w:val="nil" w:sz="6" w:space="0" w:color="auto"/>
              <w:bottom w:val="nil" w:sz="6" w:space="0" w:color="auto"/>
              <w:right w:val="nil" w:sz="6" w:space="0" w:color="auto"/>
            </w:tcBorders>
          </w:tcPr>
          <w:p>
            <w:pPr>
              <w:pStyle w:val="TableParagraph"/>
              <w:spacing w:line="240" w:lineRule="auto" w:before="134"/>
              <w:ind w:left="58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907" w:type="dxa"/>
            <w:tcBorders>
              <w:top w:val="single" w:sz="8" w:space="0" w:color="000000"/>
              <w:left w:val="nil" w:sz="6" w:space="0" w:color="auto"/>
              <w:bottom w:val="nil" w:sz="6" w:space="0" w:color="auto"/>
              <w:right w:val="nil" w:sz="6" w:space="0" w:color="auto"/>
            </w:tcBorders>
          </w:tcPr>
          <w:p>
            <w:pPr>
              <w:pStyle w:val="TableParagraph"/>
              <w:spacing w:line="240" w:lineRule="auto" w:before="134"/>
              <w:ind w:left="264"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1802" w:type="dxa"/>
            <w:tcBorders>
              <w:top w:val="single" w:sz="8" w:space="0" w:color="000000"/>
              <w:left w:val="nil" w:sz="6" w:space="0" w:color="auto"/>
              <w:bottom w:val="nil" w:sz="6" w:space="0" w:color="auto"/>
              <w:right w:val="nil" w:sz="6" w:space="0" w:color="auto"/>
            </w:tcBorders>
          </w:tcPr>
          <w:p>
            <w:pPr>
              <w:pStyle w:val="TableParagraph"/>
              <w:spacing w:line="240" w:lineRule="auto" w:before="134"/>
              <w:ind w:left="125" w:right="0"/>
              <w:jc w:val="left"/>
              <w:rPr>
                <w:rFonts w:ascii="宋体" w:hAnsi="宋体" w:cs="宋体" w:eastAsia="宋体" w:hint="default"/>
                <w:sz w:val="21"/>
                <w:szCs w:val="21"/>
              </w:rPr>
            </w:pPr>
            <w:r>
              <w:rPr>
                <w:rFonts w:ascii="宋体" w:hAnsi="宋体" w:cs="宋体" w:eastAsia="宋体" w:hint="default"/>
                <w:sz w:val="21"/>
                <w:szCs w:val="21"/>
              </w:rPr>
              <w:t>计缴标准（</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457" w:hRule="exact"/>
        </w:trPr>
        <w:tc>
          <w:tcPr>
            <w:tcW w:w="294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9"/>
              <w:ind w:left="765"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17"/>
              <w:jc w:val="right"/>
              <w:rPr>
                <w:rFonts w:ascii="Times New Roman" w:hAnsi="Times New Roman" w:cs="Times New Roman" w:eastAsia="Times New Roman" w:hint="default"/>
                <w:sz w:val="21"/>
                <w:szCs w:val="21"/>
              </w:rPr>
            </w:pPr>
            <w:r>
              <w:rPr>
                <w:rFonts w:ascii="Times New Roman"/>
                <w:spacing w:val="-1"/>
                <w:sz w:val="21"/>
              </w:rPr>
              <w:t>46,889,303</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23"/>
              <w:jc w:val="right"/>
              <w:rPr>
                <w:rFonts w:ascii="Times New Roman" w:hAnsi="Times New Roman" w:cs="Times New Roman" w:eastAsia="Times New Roman" w:hint="default"/>
                <w:sz w:val="21"/>
                <w:szCs w:val="21"/>
              </w:rPr>
            </w:pPr>
            <w:r>
              <w:rPr>
                <w:rFonts w:ascii="Times New Roman"/>
                <w:spacing w:val="-1"/>
                <w:sz w:val="21"/>
              </w:rPr>
              <w:t>37,028,668</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5"/>
              <w:jc w:val="right"/>
              <w:rPr>
                <w:rFonts w:ascii="Times New Roman" w:hAnsi="Times New Roman" w:cs="Times New Roman" w:eastAsia="Times New Roman" w:hint="default"/>
                <w:sz w:val="21"/>
                <w:szCs w:val="21"/>
              </w:rPr>
            </w:pPr>
            <w:r>
              <w:rPr>
                <w:rFonts w:ascii="Times New Roman"/>
                <w:sz w:val="21"/>
              </w:rPr>
              <w:t>5</w:t>
            </w:r>
          </w:p>
        </w:tc>
      </w:tr>
      <w:tr>
        <w:trPr>
          <w:trHeight w:val="450" w:hRule="exact"/>
        </w:trPr>
        <w:tc>
          <w:tcPr>
            <w:tcW w:w="294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2"/>
              <w:ind w:left="765"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17"/>
              <w:jc w:val="right"/>
              <w:rPr>
                <w:rFonts w:ascii="Times New Roman" w:hAnsi="Times New Roman" w:cs="Times New Roman" w:eastAsia="Times New Roman" w:hint="default"/>
                <w:sz w:val="21"/>
                <w:szCs w:val="21"/>
              </w:rPr>
            </w:pPr>
            <w:r>
              <w:rPr>
                <w:rFonts w:ascii="Times New Roman"/>
                <w:spacing w:val="-1"/>
                <w:sz w:val="21"/>
              </w:rPr>
              <w:t>3,904,959</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21"/>
              <w:jc w:val="right"/>
              <w:rPr>
                <w:rFonts w:ascii="Times New Roman" w:hAnsi="Times New Roman" w:cs="Times New Roman" w:eastAsia="Times New Roman" w:hint="default"/>
                <w:sz w:val="21"/>
                <w:szCs w:val="21"/>
              </w:rPr>
            </w:pPr>
            <w:r>
              <w:rPr>
                <w:rFonts w:ascii="Times New Roman"/>
                <w:spacing w:val="-1"/>
                <w:sz w:val="21"/>
              </w:rPr>
              <w:t>4,765,867</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4"/>
              <w:jc w:val="right"/>
              <w:rPr>
                <w:rFonts w:ascii="Times New Roman" w:hAnsi="Times New Roman" w:cs="Times New Roman" w:eastAsia="Times New Roman" w:hint="default"/>
                <w:sz w:val="21"/>
                <w:szCs w:val="21"/>
              </w:rPr>
            </w:pPr>
            <w:r>
              <w:rPr>
                <w:rFonts w:ascii="Times New Roman"/>
                <w:sz w:val="21"/>
              </w:rPr>
              <w:t>1-7</w:t>
            </w:r>
          </w:p>
        </w:tc>
      </w:tr>
      <w:tr>
        <w:trPr>
          <w:trHeight w:val="450" w:hRule="exact"/>
        </w:trPr>
        <w:tc>
          <w:tcPr>
            <w:tcW w:w="294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2"/>
              <w:ind w:left="765"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17"/>
              <w:jc w:val="right"/>
              <w:rPr>
                <w:rFonts w:ascii="Times New Roman" w:hAnsi="Times New Roman" w:cs="Times New Roman" w:eastAsia="Times New Roman" w:hint="default"/>
                <w:sz w:val="21"/>
                <w:szCs w:val="21"/>
              </w:rPr>
            </w:pPr>
            <w:r>
              <w:rPr>
                <w:rFonts w:ascii="Times New Roman"/>
                <w:spacing w:val="-1"/>
                <w:sz w:val="21"/>
              </w:rPr>
              <w:t>2,215,644</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22"/>
              <w:jc w:val="right"/>
              <w:rPr>
                <w:rFonts w:ascii="Times New Roman" w:hAnsi="Times New Roman" w:cs="Times New Roman" w:eastAsia="Times New Roman" w:hint="default"/>
                <w:sz w:val="21"/>
                <w:szCs w:val="21"/>
              </w:rPr>
            </w:pPr>
            <w:r>
              <w:rPr>
                <w:rFonts w:ascii="Times New Roman"/>
                <w:spacing w:val="-1"/>
                <w:sz w:val="21"/>
              </w:rPr>
              <w:t>2,792,459</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5"/>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3</w:t>
            </w:r>
          </w:p>
        </w:tc>
      </w:tr>
      <w:tr>
        <w:trPr>
          <w:trHeight w:val="450" w:hRule="exact"/>
        </w:trPr>
        <w:tc>
          <w:tcPr>
            <w:tcW w:w="294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2"/>
              <w:ind w:left="765" w:right="0"/>
              <w:jc w:val="left"/>
              <w:rPr>
                <w:rFonts w:ascii="宋体" w:hAnsi="宋体" w:cs="宋体" w:eastAsia="宋体" w:hint="default"/>
                <w:sz w:val="21"/>
                <w:szCs w:val="21"/>
              </w:rPr>
            </w:pPr>
            <w:r>
              <w:rPr>
                <w:rFonts w:ascii="宋体" w:hAnsi="宋体" w:cs="宋体" w:eastAsia="宋体" w:hint="default"/>
                <w:sz w:val="21"/>
                <w:szCs w:val="21"/>
              </w:rPr>
              <w:t>其    他</w:t>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17"/>
              <w:jc w:val="right"/>
              <w:rPr>
                <w:rFonts w:ascii="Times New Roman" w:hAnsi="Times New Roman" w:cs="Times New Roman" w:eastAsia="Times New Roman" w:hint="default"/>
                <w:sz w:val="21"/>
                <w:szCs w:val="21"/>
              </w:rPr>
            </w:pPr>
            <w:r>
              <w:rPr>
                <w:rFonts w:ascii="Times New Roman"/>
                <w:spacing w:val="-2"/>
                <w:sz w:val="21"/>
              </w:rPr>
              <w:t>1,104,112</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22"/>
              <w:jc w:val="right"/>
              <w:rPr>
                <w:rFonts w:ascii="Times New Roman" w:hAnsi="Times New Roman" w:cs="Times New Roman" w:eastAsia="Times New Roman" w:hint="default"/>
                <w:sz w:val="21"/>
                <w:szCs w:val="21"/>
              </w:rPr>
            </w:pPr>
            <w:r>
              <w:rPr>
                <w:rFonts w:ascii="Times New Roman"/>
                <w:spacing w:val="-1"/>
                <w:sz w:val="21"/>
              </w:rPr>
              <w:t>873,081</w:t>
            </w:r>
          </w:p>
        </w:tc>
        <w:tc>
          <w:tcPr>
            <w:tcW w:w="1802" w:type="dxa"/>
            <w:tcBorders>
              <w:top w:val="nil" w:sz="6" w:space="0" w:color="auto"/>
              <w:left w:val="nil" w:sz="6" w:space="0" w:color="auto"/>
              <w:bottom w:val="nil" w:sz="6" w:space="0" w:color="auto"/>
              <w:right w:val="nil" w:sz="6" w:space="0" w:color="auto"/>
            </w:tcBorders>
          </w:tcPr>
          <w:p>
            <w:pPr/>
          </w:p>
        </w:tc>
      </w:tr>
      <w:tr>
        <w:trPr>
          <w:trHeight w:val="361" w:hRule="exact"/>
        </w:trPr>
        <w:tc>
          <w:tcPr>
            <w:tcW w:w="294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2"/>
              <w:ind w:left="1453" w:right="0"/>
              <w:jc w:val="left"/>
              <w:rPr>
                <w:rFonts w:ascii="宋体" w:hAnsi="宋体" w:cs="宋体" w:eastAsia="宋体" w:hint="default"/>
                <w:sz w:val="21"/>
                <w:szCs w:val="21"/>
              </w:rPr>
            </w:pPr>
            <w:r>
              <w:rPr>
                <w:rFonts w:ascii="宋体" w:hAnsi="宋体" w:cs="宋体" w:eastAsia="宋体" w:hint="default"/>
                <w:sz w:val="21"/>
                <w:szCs w:val="21"/>
              </w:rPr>
              <w:t>合    计</w:t>
            </w:r>
          </w:p>
        </w:tc>
        <w:tc>
          <w:tcPr>
            <w:tcW w:w="2284" w:type="dxa"/>
            <w:tcBorders>
              <w:top w:val="nil" w:sz="6" w:space="0" w:color="auto"/>
              <w:left w:val="nil" w:sz="6" w:space="0" w:color="auto"/>
              <w:bottom w:val="single" w:sz="8" w:space="0" w:color="000000"/>
              <w:right w:val="nil" w:sz="6" w:space="0" w:color="auto"/>
            </w:tcBorders>
          </w:tcPr>
          <w:p>
            <w:pPr>
              <w:pStyle w:val="TableParagraph"/>
              <w:spacing w:line="240" w:lineRule="auto" w:before="106"/>
              <w:ind w:right="317"/>
              <w:jc w:val="right"/>
              <w:rPr>
                <w:rFonts w:ascii="Times New Roman" w:hAnsi="Times New Roman" w:cs="Times New Roman" w:eastAsia="Times New Roman" w:hint="default"/>
                <w:sz w:val="21"/>
                <w:szCs w:val="21"/>
              </w:rPr>
            </w:pPr>
            <w:r>
              <w:rPr>
                <w:rFonts w:ascii="Times New Roman"/>
                <w:spacing w:val="-2"/>
                <w:sz w:val="21"/>
              </w:rPr>
              <w:t>54,114,018</w:t>
            </w:r>
          </w:p>
        </w:tc>
        <w:tc>
          <w:tcPr>
            <w:tcW w:w="1907" w:type="dxa"/>
            <w:tcBorders>
              <w:top w:val="nil" w:sz="6" w:space="0" w:color="auto"/>
              <w:left w:val="nil" w:sz="6" w:space="0" w:color="auto"/>
              <w:bottom w:val="single" w:sz="8" w:space="0" w:color="000000"/>
              <w:right w:val="nil" w:sz="6" w:space="0" w:color="auto"/>
            </w:tcBorders>
          </w:tcPr>
          <w:p>
            <w:pPr>
              <w:pStyle w:val="TableParagraph"/>
              <w:spacing w:line="240" w:lineRule="auto" w:before="106"/>
              <w:ind w:right="223"/>
              <w:jc w:val="right"/>
              <w:rPr>
                <w:rFonts w:ascii="Times New Roman" w:hAnsi="Times New Roman" w:cs="Times New Roman" w:eastAsia="Times New Roman" w:hint="default"/>
                <w:sz w:val="21"/>
                <w:szCs w:val="21"/>
              </w:rPr>
            </w:pPr>
            <w:r>
              <w:rPr>
                <w:rFonts w:ascii="Times New Roman"/>
                <w:spacing w:val="-1"/>
                <w:sz w:val="21"/>
              </w:rPr>
              <w:t>45,460,075</w:t>
            </w:r>
          </w:p>
        </w:tc>
        <w:tc>
          <w:tcPr>
            <w:tcW w:w="1802" w:type="dxa"/>
            <w:tcBorders>
              <w:top w:val="nil" w:sz="6" w:space="0" w:color="auto"/>
              <w:left w:val="nil" w:sz="6" w:space="0" w:color="auto"/>
              <w:bottom w:val="single" w:sz="8" w:space="0" w:color="000000"/>
              <w:right w:val="nil" w:sz="6" w:space="0" w:color="auto"/>
            </w:tcBorders>
          </w:tcPr>
          <w:p>
            <w:pPr/>
          </w:p>
        </w:tc>
      </w:tr>
      <w:tr>
        <w:trPr>
          <w:trHeight w:val="897" w:hRule="exact"/>
        </w:trPr>
        <w:tc>
          <w:tcPr>
            <w:tcW w:w="2946"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9"/>
              <w:ind w:right="0"/>
              <w:jc w:val="left"/>
              <w:rPr>
                <w:rFonts w:ascii="Times New Roman" w:hAnsi="Times New Roman" w:cs="Times New Roman" w:eastAsia="Times New Roman" w:hint="default"/>
                <w:sz w:val="20"/>
                <w:szCs w:val="20"/>
              </w:rPr>
            </w:pPr>
          </w:p>
          <w:p>
            <w:pPr>
              <w:pStyle w:val="TableParagraph"/>
              <w:spacing w:line="240" w:lineRule="auto"/>
              <w:ind w:left="34"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三十九</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6"/>
                <w:sz w:val="21"/>
                <w:szCs w:val="21"/>
              </w:rPr>
              <w:t> </w:t>
            </w:r>
            <w:r>
              <w:rPr>
                <w:rFonts w:ascii="宋体" w:hAnsi="宋体" w:cs="宋体" w:eastAsia="宋体" w:hint="default"/>
                <w:sz w:val="21"/>
                <w:szCs w:val="21"/>
              </w:rPr>
              <w:t>公允价值变动收益</w:t>
            </w:r>
          </w:p>
        </w:tc>
        <w:tc>
          <w:tcPr>
            <w:tcW w:w="2284" w:type="dxa"/>
            <w:tcBorders>
              <w:top w:val="nil" w:sz="6" w:space="0" w:color="auto"/>
              <w:left w:val="nil" w:sz="6" w:space="0" w:color="auto"/>
              <w:bottom w:val="nil" w:sz="6" w:space="0" w:color="auto"/>
              <w:right w:val="nil" w:sz="6" w:space="0" w:color="auto"/>
            </w:tcBorders>
          </w:tcPr>
          <w:p>
            <w:pPr/>
          </w:p>
        </w:tc>
        <w:tc>
          <w:tcPr>
            <w:tcW w:w="1907"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
        </w:tc>
      </w:tr>
      <w:tr>
        <w:trPr>
          <w:trHeight w:val="449" w:hRule="exact"/>
        </w:trPr>
        <w:tc>
          <w:tcPr>
            <w:tcW w:w="645" w:type="dxa"/>
            <w:tcBorders>
              <w:top w:val="nil" w:sz="6" w:space="0" w:color="auto"/>
              <w:left w:val="nil" w:sz="6" w:space="0" w:color="auto"/>
              <w:bottom w:val="nil" w:sz="6" w:space="0" w:color="auto"/>
              <w:right w:val="nil" w:sz="6" w:space="0" w:color="auto"/>
            </w:tcBorders>
          </w:tcPr>
          <w:p>
            <w:pPr/>
          </w:p>
        </w:tc>
        <w:tc>
          <w:tcPr>
            <w:tcW w:w="458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959" w:right="0"/>
              <w:jc w:val="left"/>
              <w:rPr>
                <w:rFonts w:ascii="宋体" w:hAnsi="宋体" w:cs="宋体" w:eastAsia="宋体" w:hint="default"/>
                <w:sz w:val="21"/>
                <w:szCs w:val="21"/>
              </w:rPr>
            </w:pPr>
            <w:r>
              <w:rPr>
                <w:rFonts w:ascii="宋体" w:hAnsi="宋体" w:cs="宋体" w:eastAsia="宋体" w:hint="default"/>
                <w:sz w:val="21"/>
                <w:szCs w:val="21"/>
              </w:rPr>
              <w:t>产生公允价值变动收益的来源</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46"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67"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900" w:hRule="exact"/>
        </w:trPr>
        <w:tc>
          <w:tcPr>
            <w:tcW w:w="645" w:type="dxa"/>
            <w:tcBorders>
              <w:top w:val="nil" w:sz="6" w:space="0" w:color="auto"/>
              <w:left w:val="nil" w:sz="6" w:space="0" w:color="auto"/>
              <w:bottom w:val="nil" w:sz="6" w:space="0" w:color="auto"/>
              <w:right w:val="nil" w:sz="6" w:space="0" w:color="auto"/>
            </w:tcBorders>
          </w:tcPr>
          <w:p>
            <w:pPr/>
          </w:p>
        </w:tc>
        <w:tc>
          <w:tcPr>
            <w:tcW w:w="4585" w:type="dxa"/>
            <w:gridSpan w:val="2"/>
            <w:tcBorders>
              <w:top w:val="nil" w:sz="6" w:space="0" w:color="auto"/>
              <w:left w:val="nil" w:sz="6" w:space="0" w:color="auto"/>
              <w:bottom w:val="nil" w:sz="6" w:space="0" w:color="auto"/>
              <w:right w:val="nil" w:sz="6" w:space="0" w:color="auto"/>
            </w:tcBorders>
          </w:tcPr>
          <w:p>
            <w:pPr>
              <w:pStyle w:val="TableParagraph"/>
              <w:spacing w:line="372" w:lineRule="auto" w:before="55"/>
              <w:ind w:left="121" w:right="262"/>
              <w:jc w:val="left"/>
              <w:rPr>
                <w:rFonts w:ascii="宋体" w:hAnsi="宋体" w:cs="宋体" w:eastAsia="宋体" w:hint="default"/>
                <w:sz w:val="21"/>
                <w:szCs w:val="21"/>
              </w:rPr>
            </w:pPr>
            <w:r>
              <w:rPr>
                <w:rFonts w:ascii="宋体" w:hAnsi="宋体" w:cs="宋体" w:eastAsia="宋体" w:hint="default"/>
                <w:sz w:val="21"/>
                <w:szCs w:val="21"/>
              </w:rPr>
              <w:t>交易性金融资产</w:t>
            </w:r>
            <w:r>
              <w:rPr>
                <w:rFonts w:ascii="Times New Roman" w:hAnsi="Times New Roman" w:cs="Times New Roman" w:eastAsia="Times New Roman" w:hint="default"/>
                <w:sz w:val="21"/>
                <w:szCs w:val="21"/>
              </w:rPr>
              <w:t>-</w:t>
            </w:r>
            <w:r>
              <w:rPr>
                <w:rFonts w:ascii="宋体" w:hAnsi="宋体" w:cs="宋体" w:eastAsia="宋体" w:hint="default"/>
                <w:sz w:val="21"/>
                <w:szCs w:val="21"/>
              </w:rPr>
              <w:t>远期外币结汇合同 其中：衍生金融工具产生的公允价值变动收益</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23"/>
              <w:jc w:val="right"/>
              <w:rPr>
                <w:rFonts w:ascii="Times New Roman" w:hAnsi="Times New Roman" w:cs="Times New Roman" w:eastAsia="Times New Roman" w:hint="default"/>
                <w:sz w:val="21"/>
                <w:szCs w:val="21"/>
              </w:rPr>
            </w:pPr>
            <w:r>
              <w:rPr>
                <w:rFonts w:ascii="Times New Roman"/>
                <w:spacing w:val="-1"/>
                <w:sz w:val="21"/>
              </w:rPr>
              <w:t>436,360</w:t>
            </w:r>
          </w:p>
        </w:tc>
        <w:tc>
          <w:tcPr>
            <w:tcW w:w="1802" w:type="dxa"/>
            <w:tcBorders>
              <w:top w:val="nil" w:sz="6" w:space="0" w:color="auto"/>
              <w:left w:val="nil" w:sz="6" w:space="0" w:color="auto"/>
              <w:bottom w:val="nil" w:sz="6" w:space="0" w:color="auto"/>
              <w:right w:val="nil" w:sz="6" w:space="0" w:color="auto"/>
            </w:tcBorders>
          </w:tcPr>
          <w:p>
            <w:pPr/>
          </w:p>
        </w:tc>
      </w:tr>
      <w:tr>
        <w:trPr>
          <w:trHeight w:val="900" w:hRule="exact"/>
        </w:trPr>
        <w:tc>
          <w:tcPr>
            <w:tcW w:w="645" w:type="dxa"/>
            <w:tcBorders>
              <w:top w:val="nil" w:sz="6" w:space="0" w:color="auto"/>
              <w:left w:val="nil" w:sz="6" w:space="0" w:color="auto"/>
              <w:bottom w:val="nil" w:sz="6" w:space="0" w:color="auto"/>
              <w:right w:val="nil" w:sz="6" w:space="0" w:color="auto"/>
            </w:tcBorders>
          </w:tcPr>
          <w:p>
            <w:pPr/>
          </w:p>
        </w:tc>
        <w:tc>
          <w:tcPr>
            <w:tcW w:w="4585" w:type="dxa"/>
            <w:gridSpan w:val="2"/>
            <w:tcBorders>
              <w:top w:val="nil" w:sz="6" w:space="0" w:color="auto"/>
              <w:left w:val="nil" w:sz="6" w:space="0" w:color="auto"/>
              <w:bottom w:val="nil" w:sz="6" w:space="0" w:color="auto"/>
              <w:right w:val="nil" w:sz="6" w:space="0" w:color="auto"/>
            </w:tcBorders>
          </w:tcPr>
          <w:p>
            <w:pPr>
              <w:pStyle w:val="TableParagraph"/>
              <w:spacing w:line="372" w:lineRule="auto" w:before="55"/>
              <w:ind w:left="121" w:right="1242"/>
              <w:jc w:val="left"/>
              <w:rPr>
                <w:rFonts w:ascii="宋体" w:hAnsi="宋体" w:cs="宋体" w:eastAsia="宋体" w:hint="default"/>
                <w:sz w:val="21"/>
                <w:szCs w:val="21"/>
              </w:rPr>
            </w:pPr>
            <w:r>
              <w:rPr>
                <w:rFonts w:ascii="宋体" w:hAnsi="宋体" w:cs="宋体" w:eastAsia="宋体" w:hint="default"/>
                <w:sz w:val="21"/>
                <w:szCs w:val="21"/>
              </w:rPr>
              <w:t>交易性金融负债</w:t>
            </w:r>
            <w:r>
              <w:rPr>
                <w:rFonts w:ascii="Times New Roman" w:hAnsi="Times New Roman" w:cs="Times New Roman" w:eastAsia="Times New Roman" w:hint="default"/>
                <w:sz w:val="21"/>
                <w:szCs w:val="21"/>
              </w:rPr>
              <w:t>-</w:t>
            </w:r>
            <w:r>
              <w:rPr>
                <w:rFonts w:ascii="宋体" w:hAnsi="宋体" w:cs="宋体" w:eastAsia="宋体" w:hint="default"/>
                <w:sz w:val="21"/>
                <w:szCs w:val="21"/>
              </w:rPr>
              <w:t>远期外币结汇合同 按公允价值计量的投资性房地产</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24"/>
              <w:jc w:val="right"/>
              <w:rPr>
                <w:rFonts w:ascii="Times New Roman" w:hAnsi="Times New Roman" w:cs="Times New Roman" w:eastAsia="Times New Roman" w:hint="default"/>
                <w:sz w:val="21"/>
                <w:szCs w:val="21"/>
              </w:rPr>
            </w:pPr>
            <w:r>
              <w:rPr>
                <w:rFonts w:ascii="Times New Roman"/>
                <w:spacing w:val="-1"/>
                <w:sz w:val="21"/>
              </w:rPr>
              <w:t>8,760,139</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7"/>
              <w:jc w:val="right"/>
              <w:rPr>
                <w:rFonts w:ascii="Times New Roman" w:hAnsi="Times New Roman" w:cs="Times New Roman" w:eastAsia="Times New Roman" w:hint="default"/>
                <w:sz w:val="21"/>
                <w:szCs w:val="21"/>
              </w:rPr>
            </w:pPr>
            <w:r>
              <w:rPr>
                <w:rFonts w:ascii="Times New Roman"/>
                <w:spacing w:val="-1"/>
                <w:sz w:val="21"/>
              </w:rPr>
              <w:t>-8,760,139</w:t>
            </w:r>
            <w:r>
              <w:rPr>
                <w:rFonts w:ascii="Times New Roman"/>
                <w:sz w:val="21"/>
              </w:rPr>
            </w:r>
          </w:p>
        </w:tc>
      </w:tr>
      <w:tr>
        <w:trPr>
          <w:trHeight w:val="372" w:hRule="exact"/>
        </w:trPr>
        <w:tc>
          <w:tcPr>
            <w:tcW w:w="645" w:type="dxa"/>
            <w:tcBorders>
              <w:top w:val="nil" w:sz="6" w:space="0" w:color="auto"/>
              <w:left w:val="nil" w:sz="6" w:space="0" w:color="auto"/>
              <w:bottom w:val="nil" w:sz="6" w:space="0" w:color="auto"/>
              <w:right w:val="nil" w:sz="6" w:space="0" w:color="auto"/>
            </w:tcBorders>
          </w:tcPr>
          <w:p>
            <w:pPr/>
          </w:p>
        </w:tc>
        <w:tc>
          <w:tcPr>
            <w:tcW w:w="4585" w:type="dxa"/>
            <w:gridSpan w:val="2"/>
            <w:tcBorders>
              <w:top w:val="nil" w:sz="6" w:space="0" w:color="auto"/>
              <w:left w:val="nil" w:sz="6" w:space="0" w:color="auto"/>
              <w:bottom w:val="single" w:sz="8" w:space="0" w:color="000000"/>
              <w:right w:val="nil" w:sz="6" w:space="0" w:color="auto"/>
            </w:tcBorders>
          </w:tcPr>
          <w:p>
            <w:pPr>
              <w:pStyle w:val="TableParagraph"/>
              <w:spacing w:line="240" w:lineRule="auto" w:before="55"/>
              <w:ind w:left="63" w:right="0"/>
              <w:jc w:val="center"/>
              <w:rPr>
                <w:rFonts w:ascii="宋体" w:hAnsi="宋体" w:cs="宋体" w:eastAsia="宋体" w:hint="default"/>
                <w:sz w:val="21"/>
                <w:szCs w:val="21"/>
              </w:rPr>
            </w:pPr>
            <w:r>
              <w:rPr>
                <w:rFonts w:ascii="宋体" w:hAnsi="宋体" w:cs="宋体" w:eastAsia="宋体" w:hint="default"/>
                <w:sz w:val="21"/>
                <w:szCs w:val="21"/>
              </w:rPr>
              <w:t>合    计</w:t>
            </w:r>
          </w:p>
        </w:tc>
        <w:tc>
          <w:tcPr>
            <w:tcW w:w="1907" w:type="dxa"/>
            <w:tcBorders>
              <w:top w:val="nil" w:sz="6" w:space="0" w:color="auto"/>
              <w:left w:val="nil" w:sz="6" w:space="0" w:color="auto"/>
              <w:bottom w:val="single" w:sz="8" w:space="0" w:color="000000"/>
              <w:right w:val="nil" w:sz="6" w:space="0" w:color="auto"/>
            </w:tcBorders>
          </w:tcPr>
          <w:p>
            <w:pPr>
              <w:pStyle w:val="TableParagraph"/>
              <w:spacing w:line="240" w:lineRule="auto" w:before="119"/>
              <w:ind w:right="124"/>
              <w:jc w:val="right"/>
              <w:rPr>
                <w:rFonts w:ascii="Times New Roman" w:hAnsi="Times New Roman" w:cs="Times New Roman" w:eastAsia="Times New Roman" w:hint="default"/>
                <w:sz w:val="21"/>
                <w:szCs w:val="21"/>
              </w:rPr>
            </w:pPr>
            <w:r>
              <w:rPr>
                <w:rFonts w:ascii="Times New Roman"/>
                <w:spacing w:val="-1"/>
                <w:sz w:val="21"/>
              </w:rPr>
              <w:t>9,196,499</w:t>
            </w:r>
          </w:p>
        </w:tc>
        <w:tc>
          <w:tcPr>
            <w:tcW w:w="1802" w:type="dxa"/>
            <w:tcBorders>
              <w:top w:val="nil" w:sz="6" w:space="0" w:color="auto"/>
              <w:left w:val="nil" w:sz="6" w:space="0" w:color="auto"/>
              <w:bottom w:val="single" w:sz="8" w:space="0" w:color="000000"/>
              <w:right w:val="nil" w:sz="6" w:space="0" w:color="auto"/>
            </w:tcBorders>
          </w:tcPr>
          <w:p>
            <w:pPr>
              <w:pStyle w:val="TableParagraph"/>
              <w:spacing w:line="240" w:lineRule="auto" w:before="119"/>
              <w:ind w:right="107"/>
              <w:jc w:val="right"/>
              <w:rPr>
                <w:rFonts w:ascii="Times New Roman" w:hAnsi="Times New Roman" w:cs="Times New Roman" w:eastAsia="Times New Roman" w:hint="default"/>
                <w:sz w:val="21"/>
                <w:szCs w:val="21"/>
              </w:rPr>
            </w:pPr>
            <w:r>
              <w:rPr>
                <w:rFonts w:ascii="Times New Roman"/>
                <w:spacing w:val="-1"/>
                <w:sz w:val="21"/>
              </w:rPr>
              <w:t>-8,760,139</w:t>
            </w:r>
            <w:r>
              <w:rPr>
                <w:rFonts w:ascii="Times New Roman"/>
                <w:sz w:val="21"/>
              </w:rPr>
            </w:r>
          </w:p>
        </w:tc>
      </w:tr>
      <w:tr>
        <w:trPr>
          <w:trHeight w:val="1198" w:hRule="exact"/>
        </w:trPr>
        <w:tc>
          <w:tcPr>
            <w:tcW w:w="6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8"/>
              <w:ind w:right="0"/>
              <w:jc w:val="left"/>
              <w:rPr>
                <w:rFonts w:ascii="Times New Roman" w:hAnsi="Times New Roman" w:cs="Times New Roman" w:eastAsia="Times New Roman" w:hint="default"/>
                <w:sz w:val="28"/>
                <w:szCs w:val="28"/>
              </w:rPr>
            </w:pPr>
          </w:p>
          <w:p>
            <w:pPr>
              <w:pStyle w:val="TableParagraph"/>
              <w:spacing w:line="240" w:lineRule="auto"/>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四十</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4585" w:type="dxa"/>
            <w:gridSpan w:val="2"/>
            <w:tcBorders>
              <w:top w:val="single" w:sz="8"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29"/>
                <w:szCs w:val="29"/>
              </w:rPr>
            </w:pPr>
          </w:p>
          <w:p>
            <w:pPr>
              <w:pStyle w:val="TableParagraph"/>
              <w:spacing w:line="240" w:lineRule="auto"/>
              <w:ind w:left="118"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1907" w:type="dxa"/>
            <w:tcBorders>
              <w:top w:val="single" w:sz="8" w:space="0" w:color="000000"/>
              <w:left w:val="nil" w:sz="6" w:space="0" w:color="auto"/>
              <w:bottom w:val="nil" w:sz="6" w:space="0" w:color="auto"/>
              <w:right w:val="nil" w:sz="6" w:space="0" w:color="auto"/>
            </w:tcBorders>
          </w:tcPr>
          <w:p>
            <w:pPr/>
          </w:p>
        </w:tc>
        <w:tc>
          <w:tcPr>
            <w:tcW w:w="1802" w:type="dxa"/>
            <w:tcBorders>
              <w:top w:val="single" w:sz="8" w:space="0" w:color="000000"/>
              <w:left w:val="nil" w:sz="6" w:space="0" w:color="auto"/>
              <w:bottom w:val="nil" w:sz="6" w:space="0" w:color="auto"/>
              <w:right w:val="nil" w:sz="6" w:space="0" w:color="auto"/>
            </w:tcBorders>
          </w:tcPr>
          <w:p>
            <w:pPr/>
          </w:p>
        </w:tc>
      </w:tr>
      <w:tr>
        <w:trPr>
          <w:trHeight w:val="582" w:hRule="exact"/>
        </w:trPr>
        <w:tc>
          <w:tcPr>
            <w:tcW w:w="645" w:type="dxa"/>
            <w:tcBorders>
              <w:top w:val="nil" w:sz="6" w:space="0" w:color="auto"/>
              <w:left w:val="nil" w:sz="6" w:space="0" w:color="auto"/>
              <w:bottom w:val="nil" w:sz="6" w:space="0" w:color="auto"/>
              <w:right w:val="nil" w:sz="6" w:space="0" w:color="auto"/>
            </w:tcBorders>
          </w:tcPr>
          <w:p>
            <w:pPr/>
          </w:p>
        </w:tc>
        <w:tc>
          <w:tcPr>
            <w:tcW w:w="4585" w:type="dxa"/>
            <w:gridSpan w:val="2"/>
            <w:tcBorders>
              <w:top w:val="nil" w:sz="6" w:space="0" w:color="auto"/>
              <w:left w:val="nil" w:sz="6" w:space="0" w:color="auto"/>
              <w:bottom w:val="single" w:sz="8"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tabs>
                <w:tab w:pos="661" w:val="left" w:leader="none"/>
              </w:tabs>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投资收益明细情况</w:t>
            </w:r>
          </w:p>
        </w:tc>
        <w:tc>
          <w:tcPr>
            <w:tcW w:w="1907" w:type="dxa"/>
            <w:tcBorders>
              <w:top w:val="nil" w:sz="6" w:space="0" w:color="auto"/>
              <w:left w:val="nil" w:sz="6" w:space="0" w:color="auto"/>
              <w:bottom w:val="single" w:sz="8" w:space="0" w:color="000000"/>
              <w:right w:val="nil" w:sz="6" w:space="0" w:color="auto"/>
            </w:tcBorders>
          </w:tcPr>
          <w:p>
            <w:pPr/>
          </w:p>
        </w:tc>
        <w:tc>
          <w:tcPr>
            <w:tcW w:w="1802" w:type="dxa"/>
            <w:tcBorders>
              <w:top w:val="nil" w:sz="6" w:space="0" w:color="auto"/>
              <w:left w:val="nil" w:sz="6" w:space="0" w:color="auto"/>
              <w:bottom w:val="single" w:sz="8" w:space="0" w:color="000000"/>
              <w:right w:val="nil" w:sz="6" w:space="0" w:color="auto"/>
            </w:tcBorders>
          </w:tcPr>
          <w:p>
            <w:pPr/>
          </w:p>
        </w:tc>
      </w:tr>
      <w:tr>
        <w:trPr>
          <w:trHeight w:val="538" w:hRule="exact"/>
        </w:trPr>
        <w:tc>
          <w:tcPr>
            <w:tcW w:w="645" w:type="dxa"/>
            <w:tcBorders>
              <w:top w:val="nil" w:sz="6" w:space="0" w:color="auto"/>
              <w:left w:val="nil" w:sz="6" w:space="0" w:color="auto"/>
              <w:bottom w:val="nil" w:sz="6" w:space="0" w:color="auto"/>
              <w:right w:val="nil" w:sz="6" w:space="0" w:color="auto"/>
            </w:tcBorders>
          </w:tcPr>
          <w:p>
            <w:pPr/>
          </w:p>
        </w:tc>
        <w:tc>
          <w:tcPr>
            <w:tcW w:w="4585" w:type="dxa"/>
            <w:gridSpan w:val="2"/>
            <w:tcBorders>
              <w:top w:val="single" w:sz="8" w:space="0" w:color="000000"/>
              <w:left w:val="nil" w:sz="6" w:space="0" w:color="auto"/>
              <w:bottom w:val="nil" w:sz="6" w:space="0" w:color="auto"/>
              <w:right w:val="nil" w:sz="6" w:space="0" w:color="auto"/>
            </w:tcBorders>
          </w:tcPr>
          <w:p>
            <w:pPr>
              <w:pStyle w:val="TableParagraph"/>
              <w:spacing w:line="240" w:lineRule="auto" w:before="134"/>
              <w:ind w:left="66" w:right="0"/>
              <w:jc w:val="center"/>
              <w:rPr>
                <w:rFonts w:ascii="宋体" w:hAnsi="宋体" w:cs="宋体" w:eastAsia="宋体" w:hint="default"/>
                <w:sz w:val="21"/>
                <w:szCs w:val="21"/>
              </w:rPr>
            </w:pPr>
            <w:r>
              <w:rPr>
                <w:rFonts w:ascii="宋体" w:hAnsi="宋体" w:cs="宋体" w:eastAsia="宋体" w:hint="default"/>
                <w:sz w:val="21"/>
                <w:szCs w:val="21"/>
              </w:rPr>
              <w:t>项    目</w:t>
            </w:r>
          </w:p>
        </w:tc>
        <w:tc>
          <w:tcPr>
            <w:tcW w:w="1907" w:type="dxa"/>
            <w:tcBorders>
              <w:top w:val="single" w:sz="8" w:space="0" w:color="000000"/>
              <w:left w:val="nil" w:sz="6" w:space="0" w:color="auto"/>
              <w:bottom w:val="nil" w:sz="6" w:space="0" w:color="auto"/>
              <w:right w:val="nil" w:sz="6" w:space="0" w:color="auto"/>
            </w:tcBorders>
          </w:tcPr>
          <w:p>
            <w:pPr>
              <w:pStyle w:val="TableParagraph"/>
              <w:spacing w:line="240" w:lineRule="auto" w:before="134"/>
              <w:ind w:left="440"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802" w:type="dxa"/>
            <w:tcBorders>
              <w:top w:val="single" w:sz="8" w:space="0" w:color="000000"/>
              <w:left w:val="nil" w:sz="6" w:space="0" w:color="auto"/>
              <w:bottom w:val="nil" w:sz="6" w:space="0" w:color="auto"/>
              <w:right w:val="nil" w:sz="6" w:space="0" w:color="auto"/>
            </w:tcBorders>
          </w:tcPr>
          <w:p>
            <w:pPr>
              <w:pStyle w:val="TableParagraph"/>
              <w:spacing w:line="240" w:lineRule="auto" w:before="134"/>
              <w:ind w:left="346"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49" w:hRule="exact"/>
        </w:trPr>
        <w:tc>
          <w:tcPr>
            <w:tcW w:w="645" w:type="dxa"/>
            <w:tcBorders>
              <w:top w:val="nil" w:sz="6" w:space="0" w:color="auto"/>
              <w:left w:val="nil" w:sz="6" w:space="0" w:color="auto"/>
              <w:bottom w:val="nil" w:sz="6" w:space="0" w:color="auto"/>
              <w:right w:val="nil" w:sz="6" w:space="0" w:color="auto"/>
            </w:tcBorders>
          </w:tcPr>
          <w:p>
            <w:pPr/>
          </w:p>
        </w:tc>
        <w:tc>
          <w:tcPr>
            <w:tcW w:w="458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121" w:right="0"/>
              <w:jc w:val="left"/>
              <w:rPr>
                <w:rFonts w:ascii="宋体" w:hAnsi="宋体" w:cs="宋体" w:eastAsia="宋体" w:hint="default"/>
                <w:sz w:val="21"/>
                <w:szCs w:val="21"/>
              </w:rPr>
            </w:pPr>
            <w:r>
              <w:rPr>
                <w:rFonts w:ascii="宋体" w:hAnsi="宋体" w:cs="宋体" w:eastAsia="宋体" w:hint="default"/>
                <w:sz w:val="21"/>
                <w:szCs w:val="21"/>
              </w:rPr>
              <w:t>成本法核算的长期股权投资收益</w:t>
            </w:r>
          </w:p>
        </w:tc>
        <w:tc>
          <w:tcPr>
            <w:tcW w:w="1907"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
        </w:tc>
      </w:tr>
      <w:tr>
        <w:trPr>
          <w:trHeight w:val="463" w:hRule="exact"/>
        </w:trPr>
        <w:tc>
          <w:tcPr>
            <w:tcW w:w="645" w:type="dxa"/>
            <w:tcBorders>
              <w:top w:val="nil" w:sz="6" w:space="0" w:color="auto"/>
              <w:left w:val="nil" w:sz="6" w:space="0" w:color="auto"/>
              <w:bottom w:val="nil" w:sz="6" w:space="0" w:color="auto"/>
              <w:right w:val="nil" w:sz="6" w:space="0" w:color="auto"/>
            </w:tcBorders>
          </w:tcPr>
          <w:p>
            <w:pPr/>
          </w:p>
        </w:tc>
        <w:tc>
          <w:tcPr>
            <w:tcW w:w="458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5"/>
              <w:ind w:left="121" w:right="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37"/>
              <w:jc w:val="right"/>
              <w:rPr>
                <w:rFonts w:ascii="Times New Roman" w:hAnsi="Times New Roman" w:cs="Times New Roman" w:eastAsia="Times New Roman" w:hint="default"/>
                <w:sz w:val="21"/>
                <w:szCs w:val="21"/>
              </w:rPr>
            </w:pPr>
            <w:r>
              <w:rPr>
                <w:rFonts w:ascii="Times New Roman"/>
                <w:spacing w:val="-1"/>
                <w:sz w:val="21"/>
              </w:rPr>
              <w:t>37,615,099</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34"/>
              <w:jc w:val="right"/>
              <w:rPr>
                <w:rFonts w:ascii="Times New Roman" w:hAnsi="Times New Roman" w:cs="Times New Roman" w:eastAsia="Times New Roman" w:hint="default"/>
                <w:sz w:val="21"/>
                <w:szCs w:val="21"/>
              </w:rPr>
            </w:pPr>
            <w:r>
              <w:rPr>
                <w:rFonts w:ascii="Times New Roman"/>
                <w:spacing w:val="-1"/>
                <w:sz w:val="21"/>
              </w:rPr>
              <w:t>32,421,110</w:t>
            </w:r>
          </w:p>
        </w:tc>
      </w:tr>
      <w:tr>
        <w:trPr>
          <w:trHeight w:val="887" w:hRule="exact"/>
        </w:trPr>
        <w:tc>
          <w:tcPr>
            <w:tcW w:w="645" w:type="dxa"/>
            <w:tcBorders>
              <w:top w:val="nil" w:sz="6" w:space="0" w:color="auto"/>
              <w:left w:val="nil" w:sz="6" w:space="0" w:color="auto"/>
              <w:bottom w:val="nil" w:sz="6" w:space="0" w:color="auto"/>
              <w:right w:val="nil" w:sz="6" w:space="0" w:color="auto"/>
            </w:tcBorders>
          </w:tcPr>
          <w:p>
            <w:pPr/>
          </w:p>
        </w:tc>
        <w:tc>
          <w:tcPr>
            <w:tcW w:w="4585" w:type="dxa"/>
            <w:gridSpan w:val="2"/>
            <w:tcBorders>
              <w:top w:val="nil" w:sz="6" w:space="0" w:color="auto"/>
              <w:left w:val="nil" w:sz="6" w:space="0" w:color="auto"/>
              <w:bottom w:val="nil" w:sz="6" w:space="0" w:color="auto"/>
              <w:right w:val="nil" w:sz="6" w:space="0" w:color="auto"/>
            </w:tcBorders>
          </w:tcPr>
          <w:p>
            <w:pPr>
              <w:pStyle w:val="TableParagraph"/>
              <w:spacing w:line="393" w:lineRule="auto" w:before="42"/>
              <w:ind w:left="121" w:right="682"/>
              <w:jc w:val="left"/>
              <w:rPr>
                <w:rFonts w:ascii="宋体" w:hAnsi="宋体" w:cs="宋体" w:eastAsia="宋体" w:hint="default"/>
                <w:sz w:val="21"/>
                <w:szCs w:val="21"/>
              </w:rPr>
            </w:pPr>
            <w:r>
              <w:rPr>
                <w:rFonts w:ascii="宋体" w:hAnsi="宋体" w:cs="宋体" w:eastAsia="宋体" w:hint="default"/>
                <w:sz w:val="21"/>
                <w:szCs w:val="21"/>
              </w:rPr>
              <w:t>处置长期股权投资产生的投资收益 持有交易性金融资产期间取得的投资收益</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37"/>
              <w:jc w:val="right"/>
              <w:rPr>
                <w:rFonts w:ascii="Times New Roman" w:hAnsi="Times New Roman" w:cs="Times New Roman" w:eastAsia="Times New Roman" w:hint="default"/>
                <w:sz w:val="21"/>
                <w:szCs w:val="21"/>
              </w:rPr>
            </w:pPr>
            <w:r>
              <w:rPr>
                <w:rFonts w:ascii="Times New Roman"/>
                <w:spacing w:val="-1"/>
                <w:sz w:val="21"/>
              </w:rPr>
              <w:t>-202,729</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33"/>
              <w:jc w:val="right"/>
              <w:rPr>
                <w:rFonts w:ascii="Times New Roman" w:hAnsi="Times New Roman" w:cs="Times New Roman" w:eastAsia="Times New Roman" w:hint="default"/>
                <w:sz w:val="21"/>
                <w:szCs w:val="21"/>
              </w:rPr>
            </w:pPr>
            <w:r>
              <w:rPr>
                <w:rFonts w:ascii="Times New Roman"/>
                <w:spacing w:val="-1"/>
                <w:sz w:val="21"/>
              </w:rPr>
              <w:t>722,657</w:t>
            </w:r>
          </w:p>
        </w:tc>
      </w:tr>
      <w:tr>
        <w:trPr>
          <w:trHeight w:val="900" w:hRule="exact"/>
        </w:trPr>
        <w:tc>
          <w:tcPr>
            <w:tcW w:w="645" w:type="dxa"/>
            <w:tcBorders>
              <w:top w:val="nil" w:sz="6" w:space="0" w:color="auto"/>
              <w:left w:val="nil" w:sz="6" w:space="0" w:color="auto"/>
              <w:bottom w:val="nil" w:sz="6" w:space="0" w:color="auto"/>
              <w:right w:val="nil" w:sz="6" w:space="0" w:color="auto"/>
            </w:tcBorders>
          </w:tcPr>
          <w:p>
            <w:pPr/>
          </w:p>
        </w:tc>
        <w:tc>
          <w:tcPr>
            <w:tcW w:w="4585" w:type="dxa"/>
            <w:gridSpan w:val="2"/>
            <w:tcBorders>
              <w:top w:val="nil" w:sz="6" w:space="0" w:color="auto"/>
              <w:left w:val="nil" w:sz="6" w:space="0" w:color="auto"/>
              <w:bottom w:val="nil" w:sz="6" w:space="0" w:color="auto"/>
              <w:right w:val="nil" w:sz="6" w:space="0" w:color="auto"/>
            </w:tcBorders>
          </w:tcPr>
          <w:p>
            <w:pPr>
              <w:pStyle w:val="TableParagraph"/>
              <w:spacing w:line="393" w:lineRule="auto" w:before="55"/>
              <w:ind w:left="121" w:right="262"/>
              <w:jc w:val="left"/>
              <w:rPr>
                <w:rFonts w:ascii="宋体" w:hAnsi="宋体" w:cs="宋体" w:eastAsia="宋体" w:hint="default"/>
                <w:sz w:val="21"/>
                <w:szCs w:val="21"/>
              </w:rPr>
            </w:pPr>
            <w:r>
              <w:rPr>
                <w:rFonts w:ascii="宋体" w:hAnsi="宋体" w:cs="宋体" w:eastAsia="宋体" w:hint="default"/>
                <w:sz w:val="21"/>
                <w:szCs w:val="21"/>
              </w:rPr>
              <w:t>持有可供出售金融资产等期间取得的投资收益 处置交易性金融资产取得的投资收益</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37"/>
              <w:jc w:val="right"/>
              <w:rPr>
                <w:rFonts w:ascii="Times New Roman" w:hAnsi="Times New Roman" w:cs="Times New Roman" w:eastAsia="Times New Roman" w:hint="default"/>
                <w:sz w:val="21"/>
                <w:szCs w:val="21"/>
              </w:rPr>
            </w:pPr>
            <w:r>
              <w:rPr>
                <w:rFonts w:ascii="Times New Roman"/>
                <w:spacing w:val="-1"/>
                <w:sz w:val="21"/>
              </w:rPr>
              <w:t>428,308</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34"/>
              <w:jc w:val="right"/>
              <w:rPr>
                <w:rFonts w:ascii="Times New Roman" w:hAnsi="Times New Roman" w:cs="Times New Roman" w:eastAsia="Times New Roman" w:hint="default"/>
                <w:sz w:val="21"/>
                <w:szCs w:val="21"/>
              </w:rPr>
            </w:pPr>
            <w:r>
              <w:rPr>
                <w:rFonts w:ascii="Times New Roman"/>
                <w:spacing w:val="-1"/>
                <w:sz w:val="21"/>
              </w:rPr>
              <w:t>1,074,820</w:t>
            </w:r>
          </w:p>
        </w:tc>
      </w:tr>
      <w:tr>
        <w:trPr>
          <w:trHeight w:val="900" w:hRule="exact"/>
        </w:trPr>
        <w:tc>
          <w:tcPr>
            <w:tcW w:w="645" w:type="dxa"/>
            <w:tcBorders>
              <w:top w:val="nil" w:sz="6" w:space="0" w:color="auto"/>
              <w:left w:val="nil" w:sz="6" w:space="0" w:color="auto"/>
              <w:bottom w:val="nil" w:sz="6" w:space="0" w:color="auto"/>
              <w:right w:val="nil" w:sz="6" w:space="0" w:color="auto"/>
            </w:tcBorders>
          </w:tcPr>
          <w:p>
            <w:pPr/>
          </w:p>
        </w:tc>
        <w:tc>
          <w:tcPr>
            <w:tcW w:w="4585" w:type="dxa"/>
            <w:gridSpan w:val="2"/>
            <w:tcBorders>
              <w:top w:val="nil" w:sz="6" w:space="0" w:color="auto"/>
              <w:left w:val="nil" w:sz="6" w:space="0" w:color="auto"/>
              <w:bottom w:val="nil" w:sz="6" w:space="0" w:color="auto"/>
              <w:right w:val="nil" w:sz="6" w:space="0" w:color="auto"/>
            </w:tcBorders>
          </w:tcPr>
          <w:p>
            <w:pPr>
              <w:pStyle w:val="TableParagraph"/>
              <w:spacing w:line="393" w:lineRule="auto" w:before="55"/>
              <w:ind w:left="121" w:right="682"/>
              <w:jc w:val="left"/>
              <w:rPr>
                <w:rFonts w:ascii="宋体" w:hAnsi="宋体" w:cs="宋体" w:eastAsia="宋体" w:hint="default"/>
                <w:sz w:val="21"/>
                <w:szCs w:val="21"/>
              </w:rPr>
            </w:pPr>
            <w:r>
              <w:rPr>
                <w:rFonts w:ascii="宋体" w:hAnsi="宋体" w:cs="宋体" w:eastAsia="宋体" w:hint="default"/>
                <w:sz w:val="21"/>
                <w:szCs w:val="21"/>
              </w:rPr>
              <w:t>处置可供出售金融资产等取得的投资收益 其    他</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37"/>
              <w:jc w:val="right"/>
              <w:rPr>
                <w:rFonts w:ascii="Times New Roman" w:hAnsi="Times New Roman" w:cs="Times New Roman" w:eastAsia="Times New Roman" w:hint="default"/>
                <w:sz w:val="21"/>
                <w:szCs w:val="21"/>
              </w:rPr>
            </w:pPr>
            <w:r>
              <w:rPr>
                <w:rFonts w:ascii="Times New Roman"/>
                <w:spacing w:val="-1"/>
                <w:sz w:val="21"/>
              </w:rPr>
              <w:t>74,373,988</w:t>
            </w:r>
          </w:p>
        </w:tc>
        <w:tc>
          <w:tcPr>
            <w:tcW w:w="180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34"/>
              <w:jc w:val="right"/>
              <w:rPr>
                <w:rFonts w:ascii="Times New Roman" w:hAnsi="Times New Roman" w:cs="Times New Roman" w:eastAsia="Times New Roman" w:hint="default"/>
                <w:sz w:val="21"/>
                <w:szCs w:val="21"/>
              </w:rPr>
            </w:pPr>
            <w:r>
              <w:rPr>
                <w:rFonts w:ascii="Times New Roman"/>
                <w:spacing w:val="-1"/>
                <w:sz w:val="21"/>
              </w:rPr>
              <w:t>421,476</w:t>
            </w:r>
          </w:p>
        </w:tc>
      </w:tr>
      <w:tr>
        <w:trPr>
          <w:trHeight w:val="374" w:hRule="exact"/>
        </w:trPr>
        <w:tc>
          <w:tcPr>
            <w:tcW w:w="645" w:type="dxa"/>
            <w:tcBorders>
              <w:top w:val="nil" w:sz="6" w:space="0" w:color="auto"/>
              <w:left w:val="nil" w:sz="6" w:space="0" w:color="auto"/>
              <w:bottom w:val="nil" w:sz="6" w:space="0" w:color="auto"/>
              <w:right w:val="nil" w:sz="6" w:space="0" w:color="auto"/>
            </w:tcBorders>
          </w:tcPr>
          <w:p>
            <w:pPr/>
          </w:p>
        </w:tc>
        <w:tc>
          <w:tcPr>
            <w:tcW w:w="4585" w:type="dxa"/>
            <w:gridSpan w:val="2"/>
            <w:tcBorders>
              <w:top w:val="nil" w:sz="6" w:space="0" w:color="auto"/>
              <w:left w:val="nil" w:sz="6" w:space="0" w:color="auto"/>
              <w:bottom w:val="single" w:sz="8" w:space="0" w:color="000000"/>
              <w:right w:val="nil" w:sz="6" w:space="0" w:color="auto"/>
            </w:tcBorders>
          </w:tcPr>
          <w:p>
            <w:pPr>
              <w:pStyle w:val="TableParagraph"/>
              <w:spacing w:line="240" w:lineRule="auto" w:before="55"/>
              <w:ind w:left="65" w:right="0"/>
              <w:jc w:val="center"/>
              <w:rPr>
                <w:rFonts w:ascii="宋体" w:hAnsi="宋体" w:cs="宋体" w:eastAsia="宋体" w:hint="default"/>
                <w:sz w:val="21"/>
                <w:szCs w:val="21"/>
              </w:rPr>
            </w:pPr>
            <w:r>
              <w:rPr>
                <w:rFonts w:ascii="宋体" w:hAnsi="宋体" w:cs="宋体" w:eastAsia="宋体" w:hint="default"/>
                <w:sz w:val="21"/>
                <w:szCs w:val="21"/>
              </w:rPr>
              <w:t>合    计</w:t>
            </w:r>
          </w:p>
        </w:tc>
        <w:tc>
          <w:tcPr>
            <w:tcW w:w="1907" w:type="dxa"/>
            <w:tcBorders>
              <w:top w:val="nil" w:sz="6" w:space="0" w:color="auto"/>
              <w:left w:val="nil" w:sz="6" w:space="0" w:color="auto"/>
              <w:bottom w:val="single" w:sz="8" w:space="0" w:color="000000"/>
              <w:right w:val="nil" w:sz="6" w:space="0" w:color="auto"/>
            </w:tcBorders>
          </w:tcPr>
          <w:p>
            <w:pPr>
              <w:pStyle w:val="TableParagraph"/>
              <w:spacing w:line="240" w:lineRule="auto" w:before="119"/>
              <w:ind w:right="137"/>
              <w:jc w:val="right"/>
              <w:rPr>
                <w:rFonts w:ascii="Times New Roman" w:hAnsi="Times New Roman" w:cs="Times New Roman" w:eastAsia="Times New Roman" w:hint="default"/>
                <w:sz w:val="21"/>
                <w:szCs w:val="21"/>
              </w:rPr>
            </w:pPr>
            <w:r>
              <w:rPr>
                <w:rFonts w:ascii="Times New Roman"/>
                <w:spacing w:val="-2"/>
                <w:sz w:val="21"/>
              </w:rPr>
              <w:t>112,214,666</w:t>
            </w:r>
          </w:p>
        </w:tc>
        <w:tc>
          <w:tcPr>
            <w:tcW w:w="1802" w:type="dxa"/>
            <w:tcBorders>
              <w:top w:val="nil" w:sz="6" w:space="0" w:color="auto"/>
              <w:left w:val="nil" w:sz="6" w:space="0" w:color="auto"/>
              <w:bottom w:val="single" w:sz="8" w:space="0" w:color="000000"/>
              <w:right w:val="nil" w:sz="6" w:space="0" w:color="auto"/>
            </w:tcBorders>
          </w:tcPr>
          <w:p>
            <w:pPr>
              <w:pStyle w:val="TableParagraph"/>
              <w:spacing w:line="240" w:lineRule="auto" w:before="119"/>
              <w:ind w:right="134"/>
              <w:jc w:val="right"/>
              <w:rPr>
                <w:rFonts w:ascii="Times New Roman" w:hAnsi="Times New Roman" w:cs="Times New Roman" w:eastAsia="Times New Roman" w:hint="default"/>
                <w:sz w:val="21"/>
                <w:szCs w:val="21"/>
              </w:rPr>
            </w:pPr>
            <w:r>
              <w:rPr>
                <w:rFonts w:ascii="Times New Roman"/>
                <w:spacing w:val="-1"/>
                <w:sz w:val="21"/>
              </w:rPr>
              <w:t>34,640,063</w:t>
            </w:r>
          </w:p>
        </w:tc>
      </w:tr>
    </w:tbl>
    <w:p>
      <w:pPr>
        <w:spacing w:after="0" w:line="240" w:lineRule="auto"/>
        <w:jc w:val="right"/>
        <w:rPr>
          <w:rFonts w:ascii="Times New Roman" w:hAnsi="Times New Roman" w:cs="Times New Roman" w:eastAsia="Times New Roman" w:hint="default"/>
          <w:sz w:val="21"/>
          <w:szCs w:val="21"/>
        </w:rPr>
        <w:sectPr>
          <w:pgSz w:w="11900" w:h="16840"/>
          <w:pgMar w:header="0" w:footer="1003" w:top="1540" w:bottom="1200" w:left="1640" w:right="1100"/>
        </w:sectPr>
      </w:pPr>
    </w:p>
    <w:p>
      <w:pPr>
        <w:spacing w:line="240" w:lineRule="auto" w:before="4"/>
        <w:rPr>
          <w:rFonts w:ascii="Times New Roman" w:hAnsi="Times New Roman" w:cs="Times New Roman" w:eastAsia="Times New Roman" w:hint="default"/>
          <w:sz w:val="13"/>
          <w:szCs w:val="13"/>
        </w:rPr>
      </w:pPr>
    </w:p>
    <w:p>
      <w:pPr>
        <w:tabs>
          <w:tab w:pos="1393" w:val="left" w:leader="none"/>
        </w:tabs>
        <w:spacing w:before="35"/>
        <w:ind w:left="855" w:right="0" w:firstLine="0"/>
        <w:jc w:val="left"/>
        <w:rPr>
          <w:rFonts w:ascii="宋体" w:hAnsi="宋体" w:cs="宋体" w:eastAsia="宋体" w:hint="default"/>
          <w:sz w:val="21"/>
          <w:szCs w:val="21"/>
        </w:rPr>
      </w:pPr>
      <w:r>
        <w:rPr/>
        <w:pict>
          <v:group style="position:absolute;margin-left:119.88002pt;margin-top:17.134014pt;width:414.6pt;height:247.05pt;mso-position-horizontal-relative:page;mso-position-vertical-relative:paragraph;z-index:-979336" coordorigin="2398,343" coordsize="8292,4941">
            <v:group style="position:absolute;left:2407;top:352;width:3290;height:2" coordorigin="2407,352" coordsize="3290,2">
              <v:shape style="position:absolute;left:2407;top:352;width:3290;height:2" coordorigin="2407,352" coordsize="3290,0" path="m2407,352l5696,352e" filled="false" stroked="true" strokeweight=".95996pt" strokecolor="#000000">
                <v:path arrowok="t"/>
              </v:shape>
            </v:group>
            <v:group style="position:absolute;left:5696;top:352;width:1121;height:2" coordorigin="5696,352" coordsize="1121,2">
              <v:shape style="position:absolute;left:5696;top:352;width:1121;height:2" coordorigin="5696,352" coordsize="1121,0" path="m5696,352l6817,352e" filled="false" stroked="true" strokeweight=".95996pt" strokecolor="#000000">
                <v:path arrowok="t"/>
              </v:shape>
            </v:group>
            <v:group style="position:absolute;left:6817;top:352;width:1247;height:2" coordorigin="6817,352" coordsize="1247,2">
              <v:shape style="position:absolute;left:6817;top:352;width:1247;height:2" coordorigin="6817,352" coordsize="1247,0" path="m6817,352l8064,352e" filled="false" stroked="true" strokeweight=".95996pt" strokecolor="#000000">
                <v:path arrowok="t"/>
              </v:shape>
            </v:group>
            <v:group style="position:absolute;left:8064;top:352;width:2616;height:2" coordorigin="8064,352" coordsize="2616,2">
              <v:shape style="position:absolute;left:8064;top:352;width:2616;height:2" coordorigin="8064,352" coordsize="2616,0" path="m8064,352l10680,352e" filled="false" stroked="true" strokeweight=".95996pt" strokecolor="#000000">
                <v:path arrowok="t"/>
              </v:shape>
              <v:shape style="position:absolute;left:2407;top:362;width:8273;height:4921" type="#_x0000_t75" stroked="false">
                <v:imagedata r:id="rId123" o:title=""/>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按权益法核算的长期股权投资收益：</w:t>
      </w:r>
    </w:p>
    <w:p>
      <w:pPr>
        <w:spacing w:line="240" w:lineRule="auto" w:before="12"/>
        <w:rPr>
          <w:rFonts w:ascii="宋体" w:hAnsi="宋体" w:cs="宋体" w:eastAsia="宋体" w:hint="default"/>
          <w:sz w:val="12"/>
          <w:szCs w:val="12"/>
        </w:rPr>
      </w:pPr>
    </w:p>
    <w:tbl>
      <w:tblPr>
        <w:tblW w:w="0" w:type="auto"/>
        <w:jc w:val="left"/>
        <w:tblInd w:w="732" w:type="dxa"/>
        <w:tblLayout w:type="fixed"/>
        <w:tblCellMar>
          <w:top w:w="0" w:type="dxa"/>
          <w:left w:w="0" w:type="dxa"/>
          <w:bottom w:w="0" w:type="dxa"/>
          <w:right w:w="0" w:type="dxa"/>
        </w:tblCellMar>
        <w:tblLook w:val="01E0"/>
      </w:tblPr>
      <w:tblGrid>
        <w:gridCol w:w="3310"/>
        <w:gridCol w:w="1151"/>
        <w:gridCol w:w="1215"/>
        <w:gridCol w:w="2618"/>
      </w:tblGrid>
      <w:tr>
        <w:trPr>
          <w:trHeight w:val="874"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458" w:lineRule="auto" w:before="44"/>
              <w:ind w:left="121" w:right="666" w:firstLine="1088"/>
              <w:jc w:val="left"/>
              <w:rPr>
                <w:rFonts w:ascii="宋体" w:hAnsi="宋体" w:cs="宋体" w:eastAsia="宋体" w:hint="default"/>
                <w:sz w:val="18"/>
                <w:szCs w:val="18"/>
              </w:rPr>
            </w:pPr>
            <w:r>
              <w:rPr>
                <w:rFonts w:ascii="宋体" w:hAnsi="宋体" w:cs="宋体" w:eastAsia="宋体" w:hint="default"/>
                <w:sz w:val="18"/>
                <w:szCs w:val="18"/>
              </w:rPr>
              <w:t>被投资单位 上海东软时代物流软件有限公司</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1"/>
              <w:jc w:val="right"/>
              <w:rPr>
                <w:rFonts w:ascii="宋体" w:hAnsi="宋体" w:cs="宋体" w:eastAsia="宋体" w:hint="default"/>
                <w:sz w:val="18"/>
                <w:szCs w:val="18"/>
              </w:rPr>
            </w:pPr>
            <w:r>
              <w:rPr>
                <w:rFonts w:ascii="宋体" w:hAnsi="宋体" w:cs="宋体" w:eastAsia="宋体" w:hint="default"/>
                <w:sz w:val="18"/>
                <w:szCs w:val="18"/>
              </w:rPr>
              <w:t>本期发生额</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0" w:right="0"/>
              <w:jc w:val="left"/>
              <w:rPr>
                <w:rFonts w:ascii="宋体" w:hAnsi="宋体" w:cs="宋体" w:eastAsia="宋体" w:hint="default"/>
                <w:sz w:val="18"/>
                <w:szCs w:val="18"/>
              </w:rPr>
            </w:pPr>
            <w:r>
              <w:rPr>
                <w:rFonts w:ascii="宋体" w:hAnsi="宋体" w:cs="宋体" w:eastAsia="宋体" w:hint="default"/>
                <w:sz w:val="18"/>
                <w:szCs w:val="18"/>
              </w:rPr>
              <w:t>上期发生额</w:t>
            </w: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565" w:right="0"/>
              <w:jc w:val="left"/>
              <w:rPr>
                <w:rFonts w:ascii="Times New Roman" w:hAnsi="Times New Roman" w:cs="Times New Roman" w:eastAsia="Times New Roman" w:hint="default"/>
                <w:sz w:val="18"/>
                <w:szCs w:val="18"/>
              </w:rPr>
            </w:pPr>
            <w:r>
              <w:rPr>
                <w:rFonts w:ascii="Times New Roman"/>
                <w:spacing w:val="-3"/>
                <w:sz w:val="18"/>
              </w:rPr>
              <w:t>-35,111</w:t>
            </w:r>
          </w:p>
        </w:tc>
        <w:tc>
          <w:tcPr>
            <w:tcW w:w="2618" w:type="dxa"/>
            <w:tcBorders>
              <w:top w:val="nil" w:sz="6" w:space="0" w:color="auto"/>
              <w:left w:val="nil" w:sz="6" w:space="0" w:color="auto"/>
              <w:bottom w:val="nil" w:sz="6" w:space="0" w:color="auto"/>
              <w:right w:val="nil" w:sz="6" w:space="0" w:color="auto"/>
            </w:tcBorders>
          </w:tcPr>
          <w:p>
            <w:pPr>
              <w:pStyle w:val="TableParagraph"/>
              <w:spacing w:line="458" w:lineRule="auto" w:before="44"/>
              <w:ind w:left="107" w:right="227" w:firstLine="121"/>
              <w:jc w:val="left"/>
              <w:rPr>
                <w:rFonts w:ascii="宋体" w:hAnsi="宋体" w:cs="宋体" w:eastAsia="宋体" w:hint="default"/>
                <w:sz w:val="18"/>
                <w:szCs w:val="18"/>
              </w:rPr>
            </w:pPr>
            <w:r>
              <w:rPr>
                <w:rFonts w:ascii="宋体" w:hAnsi="宋体" w:cs="宋体" w:eastAsia="宋体" w:hint="default"/>
                <w:sz w:val="18"/>
                <w:szCs w:val="18"/>
              </w:rPr>
              <w:t>本期比上期增减变动的原因 于上期处置该长期股权投资</w:t>
            </w:r>
          </w:p>
        </w:tc>
      </w:tr>
      <w:tr>
        <w:trPr>
          <w:trHeight w:val="325" w:hRule="exact"/>
        </w:trPr>
        <w:tc>
          <w:tcPr>
            <w:tcW w:w="3310"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1215" w:type="dxa"/>
            <w:tcBorders>
              <w:top w:val="nil" w:sz="6" w:space="0" w:color="auto"/>
              <w:left w:val="nil" w:sz="6" w:space="0" w:color="auto"/>
              <w:bottom w:val="nil" w:sz="6" w:space="0" w:color="auto"/>
              <w:right w:val="nil" w:sz="6" w:space="0" w:color="auto"/>
            </w:tcBorders>
          </w:tcPr>
          <w:p>
            <w:pP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07" w:right="0"/>
              <w:jc w:val="left"/>
              <w:rPr>
                <w:rFonts w:ascii="宋体" w:hAnsi="宋体" w:cs="宋体" w:eastAsia="宋体" w:hint="default"/>
                <w:sz w:val="18"/>
                <w:szCs w:val="18"/>
              </w:rPr>
            </w:pPr>
            <w:r>
              <w:rPr>
                <w:rFonts w:ascii="宋体" w:hAnsi="宋体" w:cs="宋体" w:eastAsia="宋体" w:hint="default"/>
                <w:spacing w:val="4"/>
                <w:sz w:val="18"/>
                <w:szCs w:val="18"/>
              </w:rPr>
              <w:t>本期转让部分股权，由权益法</w:t>
            </w:r>
          </w:p>
        </w:tc>
      </w:tr>
      <w:tr>
        <w:trPr>
          <w:trHeight w:val="556"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00" w:lineRule="exact"/>
              <w:ind w:left="121" w:right="0"/>
              <w:jc w:val="left"/>
              <w:rPr>
                <w:rFonts w:ascii="宋体" w:hAnsi="宋体" w:cs="宋体" w:eastAsia="宋体" w:hint="default"/>
                <w:sz w:val="18"/>
                <w:szCs w:val="18"/>
              </w:rPr>
            </w:pPr>
            <w:r>
              <w:rPr>
                <w:rFonts w:ascii="宋体" w:hAnsi="宋体" w:cs="宋体" w:eastAsia="宋体" w:hint="default"/>
                <w:sz w:val="18"/>
                <w:szCs w:val="18"/>
              </w:rPr>
              <w:t>大连运筹科技有限公司</w:t>
            </w:r>
          </w:p>
        </w:tc>
        <w:tc>
          <w:tcPr>
            <w:tcW w:w="1151" w:type="dxa"/>
            <w:tcBorders>
              <w:top w:val="nil" w:sz="6" w:space="0" w:color="auto"/>
              <w:left w:val="nil" w:sz="6" w:space="0" w:color="auto"/>
              <w:bottom w:val="nil" w:sz="6" w:space="0" w:color="auto"/>
              <w:right w:val="nil" w:sz="6" w:space="0" w:color="auto"/>
            </w:tcBorders>
          </w:tcPr>
          <w:p>
            <w:pP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7"/>
              <w:jc w:val="right"/>
              <w:rPr>
                <w:rFonts w:ascii="Times New Roman" w:hAnsi="Times New Roman" w:cs="Times New Roman" w:eastAsia="Times New Roman" w:hint="default"/>
                <w:sz w:val="18"/>
                <w:szCs w:val="18"/>
              </w:rPr>
            </w:pPr>
            <w:r>
              <w:rPr>
                <w:rFonts w:ascii="Times New Roman"/>
                <w:sz w:val="18"/>
              </w:rPr>
              <w:t>261,918</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核算改为成本法核算</w:t>
            </w:r>
          </w:p>
        </w:tc>
      </w:tr>
      <w:tr>
        <w:trPr>
          <w:trHeight w:val="345"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1" w:right="0"/>
              <w:jc w:val="left"/>
              <w:rPr>
                <w:rFonts w:ascii="宋体" w:hAnsi="宋体" w:cs="宋体" w:eastAsia="宋体" w:hint="default"/>
                <w:sz w:val="18"/>
                <w:szCs w:val="18"/>
              </w:rPr>
            </w:pPr>
            <w:r>
              <w:rPr>
                <w:rFonts w:ascii="宋体" w:hAnsi="宋体" w:cs="宋体" w:eastAsia="宋体" w:hint="default"/>
                <w:sz w:val="18"/>
                <w:szCs w:val="18"/>
              </w:rPr>
              <w:t>北京东大阿尔派中电科电力系统技术有</w:t>
            </w:r>
          </w:p>
        </w:tc>
        <w:tc>
          <w:tcPr>
            <w:tcW w:w="1151" w:type="dxa"/>
            <w:tcBorders>
              <w:top w:val="nil" w:sz="6" w:space="0" w:color="auto"/>
              <w:left w:val="nil" w:sz="6" w:space="0" w:color="auto"/>
              <w:bottom w:val="nil" w:sz="6" w:space="0" w:color="auto"/>
              <w:right w:val="nil" w:sz="6" w:space="0" w:color="auto"/>
            </w:tcBorders>
          </w:tcPr>
          <w:p>
            <w:pPr/>
          </w:p>
        </w:tc>
        <w:tc>
          <w:tcPr>
            <w:tcW w:w="1215" w:type="dxa"/>
            <w:tcBorders>
              <w:top w:val="nil" w:sz="6" w:space="0" w:color="auto"/>
              <w:left w:val="nil" w:sz="6" w:space="0" w:color="auto"/>
              <w:bottom w:val="nil" w:sz="6" w:space="0" w:color="auto"/>
              <w:right w:val="nil" w:sz="6" w:space="0" w:color="auto"/>
            </w:tcBorders>
          </w:tcPr>
          <w:p>
            <w:pP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7" w:right="0"/>
              <w:jc w:val="left"/>
              <w:rPr>
                <w:rFonts w:ascii="宋体" w:hAnsi="宋体" w:cs="宋体" w:eastAsia="宋体" w:hint="default"/>
                <w:sz w:val="18"/>
                <w:szCs w:val="18"/>
              </w:rPr>
            </w:pPr>
            <w:r>
              <w:rPr>
                <w:rFonts w:ascii="宋体" w:hAnsi="宋体" w:cs="宋体" w:eastAsia="宋体" w:hint="default"/>
                <w:spacing w:val="4"/>
                <w:sz w:val="18"/>
                <w:szCs w:val="18"/>
              </w:rPr>
              <w:t>被投资单位经营停滞，本公司</w:t>
            </w:r>
          </w:p>
        </w:tc>
      </w:tr>
      <w:tr>
        <w:trPr>
          <w:trHeight w:val="546"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21" w:right="0"/>
              <w:jc w:val="left"/>
              <w:rPr>
                <w:rFonts w:ascii="宋体" w:hAnsi="宋体" w:cs="宋体" w:eastAsia="宋体" w:hint="default"/>
                <w:sz w:val="18"/>
                <w:szCs w:val="18"/>
              </w:rPr>
            </w:pPr>
            <w:r>
              <w:rPr>
                <w:rFonts w:ascii="宋体" w:hAnsi="宋体" w:cs="宋体" w:eastAsia="宋体" w:hint="default"/>
                <w:sz w:val="18"/>
                <w:szCs w:val="18"/>
              </w:rPr>
              <w:t>限责任公司</w:t>
            </w:r>
          </w:p>
        </w:tc>
        <w:tc>
          <w:tcPr>
            <w:tcW w:w="1151" w:type="dxa"/>
            <w:tcBorders>
              <w:top w:val="nil" w:sz="6" w:space="0" w:color="auto"/>
              <w:left w:val="nil" w:sz="6" w:space="0" w:color="auto"/>
              <w:bottom w:val="nil" w:sz="6" w:space="0" w:color="auto"/>
              <w:right w:val="nil" w:sz="6" w:space="0" w:color="auto"/>
            </w:tcBorders>
          </w:tcPr>
          <w:p>
            <w:pP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Times New Roman" w:hAnsi="Times New Roman" w:cs="Times New Roman" w:eastAsia="Times New Roman" w:hint="default"/>
                <w:sz w:val="18"/>
                <w:szCs w:val="18"/>
              </w:rPr>
            </w:pPr>
            <w:r>
              <w:rPr>
                <w:rFonts w:ascii="Times New Roman"/>
                <w:sz w:val="18"/>
              </w:rPr>
              <w:t>222</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已全额计提减值准备</w:t>
            </w:r>
          </w:p>
        </w:tc>
      </w:tr>
      <w:tr>
        <w:trPr>
          <w:trHeight w:val="460"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1" w:right="0"/>
              <w:jc w:val="left"/>
              <w:rPr>
                <w:rFonts w:ascii="宋体" w:hAnsi="宋体" w:cs="宋体" w:eastAsia="宋体" w:hint="default"/>
                <w:sz w:val="18"/>
                <w:szCs w:val="18"/>
              </w:rPr>
            </w:pPr>
            <w:r>
              <w:rPr>
                <w:rFonts w:ascii="宋体" w:hAnsi="宋体" w:cs="宋体" w:eastAsia="宋体" w:hint="default"/>
                <w:sz w:val="18"/>
                <w:szCs w:val="18"/>
              </w:rPr>
              <w:t>诺基亚西门子东软通信技术有限公司</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38"/>
              <w:jc w:val="right"/>
              <w:rPr>
                <w:rFonts w:ascii="Times New Roman" w:hAnsi="Times New Roman" w:cs="Times New Roman" w:eastAsia="Times New Roman" w:hint="default"/>
                <w:sz w:val="18"/>
                <w:szCs w:val="18"/>
              </w:rPr>
            </w:pPr>
            <w:r>
              <w:rPr>
                <w:rFonts w:ascii="Times New Roman"/>
                <w:w w:val="95"/>
                <w:sz w:val="18"/>
              </w:rPr>
              <w:t>-540,775</w:t>
            </w:r>
            <w:r>
              <w:rPr>
                <w:rFonts w:ascii="Times New Roman"/>
                <w:sz w:val="18"/>
              </w:rPr>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06"/>
              <w:jc w:val="right"/>
              <w:rPr>
                <w:rFonts w:ascii="Times New Roman" w:hAnsi="Times New Roman" w:cs="Times New Roman" w:eastAsia="Times New Roman" w:hint="default"/>
                <w:sz w:val="18"/>
                <w:szCs w:val="18"/>
              </w:rPr>
            </w:pPr>
            <w:r>
              <w:rPr>
                <w:rFonts w:ascii="Times New Roman"/>
                <w:sz w:val="18"/>
              </w:rPr>
              <w:t>3,928,031</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7" w:right="0"/>
              <w:jc w:val="left"/>
              <w:rPr>
                <w:rFonts w:ascii="宋体" w:hAnsi="宋体" w:cs="宋体" w:eastAsia="宋体" w:hint="default"/>
                <w:sz w:val="18"/>
                <w:szCs w:val="18"/>
              </w:rPr>
            </w:pPr>
            <w:r>
              <w:rPr>
                <w:rFonts w:ascii="宋体" w:hAnsi="宋体" w:cs="宋体" w:eastAsia="宋体" w:hint="default"/>
                <w:sz w:val="18"/>
                <w:szCs w:val="18"/>
              </w:rPr>
              <w:t>被投资单位净利润变动影响</w:t>
            </w:r>
          </w:p>
        </w:tc>
      </w:tr>
      <w:tr>
        <w:trPr>
          <w:trHeight w:val="450"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1" w:right="0"/>
              <w:jc w:val="left"/>
              <w:rPr>
                <w:rFonts w:ascii="宋体" w:hAnsi="宋体" w:cs="宋体" w:eastAsia="宋体" w:hint="default"/>
                <w:sz w:val="18"/>
                <w:szCs w:val="18"/>
              </w:rPr>
            </w:pPr>
            <w:r>
              <w:rPr>
                <w:rFonts w:ascii="宋体" w:hAnsi="宋体" w:cs="宋体" w:eastAsia="宋体" w:hint="default"/>
                <w:sz w:val="18"/>
                <w:szCs w:val="18"/>
              </w:rPr>
              <w:t>北京利博赛社保信息技术有限公司</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39"/>
              <w:jc w:val="right"/>
              <w:rPr>
                <w:rFonts w:ascii="Times New Roman" w:hAnsi="Times New Roman" w:cs="Times New Roman" w:eastAsia="Times New Roman" w:hint="default"/>
                <w:sz w:val="18"/>
                <w:szCs w:val="18"/>
              </w:rPr>
            </w:pPr>
            <w:r>
              <w:rPr>
                <w:rFonts w:ascii="Times New Roman"/>
                <w:sz w:val="18"/>
              </w:rPr>
              <w:t>106,476</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z w:val="18"/>
              </w:rPr>
              <w:t>88,843</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07" w:right="0"/>
              <w:jc w:val="left"/>
              <w:rPr>
                <w:rFonts w:ascii="宋体" w:hAnsi="宋体" w:cs="宋体" w:eastAsia="宋体" w:hint="default"/>
                <w:sz w:val="18"/>
                <w:szCs w:val="18"/>
              </w:rPr>
            </w:pPr>
            <w:r>
              <w:rPr>
                <w:rFonts w:ascii="宋体" w:hAnsi="宋体" w:cs="宋体" w:eastAsia="宋体" w:hint="default"/>
                <w:sz w:val="18"/>
                <w:szCs w:val="18"/>
              </w:rPr>
              <w:t>被投资单位净利润变动影响</w:t>
            </w:r>
          </w:p>
        </w:tc>
      </w:tr>
      <w:tr>
        <w:trPr>
          <w:trHeight w:val="450"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1" w:right="0"/>
              <w:jc w:val="left"/>
              <w:rPr>
                <w:rFonts w:ascii="宋体" w:hAnsi="宋体" w:cs="宋体" w:eastAsia="宋体" w:hint="default"/>
                <w:sz w:val="18"/>
                <w:szCs w:val="18"/>
              </w:rPr>
            </w:pPr>
            <w:r>
              <w:rPr>
                <w:rFonts w:ascii="宋体" w:hAnsi="宋体" w:cs="宋体" w:eastAsia="宋体" w:hint="default"/>
                <w:sz w:val="18"/>
                <w:szCs w:val="18"/>
              </w:rPr>
              <w:t>东软飞利浦医疗设备系统有限责任公司</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39"/>
              <w:jc w:val="right"/>
              <w:rPr>
                <w:rFonts w:ascii="Times New Roman" w:hAnsi="Times New Roman" w:cs="Times New Roman" w:eastAsia="Times New Roman" w:hint="default"/>
                <w:sz w:val="18"/>
                <w:szCs w:val="18"/>
              </w:rPr>
            </w:pPr>
            <w:r>
              <w:rPr>
                <w:rFonts w:ascii="Times New Roman"/>
                <w:sz w:val="18"/>
              </w:rPr>
              <w:t>38,413,879</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z w:val="18"/>
              </w:rPr>
              <w:t>28,177,207</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07" w:right="0"/>
              <w:jc w:val="left"/>
              <w:rPr>
                <w:rFonts w:ascii="宋体" w:hAnsi="宋体" w:cs="宋体" w:eastAsia="宋体" w:hint="default"/>
                <w:sz w:val="18"/>
                <w:szCs w:val="18"/>
              </w:rPr>
            </w:pPr>
            <w:r>
              <w:rPr>
                <w:rFonts w:ascii="宋体" w:hAnsi="宋体" w:cs="宋体" w:eastAsia="宋体" w:hint="default"/>
                <w:sz w:val="18"/>
                <w:szCs w:val="18"/>
              </w:rPr>
              <w:t>被投资单位净利润变动影响</w:t>
            </w:r>
          </w:p>
        </w:tc>
      </w:tr>
      <w:tr>
        <w:trPr>
          <w:trHeight w:val="450"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1" w:right="0"/>
              <w:jc w:val="left"/>
              <w:rPr>
                <w:rFonts w:ascii="宋体" w:hAnsi="宋体" w:cs="宋体" w:eastAsia="宋体" w:hint="default"/>
                <w:sz w:val="18"/>
                <w:szCs w:val="18"/>
              </w:rPr>
            </w:pPr>
            <w:r>
              <w:rPr>
                <w:rFonts w:ascii="宋体" w:hAnsi="宋体" w:cs="宋体" w:eastAsia="宋体" w:hint="default"/>
                <w:sz w:val="18"/>
                <w:szCs w:val="18"/>
              </w:rPr>
              <w:t>辽宁盛京熙康健康管理有限公司</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39"/>
              <w:jc w:val="right"/>
              <w:rPr>
                <w:rFonts w:ascii="Times New Roman" w:hAnsi="Times New Roman" w:cs="Times New Roman" w:eastAsia="Times New Roman" w:hint="default"/>
                <w:sz w:val="18"/>
                <w:szCs w:val="18"/>
              </w:rPr>
            </w:pPr>
            <w:r>
              <w:rPr>
                <w:rFonts w:ascii="Times New Roman"/>
                <w:w w:val="95"/>
                <w:sz w:val="18"/>
              </w:rPr>
              <w:t>-364,481</w:t>
            </w:r>
            <w:r>
              <w:rPr>
                <w:rFonts w:ascii="Times New Roman"/>
                <w:sz w:val="18"/>
              </w:rPr>
            </w:r>
          </w:p>
        </w:tc>
        <w:tc>
          <w:tcPr>
            <w:tcW w:w="1215" w:type="dxa"/>
            <w:tcBorders>
              <w:top w:val="nil" w:sz="6" w:space="0" w:color="auto"/>
              <w:left w:val="nil" w:sz="6" w:space="0" w:color="auto"/>
              <w:bottom w:val="nil" w:sz="6" w:space="0" w:color="auto"/>
              <w:right w:val="nil" w:sz="6" w:space="0" w:color="auto"/>
            </w:tcBorders>
          </w:tcPr>
          <w:p>
            <w:pP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07" w:right="0"/>
              <w:jc w:val="left"/>
              <w:rPr>
                <w:rFonts w:ascii="宋体" w:hAnsi="宋体" w:cs="宋体" w:eastAsia="宋体" w:hint="default"/>
                <w:sz w:val="18"/>
                <w:szCs w:val="18"/>
              </w:rPr>
            </w:pPr>
            <w:r>
              <w:rPr>
                <w:rFonts w:ascii="宋体" w:hAnsi="宋体" w:cs="宋体" w:eastAsia="宋体" w:hint="default"/>
                <w:sz w:val="18"/>
                <w:szCs w:val="18"/>
              </w:rPr>
              <w:t>本期新增投资</w:t>
            </w:r>
          </w:p>
        </w:tc>
      </w:tr>
      <w:tr>
        <w:trPr>
          <w:trHeight w:val="344" w:hRule="exact"/>
        </w:trPr>
        <w:tc>
          <w:tcPr>
            <w:tcW w:w="3310" w:type="dxa"/>
            <w:tcBorders>
              <w:top w:val="nil" w:sz="6" w:space="0" w:color="auto"/>
              <w:left w:val="nil" w:sz="6" w:space="0" w:color="auto"/>
              <w:bottom w:val="single" w:sz="8" w:space="0" w:color="000000"/>
              <w:right w:val="nil" w:sz="6" w:space="0" w:color="auto"/>
            </w:tcBorders>
          </w:tcPr>
          <w:p>
            <w:pPr>
              <w:pStyle w:val="TableParagraph"/>
              <w:spacing w:line="240" w:lineRule="auto" w:before="69"/>
              <w:ind w:left="99" w:right="0"/>
              <w:jc w:val="center"/>
              <w:rPr>
                <w:rFonts w:ascii="宋体" w:hAnsi="宋体" w:cs="宋体" w:eastAsia="宋体" w:hint="default"/>
                <w:sz w:val="18"/>
                <w:szCs w:val="18"/>
              </w:rPr>
            </w:pPr>
            <w:r>
              <w:rPr>
                <w:rFonts w:ascii="宋体" w:hAnsi="宋体" w:cs="宋体" w:eastAsia="宋体" w:hint="default"/>
                <w:sz w:val="18"/>
                <w:szCs w:val="18"/>
              </w:rPr>
              <w:t>合    计 </w:t>
            </w:r>
          </w:p>
        </w:tc>
        <w:tc>
          <w:tcPr>
            <w:tcW w:w="1151" w:type="dxa"/>
            <w:tcBorders>
              <w:top w:val="nil" w:sz="6" w:space="0" w:color="auto"/>
              <w:left w:val="nil" w:sz="6" w:space="0" w:color="auto"/>
              <w:bottom w:val="single" w:sz="8" w:space="0" w:color="000000"/>
              <w:right w:val="nil" w:sz="6" w:space="0" w:color="auto"/>
            </w:tcBorders>
          </w:tcPr>
          <w:p>
            <w:pPr>
              <w:pStyle w:val="TableParagraph"/>
              <w:spacing w:line="240" w:lineRule="auto" w:before="121"/>
              <w:ind w:right="138"/>
              <w:jc w:val="right"/>
              <w:rPr>
                <w:rFonts w:ascii="Times New Roman" w:hAnsi="Times New Roman" w:cs="Times New Roman" w:eastAsia="Times New Roman" w:hint="default"/>
                <w:sz w:val="18"/>
                <w:szCs w:val="18"/>
              </w:rPr>
            </w:pPr>
            <w:r>
              <w:rPr>
                <w:rFonts w:ascii="Times New Roman"/>
                <w:sz w:val="18"/>
              </w:rPr>
              <w:t>37,615,099</w:t>
            </w:r>
          </w:p>
        </w:tc>
        <w:tc>
          <w:tcPr>
            <w:tcW w:w="1215" w:type="dxa"/>
            <w:tcBorders>
              <w:top w:val="nil" w:sz="6" w:space="0" w:color="auto"/>
              <w:left w:val="nil" w:sz="6" w:space="0" w:color="auto"/>
              <w:bottom w:val="single" w:sz="8" w:space="0" w:color="000000"/>
              <w:right w:val="nil" w:sz="6" w:space="0" w:color="auto"/>
            </w:tcBorders>
          </w:tcPr>
          <w:p>
            <w:pPr>
              <w:pStyle w:val="TableParagraph"/>
              <w:spacing w:line="240" w:lineRule="auto" w:before="121"/>
              <w:ind w:right="106"/>
              <w:jc w:val="right"/>
              <w:rPr>
                <w:rFonts w:ascii="Times New Roman" w:hAnsi="Times New Roman" w:cs="Times New Roman" w:eastAsia="Times New Roman" w:hint="default"/>
                <w:sz w:val="18"/>
                <w:szCs w:val="18"/>
              </w:rPr>
            </w:pPr>
            <w:r>
              <w:rPr>
                <w:rFonts w:ascii="Times New Roman"/>
                <w:spacing w:val="-1"/>
                <w:sz w:val="18"/>
              </w:rPr>
              <w:t>32,421,110</w:t>
            </w:r>
          </w:p>
        </w:tc>
        <w:tc>
          <w:tcPr>
            <w:tcW w:w="2618" w:type="dxa"/>
            <w:tcBorders>
              <w:top w:val="nil" w:sz="6" w:space="0" w:color="auto"/>
              <w:left w:val="nil" w:sz="6" w:space="0" w:color="auto"/>
              <w:bottom w:val="single" w:sz="8"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p>
      <w:pPr>
        <w:tabs>
          <w:tab w:pos="1410" w:val="left" w:leader="none"/>
        </w:tabs>
        <w:spacing w:line="362" w:lineRule="auto" w:before="35"/>
        <w:ind w:left="1397" w:right="4590"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ab/>
        <w:t>投资收益的说明：</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投资收益汇回无重大受限制情况。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8"/>
          <w:szCs w:val="18"/>
        </w:rPr>
      </w:pPr>
    </w:p>
    <w:p>
      <w:pPr>
        <w:spacing w:before="0"/>
        <w:ind w:left="123" w:right="0" w:firstLine="0"/>
        <w:jc w:val="left"/>
        <w:rPr>
          <w:rFonts w:ascii="宋体" w:hAnsi="宋体" w:cs="宋体" w:eastAsia="宋体" w:hint="default"/>
          <w:sz w:val="21"/>
          <w:szCs w:val="21"/>
        </w:rPr>
      </w:pPr>
      <w:r>
        <w:rPr/>
        <w:pict>
          <v:group style="position:absolute;margin-left:119.880005pt;margin-top:15.38368pt;width:412.5pt;height:270.55pt;mso-position-horizontal-relative:page;mso-position-vertical-relative:paragraph;z-index:-979312" coordorigin="2398,308" coordsize="8250,5411">
            <v:group style="position:absolute;left:2407;top:317;width:3783;height:2" coordorigin="2407,317" coordsize="3783,2">
              <v:shape style="position:absolute;left:2407;top:317;width:3783;height:2" coordorigin="2407,317" coordsize="3783,0" path="m2407,317l6190,317e" filled="false" stroked="true" strokeweight=".95999pt" strokecolor="#000000">
                <v:path arrowok="t"/>
              </v:shape>
            </v:group>
            <v:group style="position:absolute;left:6190;top:317;width:20;height:2" coordorigin="6190,317" coordsize="20,2">
              <v:shape style="position:absolute;left:6190;top:317;width:20;height:2" coordorigin="6190,317" coordsize="20,0" path="m6190,317l6209,317e" filled="false" stroked="true" strokeweight=".95999pt" strokecolor="#000000">
                <v:path arrowok="t"/>
              </v:shape>
            </v:group>
            <v:group style="position:absolute;left:6209;top:317;width:2264;height:2" coordorigin="6209,317" coordsize="2264,2">
              <v:shape style="position:absolute;left:6209;top:317;width:2264;height:2" coordorigin="6209,317" coordsize="2264,0" path="m6209,317l8472,317e" filled="false" stroked="true" strokeweight=".96pt" strokecolor="#000000">
                <v:path arrowok="t"/>
              </v:shape>
            </v:group>
            <v:group style="position:absolute;left:8472;top:317;width:2166;height:2" coordorigin="8472,317" coordsize="2166,2">
              <v:shape style="position:absolute;left:8472;top:317;width:2166;height:2" coordorigin="8472,317" coordsize="2166,0" path="m8472,317l10638,317e" filled="false" stroked="true" strokeweight=".95999pt" strokecolor="#000000">
                <v:path arrowok="t"/>
              </v:shape>
              <v:shape style="position:absolute;left:2407;top:327;width:8239;height:5392" type="#_x0000_t75" stroked="false">
                <v:imagedata r:id="rId124" o:titl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四十一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3"/>
          <w:sz w:val="21"/>
          <w:szCs w:val="21"/>
        </w:rPr>
        <w:t> </w:t>
      </w:r>
      <w:r>
        <w:rPr>
          <w:rFonts w:ascii="宋体" w:hAnsi="宋体" w:cs="宋体" w:eastAsia="宋体" w:hint="default"/>
          <w:sz w:val="21"/>
          <w:szCs w:val="21"/>
        </w:rPr>
        <w:t>资产减值损失</w:t>
      </w:r>
    </w:p>
    <w:p>
      <w:pPr>
        <w:spacing w:line="240" w:lineRule="auto" w:before="4"/>
        <w:rPr>
          <w:rFonts w:ascii="宋体" w:hAnsi="宋体" w:cs="宋体" w:eastAsia="宋体" w:hint="default"/>
          <w:sz w:val="10"/>
          <w:szCs w:val="10"/>
        </w:rPr>
      </w:pPr>
    </w:p>
    <w:tbl>
      <w:tblPr>
        <w:tblW w:w="0" w:type="auto"/>
        <w:jc w:val="left"/>
        <w:tblInd w:w="732" w:type="dxa"/>
        <w:tblLayout w:type="fixed"/>
        <w:tblCellMar>
          <w:top w:w="0" w:type="dxa"/>
          <w:left w:w="0" w:type="dxa"/>
          <w:bottom w:w="0" w:type="dxa"/>
          <w:right w:w="0" w:type="dxa"/>
        </w:tblCellMar>
        <w:tblLook w:val="01E0"/>
      </w:tblPr>
      <w:tblGrid>
        <w:gridCol w:w="3529"/>
        <w:gridCol w:w="2781"/>
        <w:gridCol w:w="1943"/>
      </w:tblGrid>
      <w:tr>
        <w:trPr>
          <w:trHeight w:val="892" w:hRule="exact"/>
        </w:trPr>
        <w:tc>
          <w:tcPr>
            <w:tcW w:w="352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84" w:right="0"/>
              <w:jc w:val="center"/>
              <w:rPr>
                <w:rFonts w:ascii="宋体" w:hAnsi="宋体" w:cs="宋体" w:eastAsia="宋体" w:hint="default"/>
                <w:sz w:val="21"/>
                <w:szCs w:val="21"/>
              </w:rPr>
            </w:pPr>
            <w:r>
              <w:rPr>
                <w:rFonts w:ascii="宋体" w:hAnsi="宋体" w:cs="宋体" w:eastAsia="宋体" w:hint="default"/>
                <w:sz w:val="21"/>
                <w:szCs w:val="21"/>
              </w:rPr>
              <w:t>项    目</w:t>
            </w:r>
          </w:p>
          <w:p>
            <w:pPr>
              <w:pStyle w:val="TableParagraph"/>
              <w:spacing w:line="240" w:lineRule="auto" w:before="174"/>
              <w:ind w:left="121"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278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888" w:right="0"/>
              <w:jc w:val="left"/>
              <w:rPr>
                <w:rFonts w:ascii="宋体" w:hAnsi="宋体" w:cs="宋体" w:eastAsia="宋体" w:hint="default"/>
                <w:sz w:val="21"/>
                <w:szCs w:val="21"/>
              </w:rPr>
            </w:pPr>
            <w:r>
              <w:rPr>
                <w:rFonts w:ascii="宋体" w:hAnsi="宋体" w:cs="宋体" w:eastAsia="宋体" w:hint="default"/>
                <w:sz w:val="21"/>
                <w:szCs w:val="21"/>
              </w:rPr>
              <w:t>本期发生额</w:t>
            </w: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508" w:right="0"/>
              <w:jc w:val="left"/>
              <w:rPr>
                <w:rFonts w:ascii="Times New Roman" w:hAnsi="Times New Roman" w:cs="Times New Roman" w:eastAsia="Times New Roman" w:hint="default"/>
                <w:sz w:val="21"/>
                <w:szCs w:val="21"/>
              </w:rPr>
            </w:pPr>
            <w:r>
              <w:rPr>
                <w:rFonts w:ascii="Times New Roman"/>
                <w:sz w:val="21"/>
              </w:rPr>
              <w:t>11,078,780</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33" w:right="0"/>
              <w:jc w:val="left"/>
              <w:rPr>
                <w:rFonts w:ascii="宋体" w:hAnsi="宋体" w:cs="宋体" w:eastAsia="宋体" w:hint="default"/>
                <w:sz w:val="21"/>
                <w:szCs w:val="21"/>
              </w:rPr>
            </w:pPr>
            <w:r>
              <w:rPr>
                <w:rFonts w:ascii="宋体" w:hAnsi="宋体" w:cs="宋体" w:eastAsia="宋体" w:hint="default"/>
                <w:sz w:val="21"/>
                <w:szCs w:val="21"/>
              </w:rPr>
              <w:t>上期发生额</w:t>
            </w: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889" w:right="0"/>
              <w:jc w:val="left"/>
              <w:rPr>
                <w:rFonts w:ascii="Times New Roman" w:hAnsi="Times New Roman" w:cs="Times New Roman" w:eastAsia="Times New Roman" w:hint="default"/>
                <w:sz w:val="21"/>
                <w:szCs w:val="21"/>
              </w:rPr>
            </w:pPr>
            <w:r>
              <w:rPr>
                <w:rFonts w:ascii="Times New Roman"/>
                <w:sz w:val="21"/>
              </w:rPr>
              <w:t>19,833,321</w:t>
            </w:r>
          </w:p>
        </w:tc>
      </w:tr>
      <w:tr>
        <w:trPr>
          <w:trHeight w:val="887" w:hRule="exact"/>
        </w:trPr>
        <w:tc>
          <w:tcPr>
            <w:tcW w:w="3529" w:type="dxa"/>
            <w:tcBorders>
              <w:top w:val="nil" w:sz="6" w:space="0" w:color="auto"/>
              <w:left w:val="nil" w:sz="6" w:space="0" w:color="auto"/>
              <w:bottom w:val="nil" w:sz="6" w:space="0" w:color="auto"/>
              <w:right w:val="nil" w:sz="6" w:space="0" w:color="auto"/>
            </w:tcBorders>
          </w:tcPr>
          <w:p>
            <w:pPr>
              <w:pStyle w:val="TableParagraph"/>
              <w:spacing w:line="393" w:lineRule="auto" w:before="42"/>
              <w:ind w:left="121" w:right="886"/>
              <w:jc w:val="left"/>
              <w:rPr>
                <w:rFonts w:ascii="宋体" w:hAnsi="宋体" w:cs="宋体" w:eastAsia="宋体" w:hint="default"/>
                <w:sz w:val="21"/>
                <w:szCs w:val="21"/>
              </w:rPr>
            </w:pPr>
            <w:r>
              <w:rPr>
                <w:rFonts w:ascii="宋体" w:hAnsi="宋体" w:cs="宋体" w:eastAsia="宋体" w:hint="default"/>
                <w:sz w:val="21"/>
                <w:szCs w:val="21"/>
              </w:rPr>
              <w:t>存货跌价损失 可供出售金融资产减值损失</w:t>
            </w:r>
          </w:p>
        </w:tc>
        <w:tc>
          <w:tcPr>
            <w:tcW w:w="2781"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32"/>
              <w:jc w:val="right"/>
              <w:rPr>
                <w:rFonts w:ascii="Times New Roman" w:hAnsi="Times New Roman" w:cs="Times New Roman" w:eastAsia="Times New Roman" w:hint="default"/>
                <w:sz w:val="21"/>
                <w:szCs w:val="21"/>
              </w:rPr>
            </w:pPr>
            <w:r>
              <w:rPr>
                <w:rFonts w:ascii="Times New Roman"/>
                <w:spacing w:val="-1"/>
                <w:sz w:val="21"/>
              </w:rPr>
              <w:t>310,593</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6"/>
              <w:jc w:val="right"/>
              <w:rPr>
                <w:rFonts w:ascii="Times New Roman" w:hAnsi="Times New Roman" w:cs="Times New Roman" w:eastAsia="Times New Roman" w:hint="default"/>
                <w:sz w:val="21"/>
                <w:szCs w:val="21"/>
              </w:rPr>
            </w:pPr>
            <w:r>
              <w:rPr>
                <w:rFonts w:ascii="Times New Roman"/>
                <w:spacing w:val="-1"/>
                <w:sz w:val="21"/>
              </w:rPr>
              <w:t>-1,108,691</w:t>
            </w:r>
          </w:p>
        </w:tc>
      </w:tr>
      <w:tr>
        <w:trPr>
          <w:trHeight w:val="900" w:hRule="exact"/>
        </w:trPr>
        <w:tc>
          <w:tcPr>
            <w:tcW w:w="3529" w:type="dxa"/>
            <w:tcBorders>
              <w:top w:val="nil" w:sz="6" w:space="0" w:color="auto"/>
              <w:left w:val="nil" w:sz="6" w:space="0" w:color="auto"/>
              <w:bottom w:val="nil" w:sz="6" w:space="0" w:color="auto"/>
              <w:right w:val="nil" w:sz="6" w:space="0" w:color="auto"/>
            </w:tcBorders>
          </w:tcPr>
          <w:p>
            <w:pPr>
              <w:pStyle w:val="TableParagraph"/>
              <w:spacing w:line="393" w:lineRule="auto" w:before="55"/>
              <w:ind w:left="121" w:right="1306"/>
              <w:jc w:val="left"/>
              <w:rPr>
                <w:rFonts w:ascii="宋体" w:hAnsi="宋体" w:cs="宋体" w:eastAsia="宋体" w:hint="default"/>
                <w:sz w:val="21"/>
                <w:szCs w:val="21"/>
              </w:rPr>
            </w:pPr>
            <w:r>
              <w:rPr>
                <w:rFonts w:ascii="宋体" w:hAnsi="宋体" w:cs="宋体" w:eastAsia="宋体" w:hint="default"/>
                <w:sz w:val="21"/>
                <w:szCs w:val="21"/>
              </w:rPr>
              <w:t>长期股权投资减值损失 投资性房地产减值损失</w:t>
            </w:r>
          </w:p>
        </w:tc>
        <w:tc>
          <w:tcPr>
            <w:tcW w:w="2781"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32"/>
              <w:jc w:val="right"/>
              <w:rPr>
                <w:rFonts w:ascii="Times New Roman" w:hAnsi="Times New Roman" w:cs="Times New Roman" w:eastAsia="Times New Roman" w:hint="default"/>
                <w:sz w:val="21"/>
                <w:szCs w:val="21"/>
              </w:rPr>
            </w:pPr>
            <w:r>
              <w:rPr>
                <w:rFonts w:ascii="Times New Roman"/>
                <w:spacing w:val="-1"/>
                <w:sz w:val="21"/>
              </w:rPr>
              <w:t>1,388,039</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7"/>
              <w:jc w:val="right"/>
              <w:rPr>
                <w:rFonts w:ascii="Times New Roman" w:hAnsi="Times New Roman" w:cs="Times New Roman" w:eastAsia="Times New Roman" w:hint="default"/>
                <w:sz w:val="21"/>
                <w:szCs w:val="21"/>
              </w:rPr>
            </w:pPr>
            <w:r>
              <w:rPr>
                <w:rFonts w:ascii="Times New Roman"/>
                <w:spacing w:val="-1"/>
                <w:sz w:val="21"/>
              </w:rPr>
              <w:t>6,050,000</w:t>
            </w:r>
          </w:p>
        </w:tc>
      </w:tr>
      <w:tr>
        <w:trPr>
          <w:trHeight w:val="450" w:hRule="exact"/>
        </w:trPr>
        <w:tc>
          <w:tcPr>
            <w:tcW w:w="352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1" w:right="0"/>
              <w:jc w:val="left"/>
              <w:rPr>
                <w:rFonts w:ascii="宋体" w:hAnsi="宋体" w:cs="宋体" w:eastAsia="宋体" w:hint="default"/>
                <w:sz w:val="21"/>
                <w:szCs w:val="21"/>
              </w:rPr>
            </w:pPr>
            <w:r>
              <w:rPr>
                <w:rFonts w:ascii="宋体" w:hAnsi="宋体" w:cs="宋体" w:eastAsia="宋体" w:hint="default"/>
                <w:sz w:val="21"/>
                <w:szCs w:val="21"/>
              </w:rPr>
              <w:t>固定资产减值损失</w:t>
            </w:r>
          </w:p>
        </w:tc>
        <w:tc>
          <w:tcPr>
            <w:tcW w:w="2781" w:type="dxa"/>
            <w:tcBorders>
              <w:top w:val="nil" w:sz="6" w:space="0" w:color="auto"/>
              <w:left w:val="nil" w:sz="6" w:space="0" w:color="auto"/>
              <w:bottom w:val="nil" w:sz="6" w:space="0" w:color="auto"/>
              <w:right w:val="nil" w:sz="6" w:space="0" w:color="auto"/>
            </w:tcBorders>
          </w:tcPr>
          <w:p>
            <w:pPr/>
          </w:p>
        </w:tc>
        <w:tc>
          <w:tcPr>
            <w:tcW w:w="1943" w:type="dxa"/>
            <w:tcBorders>
              <w:top w:val="nil" w:sz="6" w:space="0" w:color="auto"/>
              <w:left w:val="nil" w:sz="6" w:space="0" w:color="auto"/>
              <w:bottom w:val="nil" w:sz="6" w:space="0" w:color="auto"/>
              <w:right w:val="nil" w:sz="6" w:space="0" w:color="auto"/>
            </w:tcBorders>
          </w:tcPr>
          <w:p>
            <w:pPr/>
          </w:p>
        </w:tc>
      </w:tr>
      <w:tr>
        <w:trPr>
          <w:trHeight w:val="450" w:hRule="exact"/>
        </w:trPr>
        <w:tc>
          <w:tcPr>
            <w:tcW w:w="352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1" w:right="0"/>
              <w:jc w:val="left"/>
              <w:rPr>
                <w:rFonts w:ascii="宋体" w:hAnsi="宋体" w:cs="宋体" w:eastAsia="宋体" w:hint="default"/>
                <w:sz w:val="21"/>
                <w:szCs w:val="21"/>
              </w:rPr>
            </w:pPr>
            <w:r>
              <w:rPr>
                <w:rFonts w:ascii="宋体" w:hAnsi="宋体" w:cs="宋体" w:eastAsia="宋体" w:hint="default"/>
                <w:sz w:val="21"/>
                <w:szCs w:val="21"/>
              </w:rPr>
              <w:t>工程物资减值损失</w:t>
            </w:r>
          </w:p>
        </w:tc>
        <w:tc>
          <w:tcPr>
            <w:tcW w:w="2781" w:type="dxa"/>
            <w:tcBorders>
              <w:top w:val="nil" w:sz="6" w:space="0" w:color="auto"/>
              <w:left w:val="nil" w:sz="6" w:space="0" w:color="auto"/>
              <w:bottom w:val="nil" w:sz="6" w:space="0" w:color="auto"/>
              <w:right w:val="nil" w:sz="6" w:space="0" w:color="auto"/>
            </w:tcBorders>
          </w:tcPr>
          <w:p>
            <w:pPr/>
          </w:p>
        </w:tc>
        <w:tc>
          <w:tcPr>
            <w:tcW w:w="1943" w:type="dxa"/>
            <w:tcBorders>
              <w:top w:val="nil" w:sz="6" w:space="0" w:color="auto"/>
              <w:left w:val="nil" w:sz="6" w:space="0" w:color="auto"/>
              <w:bottom w:val="nil" w:sz="6" w:space="0" w:color="auto"/>
              <w:right w:val="nil" w:sz="6" w:space="0" w:color="auto"/>
            </w:tcBorders>
          </w:tcPr>
          <w:p>
            <w:pPr/>
          </w:p>
        </w:tc>
      </w:tr>
      <w:tr>
        <w:trPr>
          <w:trHeight w:val="450" w:hRule="exact"/>
        </w:trPr>
        <w:tc>
          <w:tcPr>
            <w:tcW w:w="352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1" w:right="0"/>
              <w:jc w:val="left"/>
              <w:rPr>
                <w:rFonts w:ascii="宋体" w:hAnsi="宋体" w:cs="宋体" w:eastAsia="宋体" w:hint="default"/>
                <w:sz w:val="21"/>
                <w:szCs w:val="21"/>
              </w:rPr>
            </w:pPr>
            <w:r>
              <w:rPr>
                <w:rFonts w:ascii="宋体" w:hAnsi="宋体" w:cs="宋体" w:eastAsia="宋体" w:hint="default"/>
                <w:sz w:val="21"/>
                <w:szCs w:val="21"/>
              </w:rPr>
              <w:t>在建工程减值损失</w:t>
            </w:r>
          </w:p>
        </w:tc>
        <w:tc>
          <w:tcPr>
            <w:tcW w:w="2781" w:type="dxa"/>
            <w:tcBorders>
              <w:top w:val="nil" w:sz="6" w:space="0" w:color="auto"/>
              <w:left w:val="nil" w:sz="6" w:space="0" w:color="auto"/>
              <w:bottom w:val="nil" w:sz="6" w:space="0" w:color="auto"/>
              <w:right w:val="nil" w:sz="6" w:space="0" w:color="auto"/>
            </w:tcBorders>
          </w:tcPr>
          <w:p>
            <w:pPr/>
          </w:p>
        </w:tc>
        <w:tc>
          <w:tcPr>
            <w:tcW w:w="1943" w:type="dxa"/>
            <w:tcBorders>
              <w:top w:val="nil" w:sz="6" w:space="0" w:color="auto"/>
              <w:left w:val="nil" w:sz="6" w:space="0" w:color="auto"/>
              <w:bottom w:val="nil" w:sz="6" w:space="0" w:color="auto"/>
              <w:right w:val="nil" w:sz="6" w:space="0" w:color="auto"/>
            </w:tcBorders>
          </w:tcPr>
          <w:p>
            <w:pPr/>
          </w:p>
        </w:tc>
      </w:tr>
      <w:tr>
        <w:trPr>
          <w:trHeight w:val="450" w:hRule="exact"/>
        </w:trPr>
        <w:tc>
          <w:tcPr>
            <w:tcW w:w="352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1" w:right="0"/>
              <w:jc w:val="left"/>
              <w:rPr>
                <w:rFonts w:ascii="宋体" w:hAnsi="宋体" w:cs="宋体" w:eastAsia="宋体" w:hint="default"/>
                <w:sz w:val="21"/>
                <w:szCs w:val="21"/>
              </w:rPr>
            </w:pPr>
            <w:r>
              <w:rPr>
                <w:rFonts w:ascii="宋体" w:hAnsi="宋体" w:cs="宋体" w:eastAsia="宋体" w:hint="default"/>
                <w:sz w:val="21"/>
                <w:szCs w:val="21"/>
              </w:rPr>
              <w:t>无形资产减值损失</w:t>
            </w:r>
          </w:p>
        </w:tc>
        <w:tc>
          <w:tcPr>
            <w:tcW w:w="2781" w:type="dxa"/>
            <w:tcBorders>
              <w:top w:val="nil" w:sz="6" w:space="0" w:color="auto"/>
              <w:left w:val="nil" w:sz="6" w:space="0" w:color="auto"/>
              <w:bottom w:val="nil" w:sz="6" w:space="0" w:color="auto"/>
              <w:right w:val="nil" w:sz="6" w:space="0" w:color="auto"/>
            </w:tcBorders>
          </w:tcPr>
          <w:p>
            <w:pPr/>
          </w:p>
        </w:tc>
        <w:tc>
          <w:tcPr>
            <w:tcW w:w="1943" w:type="dxa"/>
            <w:tcBorders>
              <w:top w:val="nil" w:sz="6" w:space="0" w:color="auto"/>
              <w:left w:val="nil" w:sz="6" w:space="0" w:color="auto"/>
              <w:bottom w:val="nil" w:sz="6" w:space="0" w:color="auto"/>
              <w:right w:val="nil" w:sz="6" w:space="0" w:color="auto"/>
            </w:tcBorders>
          </w:tcPr>
          <w:p>
            <w:pPr/>
          </w:p>
        </w:tc>
      </w:tr>
      <w:tr>
        <w:trPr>
          <w:trHeight w:val="450" w:hRule="exact"/>
        </w:trPr>
        <w:tc>
          <w:tcPr>
            <w:tcW w:w="352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1" w:right="0"/>
              <w:jc w:val="left"/>
              <w:rPr>
                <w:rFonts w:ascii="宋体" w:hAnsi="宋体" w:cs="宋体" w:eastAsia="宋体" w:hint="default"/>
                <w:sz w:val="21"/>
                <w:szCs w:val="21"/>
              </w:rPr>
            </w:pPr>
            <w:r>
              <w:rPr>
                <w:rFonts w:ascii="宋体" w:hAnsi="宋体" w:cs="宋体" w:eastAsia="宋体" w:hint="default"/>
                <w:sz w:val="21"/>
                <w:szCs w:val="21"/>
              </w:rPr>
              <w:t>商誉减值损失</w:t>
            </w:r>
          </w:p>
        </w:tc>
        <w:tc>
          <w:tcPr>
            <w:tcW w:w="2781" w:type="dxa"/>
            <w:tcBorders>
              <w:top w:val="nil" w:sz="6" w:space="0" w:color="auto"/>
              <w:left w:val="nil" w:sz="6" w:space="0" w:color="auto"/>
              <w:bottom w:val="nil" w:sz="6" w:space="0" w:color="auto"/>
              <w:right w:val="nil" w:sz="6" w:space="0" w:color="auto"/>
            </w:tcBorders>
          </w:tcPr>
          <w:p>
            <w:pPr/>
          </w:p>
        </w:tc>
        <w:tc>
          <w:tcPr>
            <w:tcW w:w="1943" w:type="dxa"/>
            <w:tcBorders>
              <w:top w:val="nil" w:sz="6" w:space="0" w:color="auto"/>
              <w:left w:val="nil" w:sz="6" w:space="0" w:color="auto"/>
              <w:bottom w:val="nil" w:sz="6" w:space="0" w:color="auto"/>
              <w:right w:val="nil" w:sz="6" w:space="0" w:color="auto"/>
            </w:tcBorders>
          </w:tcPr>
          <w:p>
            <w:pPr/>
          </w:p>
        </w:tc>
      </w:tr>
      <w:tr>
        <w:trPr>
          <w:trHeight w:val="374" w:hRule="exact"/>
        </w:trPr>
        <w:tc>
          <w:tcPr>
            <w:tcW w:w="3529" w:type="dxa"/>
            <w:tcBorders>
              <w:top w:val="nil" w:sz="6" w:space="0" w:color="auto"/>
              <w:left w:val="nil" w:sz="6" w:space="0" w:color="auto"/>
              <w:bottom w:val="single" w:sz="8" w:space="0" w:color="000000"/>
              <w:right w:val="nil" w:sz="6" w:space="0" w:color="auto"/>
            </w:tcBorders>
          </w:tcPr>
          <w:p>
            <w:pPr>
              <w:pStyle w:val="TableParagraph"/>
              <w:spacing w:line="240" w:lineRule="auto" w:before="55"/>
              <w:ind w:left="284" w:right="0"/>
              <w:jc w:val="center"/>
              <w:rPr>
                <w:rFonts w:ascii="宋体" w:hAnsi="宋体" w:cs="宋体" w:eastAsia="宋体" w:hint="default"/>
                <w:sz w:val="21"/>
                <w:szCs w:val="21"/>
              </w:rPr>
            </w:pPr>
            <w:r>
              <w:rPr>
                <w:rFonts w:ascii="宋体" w:hAnsi="宋体" w:cs="宋体" w:eastAsia="宋体" w:hint="default"/>
                <w:sz w:val="21"/>
                <w:szCs w:val="21"/>
              </w:rPr>
              <w:t>合    计</w:t>
            </w:r>
          </w:p>
        </w:tc>
        <w:tc>
          <w:tcPr>
            <w:tcW w:w="2781" w:type="dxa"/>
            <w:tcBorders>
              <w:top w:val="nil" w:sz="6" w:space="0" w:color="auto"/>
              <w:left w:val="nil" w:sz="6" w:space="0" w:color="auto"/>
              <w:bottom w:val="single" w:sz="8" w:space="0" w:color="000000"/>
              <w:right w:val="nil" w:sz="6" w:space="0" w:color="auto"/>
            </w:tcBorders>
          </w:tcPr>
          <w:p>
            <w:pPr>
              <w:pStyle w:val="TableParagraph"/>
              <w:spacing w:line="240" w:lineRule="auto" w:before="119"/>
              <w:ind w:right="332"/>
              <w:jc w:val="right"/>
              <w:rPr>
                <w:rFonts w:ascii="Times New Roman" w:hAnsi="Times New Roman" w:cs="Times New Roman" w:eastAsia="Times New Roman" w:hint="default"/>
                <w:sz w:val="21"/>
                <w:szCs w:val="21"/>
              </w:rPr>
            </w:pPr>
            <w:r>
              <w:rPr>
                <w:rFonts w:ascii="Times New Roman"/>
                <w:spacing w:val="-1"/>
                <w:sz w:val="21"/>
              </w:rPr>
              <w:t>12,777,412</w:t>
            </w:r>
          </w:p>
        </w:tc>
        <w:tc>
          <w:tcPr>
            <w:tcW w:w="1943" w:type="dxa"/>
            <w:tcBorders>
              <w:top w:val="nil" w:sz="6" w:space="0" w:color="auto"/>
              <w:left w:val="nil" w:sz="6" w:space="0" w:color="auto"/>
              <w:bottom w:val="single" w:sz="8" w:space="0" w:color="000000"/>
              <w:right w:val="nil" w:sz="6" w:space="0" w:color="auto"/>
            </w:tcBorders>
          </w:tcPr>
          <w:p>
            <w:pPr>
              <w:pStyle w:val="TableParagraph"/>
              <w:spacing w:line="240" w:lineRule="auto" w:before="119"/>
              <w:ind w:right="106"/>
              <w:jc w:val="right"/>
              <w:rPr>
                <w:rFonts w:ascii="Times New Roman" w:hAnsi="Times New Roman" w:cs="Times New Roman" w:eastAsia="Times New Roman" w:hint="default"/>
                <w:sz w:val="21"/>
                <w:szCs w:val="21"/>
              </w:rPr>
            </w:pPr>
            <w:r>
              <w:rPr>
                <w:rFonts w:ascii="Times New Roman"/>
                <w:spacing w:val="-1"/>
                <w:sz w:val="21"/>
              </w:rPr>
              <w:t>24,774,630</w:t>
            </w:r>
          </w:p>
        </w:tc>
      </w:tr>
    </w:tbl>
    <w:p>
      <w:pPr>
        <w:spacing w:after="0" w:line="240" w:lineRule="auto"/>
        <w:jc w:val="right"/>
        <w:rPr>
          <w:rFonts w:ascii="Times New Roman" w:hAnsi="Times New Roman" w:cs="Times New Roman" w:eastAsia="Times New Roman" w:hint="default"/>
          <w:sz w:val="21"/>
          <w:szCs w:val="21"/>
        </w:rPr>
        <w:sectPr>
          <w:pgSz w:w="11900" w:h="16840"/>
          <w:pgMar w:header="0" w:footer="1003" w:top="1540" w:bottom="1200" w:left="1660" w:right="1100"/>
        </w:sectPr>
      </w:pPr>
    </w:p>
    <w:p>
      <w:pPr>
        <w:spacing w:line="240" w:lineRule="auto" w:before="2"/>
        <w:rPr>
          <w:rFonts w:ascii="宋体" w:hAnsi="宋体" w:cs="宋体" w:eastAsia="宋体" w:hint="default"/>
          <w:sz w:val="7"/>
          <w:szCs w:val="7"/>
        </w:rPr>
      </w:pPr>
    </w:p>
    <w:tbl>
      <w:tblPr>
        <w:tblW w:w="0" w:type="auto"/>
        <w:jc w:val="left"/>
        <w:tblInd w:w="108" w:type="dxa"/>
        <w:tblLayout w:type="fixed"/>
        <w:tblCellMar>
          <w:top w:w="0" w:type="dxa"/>
          <w:left w:w="0" w:type="dxa"/>
          <w:bottom w:w="0" w:type="dxa"/>
          <w:right w:w="0" w:type="dxa"/>
        </w:tblCellMar>
        <w:tblLook w:val="01E0"/>
      </w:tblPr>
      <w:tblGrid>
        <w:gridCol w:w="2492"/>
        <w:gridCol w:w="210"/>
        <w:gridCol w:w="1305"/>
        <w:gridCol w:w="2940"/>
        <w:gridCol w:w="1958"/>
      </w:tblGrid>
      <w:tr>
        <w:trPr>
          <w:trHeight w:val="352" w:hRule="exact"/>
        </w:trPr>
        <w:tc>
          <w:tcPr>
            <w:tcW w:w="2492" w:type="dxa"/>
            <w:tcBorders>
              <w:top w:val="nil" w:sz="6" w:space="0" w:color="auto"/>
              <w:left w:val="nil" w:sz="6" w:space="0" w:color="auto"/>
              <w:bottom w:val="single" w:sz="8"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四十二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4"/>
                <w:sz w:val="21"/>
                <w:szCs w:val="21"/>
              </w:rPr>
              <w:t> </w:t>
            </w:r>
            <w:r>
              <w:rPr>
                <w:rFonts w:ascii="宋体" w:hAnsi="宋体" w:cs="宋体" w:eastAsia="宋体" w:hint="default"/>
                <w:sz w:val="21"/>
                <w:szCs w:val="21"/>
              </w:rPr>
              <w:t>财务费用</w:t>
            </w:r>
          </w:p>
        </w:tc>
        <w:tc>
          <w:tcPr>
            <w:tcW w:w="6413" w:type="dxa"/>
            <w:gridSpan w:val="4"/>
            <w:tcBorders>
              <w:top w:val="nil" w:sz="6" w:space="0" w:color="auto"/>
              <w:left w:val="nil" w:sz="6" w:space="0" w:color="auto"/>
              <w:bottom w:val="single" w:sz="8" w:space="0" w:color="000000"/>
              <w:right w:val="nil" w:sz="6" w:space="0" w:color="auto"/>
            </w:tcBorders>
          </w:tcPr>
          <w:p>
            <w:pPr/>
          </w:p>
        </w:tc>
      </w:tr>
      <w:tr>
        <w:trPr>
          <w:trHeight w:val="448" w:hRule="exact"/>
        </w:trPr>
        <w:tc>
          <w:tcPr>
            <w:tcW w:w="2492" w:type="dxa"/>
            <w:tcBorders>
              <w:top w:val="single" w:sz="8" w:space="0" w:color="000000"/>
              <w:left w:val="nil" w:sz="6" w:space="0" w:color="auto"/>
              <w:bottom w:val="nil" w:sz="6" w:space="0" w:color="auto"/>
              <w:right w:val="nil" w:sz="6" w:space="0" w:color="auto"/>
            </w:tcBorders>
          </w:tcPr>
          <w:p>
            <w:pPr>
              <w:pStyle w:val="TableParagraph"/>
              <w:spacing w:line="240" w:lineRule="auto" w:before="74"/>
              <w:ind w:right="50"/>
              <w:jc w:val="right"/>
              <w:rPr>
                <w:rFonts w:ascii="宋体" w:hAnsi="宋体" w:cs="宋体" w:eastAsia="宋体" w:hint="default"/>
                <w:sz w:val="21"/>
                <w:szCs w:val="21"/>
              </w:rPr>
            </w:pPr>
            <w:r>
              <w:rPr>
                <w:rFonts w:ascii="宋体" w:hAnsi="宋体" w:cs="宋体" w:eastAsia="宋体" w:hint="default"/>
                <w:sz w:val="21"/>
                <w:szCs w:val="21"/>
              </w:rPr>
              <w:t>类 </w:t>
            </w:r>
          </w:p>
        </w:tc>
        <w:tc>
          <w:tcPr>
            <w:tcW w:w="210" w:type="dxa"/>
            <w:tcBorders>
              <w:top w:val="single" w:sz="8" w:space="0" w:color="000000"/>
              <w:left w:val="nil" w:sz="6" w:space="0" w:color="auto"/>
              <w:bottom w:val="nil" w:sz="6" w:space="0" w:color="auto"/>
              <w:right w:val="nil" w:sz="6" w:space="0" w:color="auto"/>
            </w:tcBorders>
          </w:tcPr>
          <w:p>
            <w:pPr>
              <w:pStyle w:val="TableParagraph"/>
              <w:spacing w:line="240" w:lineRule="auto" w:before="74"/>
              <w:ind w:right="0"/>
              <w:jc w:val="center"/>
              <w:rPr>
                <w:rFonts w:ascii="宋体" w:hAnsi="宋体" w:cs="宋体" w:eastAsia="宋体" w:hint="default"/>
                <w:sz w:val="21"/>
                <w:szCs w:val="21"/>
              </w:rPr>
            </w:pPr>
            <w:r>
              <w:rPr>
                <w:rFonts w:ascii="宋体"/>
                <w:sz w:val="21"/>
              </w:rPr>
              <w:t> </w:t>
            </w:r>
          </w:p>
        </w:tc>
        <w:tc>
          <w:tcPr>
            <w:tcW w:w="1305" w:type="dxa"/>
            <w:tcBorders>
              <w:top w:val="single" w:sz="8" w:space="0" w:color="000000"/>
              <w:left w:val="nil" w:sz="6" w:space="0" w:color="auto"/>
              <w:bottom w:val="nil" w:sz="6" w:space="0" w:color="auto"/>
              <w:right w:val="nil" w:sz="6" w:space="0" w:color="auto"/>
            </w:tcBorders>
          </w:tcPr>
          <w:p>
            <w:pPr>
              <w:pStyle w:val="TableParagraph"/>
              <w:spacing w:line="240" w:lineRule="auto" w:before="74"/>
              <w:ind w:left="52" w:right="0"/>
              <w:jc w:val="left"/>
              <w:rPr>
                <w:rFonts w:ascii="宋体" w:hAnsi="宋体" w:cs="宋体" w:eastAsia="宋体" w:hint="default"/>
                <w:sz w:val="21"/>
                <w:szCs w:val="21"/>
              </w:rPr>
            </w:pPr>
            <w:r>
              <w:rPr>
                <w:rFonts w:ascii="宋体" w:hAnsi="宋体" w:cs="宋体" w:eastAsia="宋体" w:hint="default"/>
                <w:sz w:val="21"/>
                <w:szCs w:val="21"/>
              </w:rPr>
              <w:t>别</w:t>
            </w:r>
          </w:p>
        </w:tc>
        <w:tc>
          <w:tcPr>
            <w:tcW w:w="2940" w:type="dxa"/>
            <w:tcBorders>
              <w:top w:val="single" w:sz="8" w:space="0" w:color="000000"/>
              <w:left w:val="nil" w:sz="6" w:space="0" w:color="auto"/>
              <w:bottom w:val="nil" w:sz="6" w:space="0" w:color="auto"/>
              <w:right w:val="nil" w:sz="6" w:space="0" w:color="auto"/>
            </w:tcBorders>
          </w:tcPr>
          <w:p>
            <w:pPr>
              <w:pStyle w:val="TableParagraph"/>
              <w:spacing w:line="240" w:lineRule="auto" w:before="74"/>
              <w:ind w:left="104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958" w:type="dxa"/>
            <w:tcBorders>
              <w:top w:val="single" w:sz="8" w:space="0" w:color="000000"/>
              <w:left w:val="nil" w:sz="6" w:space="0" w:color="auto"/>
              <w:bottom w:val="nil" w:sz="6" w:space="0" w:color="auto"/>
              <w:right w:val="nil" w:sz="6" w:space="0" w:color="auto"/>
            </w:tcBorders>
          </w:tcPr>
          <w:p>
            <w:pPr>
              <w:pStyle w:val="TableParagraph"/>
              <w:spacing w:line="240" w:lineRule="auto" w:before="74"/>
              <w:ind w:left="340"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02" w:hRule="exact"/>
        </w:trPr>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765"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210"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38"/>
              <w:jc w:val="right"/>
              <w:rPr>
                <w:rFonts w:ascii="Times New Roman" w:hAnsi="Times New Roman" w:cs="Times New Roman" w:eastAsia="Times New Roman" w:hint="default"/>
                <w:sz w:val="21"/>
                <w:szCs w:val="21"/>
              </w:rPr>
            </w:pPr>
            <w:r>
              <w:rPr>
                <w:rFonts w:ascii="Times New Roman"/>
                <w:spacing w:val="-1"/>
                <w:sz w:val="21"/>
              </w:rPr>
              <w:t>16,290,894</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0"/>
              <w:jc w:val="right"/>
              <w:rPr>
                <w:rFonts w:ascii="Times New Roman" w:hAnsi="Times New Roman" w:cs="Times New Roman" w:eastAsia="Times New Roman" w:hint="default"/>
                <w:sz w:val="21"/>
                <w:szCs w:val="21"/>
              </w:rPr>
            </w:pPr>
            <w:r>
              <w:rPr>
                <w:rFonts w:ascii="Times New Roman"/>
                <w:spacing w:val="-1"/>
                <w:sz w:val="21"/>
              </w:rPr>
              <w:t>41,557,063</w:t>
            </w:r>
          </w:p>
        </w:tc>
      </w:tr>
      <w:tr>
        <w:trPr>
          <w:trHeight w:val="390" w:hRule="exact"/>
        </w:trPr>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976"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210"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8"/>
              <w:jc w:val="right"/>
              <w:rPr>
                <w:rFonts w:ascii="Times New Roman" w:hAnsi="Times New Roman" w:cs="Times New Roman" w:eastAsia="Times New Roman" w:hint="default"/>
                <w:sz w:val="21"/>
                <w:szCs w:val="21"/>
              </w:rPr>
            </w:pPr>
            <w:r>
              <w:rPr>
                <w:rFonts w:ascii="Times New Roman"/>
                <w:spacing w:val="-1"/>
                <w:sz w:val="21"/>
              </w:rPr>
              <w:t>14,569,658</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0"/>
              <w:jc w:val="right"/>
              <w:rPr>
                <w:rFonts w:ascii="Times New Roman" w:hAnsi="Times New Roman" w:cs="Times New Roman" w:eastAsia="Times New Roman" w:hint="default"/>
                <w:sz w:val="21"/>
                <w:szCs w:val="21"/>
              </w:rPr>
            </w:pPr>
            <w:r>
              <w:rPr>
                <w:rFonts w:ascii="Times New Roman"/>
                <w:spacing w:val="-1"/>
                <w:sz w:val="21"/>
              </w:rPr>
              <w:t>31,288,149</w:t>
            </w:r>
          </w:p>
        </w:tc>
      </w:tr>
      <w:tr>
        <w:trPr>
          <w:trHeight w:val="390" w:hRule="exact"/>
        </w:trPr>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765" w:right="0"/>
              <w:jc w:val="left"/>
              <w:rPr>
                <w:rFonts w:ascii="宋体" w:hAnsi="宋体" w:cs="宋体" w:eastAsia="宋体" w:hint="default"/>
                <w:sz w:val="21"/>
                <w:szCs w:val="21"/>
              </w:rPr>
            </w:pPr>
            <w:r>
              <w:rPr>
                <w:rFonts w:ascii="宋体" w:hAnsi="宋体" w:cs="宋体" w:eastAsia="宋体" w:hint="default"/>
                <w:sz w:val="21"/>
                <w:szCs w:val="21"/>
              </w:rPr>
              <w:t>汇兑损益</w:t>
            </w:r>
          </w:p>
        </w:tc>
        <w:tc>
          <w:tcPr>
            <w:tcW w:w="210"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8"/>
              <w:jc w:val="right"/>
              <w:rPr>
                <w:rFonts w:ascii="Times New Roman" w:hAnsi="Times New Roman" w:cs="Times New Roman" w:eastAsia="Times New Roman" w:hint="default"/>
                <w:sz w:val="21"/>
                <w:szCs w:val="21"/>
              </w:rPr>
            </w:pPr>
            <w:r>
              <w:rPr>
                <w:rFonts w:ascii="Times New Roman"/>
                <w:spacing w:val="-1"/>
                <w:sz w:val="21"/>
              </w:rPr>
              <w:t>13,408,552</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0"/>
              <w:jc w:val="right"/>
              <w:rPr>
                <w:rFonts w:ascii="Times New Roman" w:hAnsi="Times New Roman" w:cs="Times New Roman" w:eastAsia="Times New Roman" w:hint="default"/>
                <w:sz w:val="21"/>
                <w:szCs w:val="21"/>
              </w:rPr>
            </w:pPr>
            <w:r>
              <w:rPr>
                <w:rFonts w:ascii="Times New Roman"/>
                <w:spacing w:val="-1"/>
                <w:sz w:val="21"/>
              </w:rPr>
              <w:t>-7,430,340</w:t>
            </w:r>
          </w:p>
        </w:tc>
      </w:tr>
      <w:tr>
        <w:trPr>
          <w:trHeight w:val="390" w:hRule="exact"/>
        </w:trPr>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765" w:right="0"/>
              <w:jc w:val="left"/>
              <w:rPr>
                <w:rFonts w:ascii="宋体" w:hAnsi="宋体" w:cs="宋体" w:eastAsia="宋体" w:hint="default"/>
                <w:sz w:val="21"/>
                <w:szCs w:val="21"/>
              </w:rPr>
            </w:pPr>
            <w:r>
              <w:rPr>
                <w:rFonts w:ascii="宋体" w:hAnsi="宋体" w:cs="宋体" w:eastAsia="宋体" w:hint="default"/>
                <w:sz w:val="21"/>
                <w:szCs w:val="21"/>
              </w:rPr>
              <w:t>其    他</w:t>
            </w:r>
          </w:p>
        </w:tc>
        <w:tc>
          <w:tcPr>
            <w:tcW w:w="210"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8"/>
              <w:jc w:val="right"/>
              <w:rPr>
                <w:rFonts w:ascii="Times New Roman" w:hAnsi="Times New Roman" w:cs="Times New Roman" w:eastAsia="Times New Roman" w:hint="default"/>
                <w:sz w:val="21"/>
                <w:szCs w:val="21"/>
              </w:rPr>
            </w:pPr>
            <w:r>
              <w:rPr>
                <w:rFonts w:ascii="Times New Roman"/>
                <w:spacing w:val="-1"/>
                <w:sz w:val="21"/>
              </w:rPr>
              <w:t>2,392,710</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1"/>
              <w:jc w:val="right"/>
              <w:rPr>
                <w:rFonts w:ascii="Times New Roman" w:hAnsi="Times New Roman" w:cs="Times New Roman" w:eastAsia="Times New Roman" w:hint="default"/>
                <w:sz w:val="21"/>
                <w:szCs w:val="21"/>
              </w:rPr>
            </w:pPr>
            <w:r>
              <w:rPr>
                <w:rFonts w:ascii="Times New Roman"/>
                <w:spacing w:val="-1"/>
                <w:sz w:val="21"/>
              </w:rPr>
              <w:t>1,661,683</w:t>
            </w:r>
          </w:p>
        </w:tc>
      </w:tr>
      <w:tr>
        <w:trPr>
          <w:trHeight w:val="331" w:hRule="exact"/>
        </w:trPr>
        <w:tc>
          <w:tcPr>
            <w:tcW w:w="2492" w:type="dxa"/>
            <w:tcBorders>
              <w:top w:val="nil" w:sz="6" w:space="0" w:color="auto"/>
              <w:left w:val="nil" w:sz="6" w:space="0" w:color="auto"/>
              <w:bottom w:val="single" w:sz="8" w:space="0" w:color="000000"/>
              <w:right w:val="nil" w:sz="6" w:space="0" w:color="auto"/>
            </w:tcBorders>
          </w:tcPr>
          <w:p>
            <w:pPr>
              <w:pStyle w:val="TableParagraph"/>
              <w:spacing w:line="240" w:lineRule="auto" w:before="12"/>
              <w:ind w:right="50"/>
              <w:jc w:val="right"/>
              <w:rPr>
                <w:rFonts w:ascii="宋体" w:hAnsi="宋体" w:cs="宋体" w:eastAsia="宋体" w:hint="default"/>
                <w:sz w:val="21"/>
                <w:szCs w:val="21"/>
              </w:rPr>
            </w:pPr>
            <w:r>
              <w:rPr>
                <w:rFonts w:ascii="宋体" w:hAnsi="宋体" w:cs="宋体" w:eastAsia="宋体" w:hint="default"/>
                <w:sz w:val="21"/>
                <w:szCs w:val="21"/>
              </w:rPr>
              <w:t>合 </w:t>
            </w:r>
          </w:p>
        </w:tc>
        <w:tc>
          <w:tcPr>
            <w:tcW w:w="210" w:type="dxa"/>
            <w:tcBorders>
              <w:top w:val="nil" w:sz="6" w:space="0" w:color="auto"/>
              <w:left w:val="nil" w:sz="6" w:space="0" w:color="auto"/>
              <w:bottom w:val="single" w:sz="8" w:space="0" w:color="000000"/>
              <w:right w:val="nil" w:sz="6" w:space="0" w:color="auto"/>
            </w:tcBorders>
          </w:tcPr>
          <w:p>
            <w:pPr>
              <w:pStyle w:val="TableParagraph"/>
              <w:spacing w:line="240" w:lineRule="auto" w:before="12"/>
              <w:ind w:right="0"/>
              <w:jc w:val="center"/>
              <w:rPr>
                <w:rFonts w:ascii="宋体" w:hAnsi="宋体" w:cs="宋体" w:eastAsia="宋体" w:hint="default"/>
                <w:sz w:val="21"/>
                <w:szCs w:val="21"/>
              </w:rPr>
            </w:pPr>
            <w:r>
              <w:rPr>
                <w:rFonts w:ascii="宋体"/>
                <w:sz w:val="21"/>
              </w:rPr>
              <w:t> </w:t>
            </w:r>
          </w:p>
        </w:tc>
        <w:tc>
          <w:tcPr>
            <w:tcW w:w="1305" w:type="dxa"/>
            <w:tcBorders>
              <w:top w:val="nil" w:sz="6" w:space="0" w:color="auto"/>
              <w:left w:val="nil" w:sz="6" w:space="0" w:color="auto"/>
              <w:bottom w:val="single" w:sz="8" w:space="0" w:color="000000"/>
              <w:right w:val="nil" w:sz="6" w:space="0" w:color="auto"/>
            </w:tcBorders>
          </w:tcPr>
          <w:p>
            <w:pPr>
              <w:pStyle w:val="TableParagraph"/>
              <w:spacing w:line="240" w:lineRule="auto" w:before="12"/>
              <w:ind w:left="52"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940"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338"/>
              <w:jc w:val="right"/>
              <w:rPr>
                <w:rFonts w:ascii="Times New Roman" w:hAnsi="Times New Roman" w:cs="Times New Roman" w:eastAsia="Times New Roman" w:hint="default"/>
                <w:sz w:val="21"/>
                <w:szCs w:val="21"/>
              </w:rPr>
            </w:pPr>
            <w:r>
              <w:rPr>
                <w:rFonts w:ascii="Times New Roman"/>
                <w:spacing w:val="-1"/>
                <w:sz w:val="21"/>
              </w:rPr>
              <w:t>17,522,498</w:t>
            </w:r>
          </w:p>
        </w:tc>
        <w:tc>
          <w:tcPr>
            <w:tcW w:w="1958"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100"/>
              <w:jc w:val="right"/>
              <w:rPr>
                <w:rFonts w:ascii="Times New Roman" w:hAnsi="Times New Roman" w:cs="Times New Roman" w:eastAsia="Times New Roman" w:hint="default"/>
                <w:sz w:val="21"/>
                <w:szCs w:val="21"/>
              </w:rPr>
            </w:pPr>
            <w:r>
              <w:rPr>
                <w:rFonts w:ascii="Times New Roman"/>
                <w:spacing w:val="-1"/>
                <w:sz w:val="21"/>
              </w:rPr>
              <w:t>4,500,257</w:t>
            </w:r>
          </w:p>
        </w:tc>
      </w:tr>
    </w:tbl>
    <w:p>
      <w:pPr>
        <w:spacing w:line="240" w:lineRule="auto" w:before="0"/>
        <w:rPr>
          <w:rFonts w:ascii="宋体" w:hAnsi="宋体" w:cs="宋体" w:eastAsia="宋体" w:hint="default"/>
          <w:sz w:val="20"/>
          <w:szCs w:val="20"/>
        </w:rPr>
      </w:pPr>
    </w:p>
    <w:p>
      <w:pPr>
        <w:spacing w:before="181"/>
        <w:ind w:left="143" w:right="0" w:firstLine="0"/>
        <w:jc w:val="left"/>
        <w:rPr>
          <w:rFonts w:ascii="宋体" w:hAnsi="宋体" w:cs="宋体" w:eastAsia="宋体" w:hint="default"/>
          <w:sz w:val="21"/>
          <w:szCs w:val="21"/>
        </w:rPr>
      </w:pPr>
      <w:r>
        <w:rPr/>
        <w:pict>
          <v:shape style="position:absolute;margin-left:120.360001pt;margin-top:-131.145859pt;width:412.919898pt;height:116.58pt;mso-position-horizontal-relative:page;mso-position-vertical-relative:paragraph;z-index:-979288" type="#_x0000_t75" stroked="false">
            <v:imagedata r:id="rId125" o:title=""/>
          </v:shape>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四十三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3"/>
          <w:sz w:val="21"/>
          <w:szCs w:val="21"/>
        </w:rPr>
        <w:t> </w:t>
      </w:r>
      <w:r>
        <w:rPr>
          <w:rFonts w:ascii="宋体" w:hAnsi="宋体" w:cs="宋体" w:eastAsia="宋体" w:hint="default"/>
          <w:sz w:val="21"/>
          <w:szCs w:val="21"/>
        </w:rPr>
        <w:t>营业外收入</w:t>
      </w:r>
    </w:p>
    <w:p>
      <w:pPr>
        <w:spacing w:line="240" w:lineRule="auto" w:before="0"/>
        <w:rPr>
          <w:rFonts w:ascii="宋体" w:hAnsi="宋体" w:cs="宋体" w:eastAsia="宋体" w:hint="default"/>
          <w:sz w:val="22"/>
          <w:szCs w:val="22"/>
        </w:rPr>
      </w:pPr>
    </w:p>
    <w:p>
      <w:pPr>
        <w:tabs>
          <w:tab w:pos="1413" w:val="left" w:leader="none"/>
        </w:tabs>
        <w:spacing w:before="181"/>
        <w:ind w:left="875" w:right="0" w:firstLine="0"/>
        <w:jc w:val="left"/>
        <w:rPr>
          <w:rFonts w:ascii="宋体" w:hAnsi="宋体" w:cs="宋体" w:eastAsia="宋体" w:hint="default"/>
          <w:sz w:val="21"/>
          <w:szCs w:val="21"/>
        </w:rPr>
      </w:pPr>
      <w:r>
        <w:rPr/>
        <w:pict>
          <v:group style="position:absolute;margin-left:119.87999pt;margin-top:24.434851pt;width:413.4pt;height:156.550pt;mso-position-horizontal-relative:page;mso-position-vertical-relative:paragraph;z-index:-979264" coordorigin="2398,489" coordsize="8268,3131">
            <v:group style="position:absolute;left:2407;top:498;width:3783;height:2" coordorigin="2407,498" coordsize="3783,2">
              <v:shape style="position:absolute;left:2407;top:498;width:3783;height:2" coordorigin="2407,498" coordsize="3783,0" path="m2407,498l6190,498e" filled="false" stroked="true" strokeweight=".96002pt" strokecolor="#000000">
                <v:path arrowok="t"/>
              </v:shape>
            </v:group>
            <v:group style="position:absolute;left:6190;top:498;width:20;height:2" coordorigin="6190,498" coordsize="20,2">
              <v:shape style="position:absolute;left:6190;top:498;width:20;height:2" coordorigin="6190,498" coordsize="20,0" path="m6190,498l6209,498e" filled="false" stroked="true" strokeweight=".96002pt" strokecolor="#000000">
                <v:path arrowok="t"/>
              </v:shape>
            </v:group>
            <v:group style="position:absolute;left:6209;top:498;width:2249;height:2" coordorigin="6209,498" coordsize="2249,2">
              <v:shape style="position:absolute;left:6209;top:498;width:2249;height:2" coordorigin="6209,498" coordsize="2249,0" path="m6209,498l8458,498e" filled="false" stroked="true" strokeweight=".96pt" strokecolor="#000000">
                <v:path arrowok="t"/>
              </v:shape>
            </v:group>
            <v:group style="position:absolute;left:8458;top:498;width:2195;height:2" coordorigin="8458,498" coordsize="2195,2">
              <v:shape style="position:absolute;left:8458;top:498;width:2195;height:2" coordorigin="8458,498" coordsize="2195,0" path="m8458,498l10652,498e" filled="false" stroked="true" strokeweight=".96002pt" strokecolor="#000000">
                <v:path arrowok="t"/>
              </v:shape>
              <v:shape style="position:absolute;left:2407;top:508;width:8258;height:3112" type="#_x0000_t75" stroked="false">
                <v:imagedata r:id="rId126" o:title=""/>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营业外收入情况</w:t>
      </w:r>
    </w:p>
    <w:p>
      <w:pPr>
        <w:spacing w:line="240" w:lineRule="auto" w:before="9"/>
        <w:rPr>
          <w:rFonts w:ascii="宋体" w:hAnsi="宋体" w:cs="宋体" w:eastAsia="宋体" w:hint="default"/>
          <w:sz w:val="5"/>
          <w:szCs w:val="5"/>
        </w:rPr>
      </w:pPr>
    </w:p>
    <w:tbl>
      <w:tblPr>
        <w:tblW w:w="0" w:type="auto"/>
        <w:jc w:val="left"/>
        <w:tblInd w:w="752" w:type="dxa"/>
        <w:tblLayout w:type="fixed"/>
        <w:tblCellMar>
          <w:top w:w="0" w:type="dxa"/>
          <w:left w:w="0" w:type="dxa"/>
          <w:bottom w:w="0" w:type="dxa"/>
          <w:right w:w="0" w:type="dxa"/>
        </w:tblCellMar>
        <w:tblLook w:val="01E0"/>
      </w:tblPr>
      <w:tblGrid>
        <w:gridCol w:w="3421"/>
        <w:gridCol w:w="2881"/>
        <w:gridCol w:w="1965"/>
      </w:tblGrid>
      <w:tr>
        <w:trPr>
          <w:trHeight w:val="802" w:hRule="exact"/>
        </w:trPr>
        <w:tc>
          <w:tcPr>
            <w:tcW w:w="3421" w:type="dxa"/>
            <w:tcBorders>
              <w:top w:val="nil" w:sz="6" w:space="0" w:color="auto"/>
              <w:left w:val="nil" w:sz="6" w:space="0" w:color="auto"/>
              <w:bottom w:val="nil" w:sz="6" w:space="0" w:color="auto"/>
              <w:right w:val="nil" w:sz="6" w:space="0" w:color="auto"/>
            </w:tcBorders>
          </w:tcPr>
          <w:p>
            <w:pPr>
              <w:pStyle w:val="TableParagraph"/>
              <w:spacing w:line="338" w:lineRule="auto" w:before="35"/>
              <w:ind w:left="121" w:right="987" w:firstLine="1365"/>
              <w:jc w:val="left"/>
              <w:rPr>
                <w:rFonts w:ascii="宋体" w:hAnsi="宋体" w:cs="宋体" w:eastAsia="宋体" w:hint="default"/>
                <w:sz w:val="21"/>
                <w:szCs w:val="21"/>
              </w:rPr>
            </w:pPr>
            <w:r>
              <w:rPr>
                <w:rFonts w:ascii="宋体" w:hAnsi="宋体" w:cs="宋体" w:eastAsia="宋体" w:hint="default"/>
                <w:sz w:val="21"/>
                <w:szCs w:val="21"/>
              </w:rPr>
              <w:t>项 目 非流动资产处置利得合计</w:t>
            </w:r>
          </w:p>
        </w:tc>
        <w:tc>
          <w:tcPr>
            <w:tcW w:w="288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89" w:right="0"/>
              <w:jc w:val="left"/>
              <w:rPr>
                <w:rFonts w:ascii="宋体" w:hAnsi="宋体" w:cs="宋体" w:eastAsia="宋体" w:hint="default"/>
                <w:sz w:val="21"/>
                <w:szCs w:val="21"/>
              </w:rPr>
            </w:pPr>
            <w:r>
              <w:rPr>
                <w:rFonts w:ascii="宋体" w:hAnsi="宋体" w:cs="宋体" w:eastAsia="宋体" w:hint="default"/>
                <w:sz w:val="21"/>
                <w:szCs w:val="21"/>
              </w:rPr>
              <w:t>本期发生额</w:t>
            </w:r>
          </w:p>
          <w:p>
            <w:pPr>
              <w:pStyle w:val="TableParagraph"/>
              <w:spacing w:line="240" w:lineRule="auto" w:before="177"/>
              <w:ind w:left="1699" w:right="0"/>
              <w:jc w:val="left"/>
              <w:rPr>
                <w:rFonts w:ascii="Times New Roman" w:hAnsi="Times New Roman" w:cs="Times New Roman" w:eastAsia="Times New Roman" w:hint="default"/>
                <w:sz w:val="21"/>
                <w:szCs w:val="21"/>
              </w:rPr>
            </w:pPr>
            <w:r>
              <w:rPr>
                <w:rFonts w:ascii="Times New Roman"/>
                <w:sz w:val="21"/>
              </w:rPr>
              <w:t>3,478,690</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40" w:right="0"/>
              <w:jc w:val="left"/>
              <w:rPr>
                <w:rFonts w:ascii="宋体" w:hAnsi="宋体" w:cs="宋体" w:eastAsia="宋体" w:hint="default"/>
                <w:sz w:val="21"/>
                <w:szCs w:val="21"/>
              </w:rPr>
            </w:pPr>
            <w:r>
              <w:rPr>
                <w:rFonts w:ascii="宋体" w:hAnsi="宋体" w:cs="宋体" w:eastAsia="宋体" w:hint="default"/>
                <w:sz w:val="21"/>
                <w:szCs w:val="21"/>
              </w:rPr>
              <w:t>上期发生额</w:t>
            </w:r>
          </w:p>
          <w:p>
            <w:pPr>
              <w:pStyle w:val="TableParagraph"/>
              <w:spacing w:line="240" w:lineRule="auto" w:before="177"/>
              <w:ind w:left="1014" w:right="0"/>
              <w:jc w:val="left"/>
              <w:rPr>
                <w:rFonts w:ascii="Times New Roman" w:hAnsi="Times New Roman" w:cs="Times New Roman" w:eastAsia="Times New Roman" w:hint="default"/>
                <w:sz w:val="21"/>
                <w:szCs w:val="21"/>
              </w:rPr>
            </w:pPr>
            <w:r>
              <w:rPr>
                <w:rFonts w:ascii="Times New Roman"/>
                <w:sz w:val="21"/>
              </w:rPr>
              <w:t>4,893,455</w:t>
            </w:r>
          </w:p>
        </w:tc>
      </w:tr>
      <w:tr>
        <w:trPr>
          <w:trHeight w:val="390" w:hRule="exact"/>
        </w:trPr>
        <w:tc>
          <w:tcPr>
            <w:tcW w:w="342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1" w:right="0"/>
              <w:jc w:val="left"/>
              <w:rPr>
                <w:rFonts w:ascii="宋体" w:hAnsi="宋体" w:cs="宋体" w:eastAsia="宋体" w:hint="default"/>
                <w:sz w:val="21"/>
                <w:szCs w:val="21"/>
              </w:rPr>
            </w:pPr>
            <w:r>
              <w:rPr>
                <w:rFonts w:ascii="宋体" w:hAnsi="宋体" w:cs="宋体" w:eastAsia="宋体" w:hint="default"/>
                <w:sz w:val="21"/>
                <w:szCs w:val="21"/>
              </w:rPr>
              <w:t>其中：处置固定资产利得</w:t>
            </w:r>
          </w:p>
        </w:tc>
        <w:tc>
          <w:tcPr>
            <w:tcW w:w="288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8"/>
              <w:jc w:val="right"/>
              <w:rPr>
                <w:rFonts w:ascii="Times New Roman" w:hAnsi="Times New Roman" w:cs="Times New Roman" w:eastAsia="Times New Roman" w:hint="default"/>
                <w:sz w:val="21"/>
                <w:szCs w:val="21"/>
              </w:rPr>
            </w:pPr>
            <w:r>
              <w:rPr>
                <w:rFonts w:ascii="Times New Roman"/>
                <w:spacing w:val="-1"/>
                <w:sz w:val="21"/>
              </w:rPr>
              <w:t>478,690</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7"/>
              <w:jc w:val="right"/>
              <w:rPr>
                <w:rFonts w:ascii="Times New Roman" w:hAnsi="Times New Roman" w:cs="Times New Roman" w:eastAsia="Times New Roman" w:hint="default"/>
                <w:sz w:val="21"/>
                <w:szCs w:val="21"/>
              </w:rPr>
            </w:pPr>
            <w:r>
              <w:rPr>
                <w:rFonts w:ascii="Times New Roman"/>
                <w:spacing w:val="-1"/>
                <w:sz w:val="21"/>
              </w:rPr>
              <w:t>4,893,455</w:t>
            </w:r>
          </w:p>
        </w:tc>
      </w:tr>
      <w:tr>
        <w:trPr>
          <w:trHeight w:val="390" w:hRule="exact"/>
        </w:trPr>
        <w:tc>
          <w:tcPr>
            <w:tcW w:w="342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87"/>
              <w:jc w:val="right"/>
              <w:rPr>
                <w:rFonts w:ascii="宋体" w:hAnsi="宋体" w:cs="宋体" w:eastAsia="宋体" w:hint="default"/>
                <w:sz w:val="21"/>
                <w:szCs w:val="21"/>
              </w:rPr>
            </w:pPr>
            <w:r>
              <w:rPr>
                <w:rFonts w:ascii="宋体" w:hAnsi="宋体" w:cs="宋体" w:eastAsia="宋体" w:hint="default"/>
                <w:spacing w:val="-1"/>
                <w:sz w:val="21"/>
                <w:szCs w:val="21"/>
              </w:rPr>
              <w:t>处置无形资产利得</w:t>
            </w:r>
          </w:p>
        </w:tc>
        <w:tc>
          <w:tcPr>
            <w:tcW w:w="288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8"/>
              <w:jc w:val="right"/>
              <w:rPr>
                <w:rFonts w:ascii="Times New Roman" w:hAnsi="Times New Roman" w:cs="Times New Roman" w:eastAsia="Times New Roman" w:hint="default"/>
                <w:sz w:val="21"/>
                <w:szCs w:val="21"/>
              </w:rPr>
            </w:pPr>
            <w:r>
              <w:rPr>
                <w:rFonts w:ascii="Times New Roman"/>
                <w:spacing w:val="-1"/>
                <w:sz w:val="21"/>
              </w:rPr>
              <w:t>3,000,000</w:t>
            </w:r>
          </w:p>
        </w:tc>
        <w:tc>
          <w:tcPr>
            <w:tcW w:w="1965" w:type="dxa"/>
            <w:tcBorders>
              <w:top w:val="nil" w:sz="6" w:space="0" w:color="auto"/>
              <w:left w:val="nil" w:sz="6" w:space="0" w:color="auto"/>
              <w:bottom w:val="nil" w:sz="6" w:space="0" w:color="auto"/>
              <w:right w:val="nil" w:sz="6" w:space="0" w:color="auto"/>
            </w:tcBorders>
          </w:tcPr>
          <w:p>
            <w:pPr/>
          </w:p>
        </w:tc>
      </w:tr>
      <w:tr>
        <w:trPr>
          <w:trHeight w:val="390" w:hRule="exact"/>
        </w:trPr>
        <w:tc>
          <w:tcPr>
            <w:tcW w:w="342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1"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288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8"/>
              <w:jc w:val="right"/>
              <w:rPr>
                <w:rFonts w:ascii="Times New Roman" w:hAnsi="Times New Roman" w:cs="Times New Roman" w:eastAsia="Times New Roman" w:hint="default"/>
                <w:sz w:val="21"/>
                <w:szCs w:val="21"/>
              </w:rPr>
            </w:pPr>
            <w:r>
              <w:rPr>
                <w:rFonts w:ascii="Times New Roman"/>
                <w:spacing w:val="-1"/>
                <w:sz w:val="21"/>
              </w:rPr>
              <w:t>38,968,688</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7"/>
              <w:jc w:val="right"/>
              <w:rPr>
                <w:rFonts w:ascii="Times New Roman" w:hAnsi="Times New Roman" w:cs="Times New Roman" w:eastAsia="Times New Roman" w:hint="default"/>
                <w:sz w:val="21"/>
                <w:szCs w:val="21"/>
              </w:rPr>
            </w:pPr>
            <w:r>
              <w:rPr>
                <w:rFonts w:ascii="Times New Roman"/>
                <w:spacing w:val="-1"/>
                <w:sz w:val="21"/>
              </w:rPr>
              <w:t>32,891,622</w:t>
            </w:r>
          </w:p>
        </w:tc>
      </w:tr>
      <w:tr>
        <w:trPr>
          <w:trHeight w:val="390" w:hRule="exact"/>
        </w:trPr>
        <w:tc>
          <w:tcPr>
            <w:tcW w:w="342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1" w:right="0"/>
              <w:jc w:val="left"/>
              <w:rPr>
                <w:rFonts w:ascii="宋体" w:hAnsi="宋体" w:cs="宋体" w:eastAsia="宋体" w:hint="default"/>
                <w:sz w:val="21"/>
                <w:szCs w:val="21"/>
              </w:rPr>
            </w:pPr>
            <w:r>
              <w:rPr>
                <w:rFonts w:ascii="宋体" w:hAnsi="宋体" w:cs="宋体" w:eastAsia="宋体" w:hint="default"/>
                <w:sz w:val="21"/>
                <w:szCs w:val="21"/>
              </w:rPr>
              <w:t>增值税返还</w:t>
            </w:r>
          </w:p>
        </w:tc>
        <w:tc>
          <w:tcPr>
            <w:tcW w:w="288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8"/>
              <w:jc w:val="right"/>
              <w:rPr>
                <w:rFonts w:ascii="Times New Roman" w:hAnsi="Times New Roman" w:cs="Times New Roman" w:eastAsia="Times New Roman" w:hint="default"/>
                <w:sz w:val="21"/>
                <w:szCs w:val="21"/>
              </w:rPr>
            </w:pPr>
            <w:r>
              <w:rPr>
                <w:rFonts w:ascii="Times New Roman"/>
                <w:spacing w:val="-1"/>
                <w:sz w:val="21"/>
              </w:rPr>
              <w:t>22,505,988</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7"/>
              <w:jc w:val="right"/>
              <w:rPr>
                <w:rFonts w:ascii="Times New Roman" w:hAnsi="Times New Roman" w:cs="Times New Roman" w:eastAsia="Times New Roman" w:hint="default"/>
                <w:sz w:val="21"/>
                <w:szCs w:val="21"/>
              </w:rPr>
            </w:pPr>
            <w:r>
              <w:rPr>
                <w:rFonts w:ascii="Times New Roman"/>
                <w:spacing w:val="-1"/>
                <w:sz w:val="21"/>
              </w:rPr>
              <w:t>29,105,697</w:t>
            </w:r>
          </w:p>
        </w:tc>
      </w:tr>
      <w:tr>
        <w:trPr>
          <w:trHeight w:val="390" w:hRule="exact"/>
        </w:trPr>
        <w:tc>
          <w:tcPr>
            <w:tcW w:w="342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88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8"/>
              <w:jc w:val="right"/>
              <w:rPr>
                <w:rFonts w:ascii="Times New Roman" w:hAnsi="Times New Roman" w:cs="Times New Roman" w:eastAsia="Times New Roman" w:hint="default"/>
                <w:sz w:val="21"/>
                <w:szCs w:val="21"/>
              </w:rPr>
            </w:pPr>
            <w:r>
              <w:rPr>
                <w:rFonts w:ascii="Times New Roman"/>
                <w:spacing w:val="-1"/>
                <w:sz w:val="21"/>
              </w:rPr>
              <w:t>2,388,931</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8"/>
              <w:jc w:val="right"/>
              <w:rPr>
                <w:rFonts w:ascii="Times New Roman" w:hAnsi="Times New Roman" w:cs="Times New Roman" w:eastAsia="Times New Roman" w:hint="default"/>
                <w:sz w:val="21"/>
                <w:szCs w:val="21"/>
              </w:rPr>
            </w:pPr>
            <w:r>
              <w:rPr>
                <w:rFonts w:ascii="Times New Roman"/>
                <w:spacing w:val="-1"/>
                <w:sz w:val="21"/>
              </w:rPr>
              <w:t>1,721,737</w:t>
            </w:r>
          </w:p>
        </w:tc>
      </w:tr>
      <w:tr>
        <w:trPr>
          <w:trHeight w:val="331" w:hRule="exact"/>
        </w:trPr>
        <w:tc>
          <w:tcPr>
            <w:tcW w:w="3421" w:type="dxa"/>
            <w:tcBorders>
              <w:top w:val="nil" w:sz="6" w:space="0" w:color="auto"/>
              <w:left w:val="nil" w:sz="6" w:space="0" w:color="auto"/>
              <w:bottom w:val="single" w:sz="8" w:space="0" w:color="000000"/>
              <w:right w:val="nil" w:sz="6" w:space="0" w:color="auto"/>
            </w:tcBorders>
          </w:tcPr>
          <w:p>
            <w:pPr>
              <w:pStyle w:val="TableParagraph"/>
              <w:spacing w:line="240" w:lineRule="auto" w:before="12"/>
              <w:ind w:right="1091"/>
              <w:jc w:val="right"/>
              <w:rPr>
                <w:rFonts w:ascii="宋体" w:hAnsi="宋体" w:cs="宋体" w:eastAsia="宋体" w:hint="default"/>
                <w:sz w:val="21"/>
                <w:szCs w:val="21"/>
              </w:rPr>
            </w:pPr>
            <w:r>
              <w:rPr>
                <w:rFonts w:ascii="宋体" w:hAnsi="宋体" w:cs="宋体" w:eastAsia="宋体" w:hint="default"/>
                <w:sz w:val="21"/>
                <w:szCs w:val="21"/>
              </w:rPr>
              <w:t>合    计</w:t>
            </w:r>
          </w:p>
        </w:tc>
        <w:tc>
          <w:tcPr>
            <w:tcW w:w="2881"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338"/>
              <w:jc w:val="right"/>
              <w:rPr>
                <w:rFonts w:ascii="Times New Roman" w:hAnsi="Times New Roman" w:cs="Times New Roman" w:eastAsia="Times New Roman" w:hint="default"/>
                <w:sz w:val="21"/>
                <w:szCs w:val="21"/>
              </w:rPr>
            </w:pPr>
            <w:r>
              <w:rPr>
                <w:rFonts w:ascii="Times New Roman"/>
                <w:spacing w:val="-1"/>
                <w:sz w:val="21"/>
              </w:rPr>
              <w:t>67,342,297</w:t>
            </w:r>
          </w:p>
        </w:tc>
        <w:tc>
          <w:tcPr>
            <w:tcW w:w="1965"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107"/>
              <w:jc w:val="right"/>
              <w:rPr>
                <w:rFonts w:ascii="Times New Roman" w:hAnsi="Times New Roman" w:cs="Times New Roman" w:eastAsia="Times New Roman" w:hint="default"/>
                <w:sz w:val="21"/>
                <w:szCs w:val="21"/>
              </w:rPr>
            </w:pPr>
            <w:r>
              <w:rPr>
                <w:rFonts w:ascii="Times New Roman"/>
                <w:spacing w:val="-2"/>
                <w:sz w:val="21"/>
              </w:rPr>
              <w:t>68,612,511</w:t>
            </w:r>
          </w:p>
        </w:tc>
      </w:tr>
    </w:tbl>
    <w:p>
      <w:pPr>
        <w:spacing w:line="240" w:lineRule="auto" w:before="0"/>
        <w:rPr>
          <w:rFonts w:ascii="宋体" w:hAnsi="宋体" w:cs="宋体" w:eastAsia="宋体" w:hint="default"/>
          <w:sz w:val="20"/>
          <w:szCs w:val="20"/>
        </w:rPr>
      </w:pPr>
    </w:p>
    <w:p>
      <w:pPr>
        <w:tabs>
          <w:tab w:pos="1413" w:val="left" w:leader="none"/>
        </w:tabs>
        <w:spacing w:before="180"/>
        <w:ind w:left="875" w:right="0" w:firstLine="0"/>
        <w:jc w:val="left"/>
        <w:rPr>
          <w:rFonts w:ascii="宋体" w:hAnsi="宋体" w:cs="宋体" w:eastAsia="宋体" w:hint="default"/>
          <w:sz w:val="21"/>
          <w:szCs w:val="21"/>
        </w:rPr>
      </w:pPr>
      <w:r>
        <w:rPr/>
        <w:pict>
          <v:group style="position:absolute;margin-left:123.780006pt;margin-top:24.384291pt;width:410.7pt;height:137.050pt;mso-position-horizontal-relative:page;mso-position-vertical-relative:paragraph;z-index:-979240" coordorigin="2476,488" coordsize="8214,2741">
            <v:group style="position:absolute;left:2485;top:497;width:3704;height:2" coordorigin="2485,497" coordsize="3704,2">
              <v:shape style="position:absolute;left:2485;top:497;width:3704;height:2" coordorigin="2485,497" coordsize="3704,0" path="m2485,497l6188,497e" filled="false" stroked="true" strokeweight=".95999pt" strokecolor="#000000">
                <v:path arrowok="t"/>
              </v:shape>
            </v:group>
            <v:group style="position:absolute;left:6188;top:497;width:2267;height:2" coordorigin="6188,497" coordsize="2267,2">
              <v:shape style="position:absolute;left:6188;top:497;width:2267;height:2" coordorigin="6188,497" coordsize="2267,0" path="m6188,497l8455,497e" filled="false" stroked="true" strokeweight=".95999pt" strokecolor="#000000">
                <v:path arrowok="t"/>
              </v:shape>
            </v:group>
            <v:group style="position:absolute;left:8455;top:497;width:2225;height:2" coordorigin="8455,497" coordsize="2225,2">
              <v:shape style="position:absolute;left:8455;top:497;width:2225;height:2" coordorigin="8455,497" coordsize="2225,0" path="m8455,497l10680,497e" filled="false" stroked="true" strokeweight=".95999pt" strokecolor="#000000">
                <v:path arrowok="t"/>
              </v:shape>
              <v:shape style="position:absolute;left:2485;top:507;width:8202;height:2722" type="#_x0000_t75" stroked="false">
                <v:imagedata r:id="rId127" o:title=""/>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政府补助明细</w:t>
      </w:r>
    </w:p>
    <w:p>
      <w:pPr>
        <w:spacing w:line="240" w:lineRule="auto" w:before="9"/>
        <w:rPr>
          <w:rFonts w:ascii="宋体" w:hAnsi="宋体" w:cs="宋体" w:eastAsia="宋体" w:hint="default"/>
          <w:sz w:val="5"/>
          <w:szCs w:val="5"/>
        </w:rPr>
      </w:pPr>
    </w:p>
    <w:tbl>
      <w:tblPr>
        <w:tblW w:w="0" w:type="auto"/>
        <w:jc w:val="left"/>
        <w:tblInd w:w="830" w:type="dxa"/>
        <w:tblLayout w:type="fixed"/>
        <w:tblCellMar>
          <w:top w:w="0" w:type="dxa"/>
          <w:left w:w="0" w:type="dxa"/>
          <w:bottom w:w="0" w:type="dxa"/>
          <w:right w:w="0" w:type="dxa"/>
        </w:tblCellMar>
        <w:tblLook w:val="01E0"/>
      </w:tblPr>
      <w:tblGrid>
        <w:gridCol w:w="3604"/>
        <w:gridCol w:w="2664"/>
        <w:gridCol w:w="1948"/>
      </w:tblGrid>
      <w:tr>
        <w:trPr>
          <w:trHeight w:val="802" w:hRule="exact"/>
        </w:trPr>
        <w:tc>
          <w:tcPr>
            <w:tcW w:w="360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7" w:right="0"/>
              <w:jc w:val="center"/>
              <w:rPr>
                <w:rFonts w:ascii="宋体" w:hAnsi="宋体" w:cs="宋体" w:eastAsia="宋体" w:hint="default"/>
                <w:sz w:val="21"/>
                <w:szCs w:val="21"/>
              </w:rPr>
            </w:pPr>
            <w:r>
              <w:rPr>
                <w:rFonts w:ascii="宋体" w:hAnsi="宋体" w:cs="宋体" w:eastAsia="宋体" w:hint="default"/>
                <w:sz w:val="21"/>
                <w:szCs w:val="21"/>
              </w:rPr>
              <w:t>项    目</w:t>
            </w:r>
          </w:p>
          <w:p>
            <w:pPr>
              <w:pStyle w:val="TableParagraph"/>
              <w:spacing w:line="240" w:lineRule="auto" w:before="114"/>
              <w:ind w:left="43"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）计入当期损益的科研拨款</w:t>
            </w:r>
          </w:p>
        </w:tc>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26" w:right="0"/>
              <w:jc w:val="left"/>
              <w:rPr>
                <w:rFonts w:ascii="宋体" w:hAnsi="宋体" w:cs="宋体" w:eastAsia="宋体" w:hint="default"/>
                <w:sz w:val="21"/>
                <w:szCs w:val="21"/>
              </w:rPr>
            </w:pPr>
            <w:r>
              <w:rPr>
                <w:rFonts w:ascii="宋体" w:hAnsi="宋体" w:cs="宋体" w:eastAsia="宋体" w:hint="default"/>
                <w:sz w:val="21"/>
                <w:szCs w:val="21"/>
              </w:rPr>
              <w:t>本期发生额</w:t>
            </w:r>
          </w:p>
          <w:p>
            <w:pPr>
              <w:pStyle w:val="TableParagraph"/>
              <w:spacing w:line="240" w:lineRule="auto" w:before="177"/>
              <w:ind w:left="1409" w:right="0"/>
              <w:jc w:val="left"/>
              <w:rPr>
                <w:rFonts w:ascii="Times New Roman" w:hAnsi="Times New Roman" w:cs="Times New Roman" w:eastAsia="Times New Roman" w:hint="default"/>
                <w:sz w:val="21"/>
                <w:szCs w:val="21"/>
              </w:rPr>
            </w:pPr>
            <w:r>
              <w:rPr>
                <w:rFonts w:ascii="Times New Roman"/>
                <w:sz w:val="21"/>
              </w:rPr>
              <w:t>20,510,837</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08" w:right="0"/>
              <w:jc w:val="left"/>
              <w:rPr>
                <w:rFonts w:ascii="宋体" w:hAnsi="宋体" w:cs="宋体" w:eastAsia="宋体" w:hint="default"/>
                <w:sz w:val="21"/>
                <w:szCs w:val="21"/>
              </w:rPr>
            </w:pPr>
            <w:r>
              <w:rPr>
                <w:rFonts w:ascii="宋体" w:hAnsi="宋体" w:cs="宋体" w:eastAsia="宋体" w:hint="default"/>
                <w:sz w:val="21"/>
                <w:szCs w:val="21"/>
              </w:rPr>
              <w:t>上期发生额</w:t>
            </w:r>
          </w:p>
          <w:p>
            <w:pPr>
              <w:pStyle w:val="TableParagraph"/>
              <w:spacing w:line="240" w:lineRule="auto" w:before="177"/>
              <w:ind w:left="972" w:right="0"/>
              <w:jc w:val="left"/>
              <w:rPr>
                <w:rFonts w:ascii="Times New Roman" w:hAnsi="Times New Roman" w:cs="Times New Roman" w:eastAsia="Times New Roman" w:hint="default"/>
                <w:sz w:val="21"/>
                <w:szCs w:val="21"/>
              </w:rPr>
            </w:pPr>
            <w:r>
              <w:rPr>
                <w:rFonts w:ascii="Times New Roman"/>
                <w:sz w:val="21"/>
              </w:rPr>
              <w:t>21,846,562</w:t>
            </w:r>
          </w:p>
        </w:tc>
      </w:tr>
      <w:tr>
        <w:trPr>
          <w:trHeight w:val="390" w:hRule="exact"/>
        </w:trPr>
        <w:tc>
          <w:tcPr>
            <w:tcW w:w="360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3"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）财政贴息</w:t>
            </w:r>
          </w:p>
        </w:tc>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7"/>
              <w:jc w:val="right"/>
              <w:rPr>
                <w:rFonts w:ascii="Times New Roman" w:hAnsi="Times New Roman" w:cs="Times New Roman" w:eastAsia="Times New Roman" w:hint="default"/>
                <w:sz w:val="21"/>
                <w:szCs w:val="21"/>
              </w:rPr>
            </w:pPr>
            <w:r>
              <w:rPr>
                <w:rFonts w:ascii="Times New Roman"/>
                <w:spacing w:val="-1"/>
                <w:sz w:val="21"/>
              </w:rPr>
              <w:t>5,356,700</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9"/>
              <w:jc w:val="right"/>
              <w:rPr>
                <w:rFonts w:ascii="Times New Roman" w:hAnsi="Times New Roman" w:cs="Times New Roman" w:eastAsia="Times New Roman" w:hint="default"/>
                <w:sz w:val="21"/>
                <w:szCs w:val="21"/>
              </w:rPr>
            </w:pPr>
            <w:r>
              <w:rPr>
                <w:rFonts w:ascii="Times New Roman"/>
                <w:spacing w:val="-1"/>
                <w:sz w:val="21"/>
              </w:rPr>
              <w:t>1,300,000</w:t>
            </w:r>
          </w:p>
        </w:tc>
      </w:tr>
      <w:tr>
        <w:trPr>
          <w:trHeight w:val="390" w:hRule="exact"/>
        </w:trPr>
        <w:tc>
          <w:tcPr>
            <w:tcW w:w="360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3"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）产业扶植基金</w:t>
            </w:r>
          </w:p>
        </w:tc>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7"/>
              <w:jc w:val="right"/>
              <w:rPr>
                <w:rFonts w:ascii="Times New Roman" w:hAnsi="Times New Roman" w:cs="Times New Roman" w:eastAsia="Times New Roman" w:hint="default"/>
                <w:sz w:val="21"/>
                <w:szCs w:val="21"/>
              </w:rPr>
            </w:pPr>
            <w:r>
              <w:rPr>
                <w:rFonts w:ascii="Times New Roman"/>
                <w:spacing w:val="-1"/>
                <w:sz w:val="21"/>
              </w:rPr>
              <w:t>6,093,038</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9"/>
              <w:jc w:val="right"/>
              <w:rPr>
                <w:rFonts w:ascii="Times New Roman" w:hAnsi="Times New Roman" w:cs="Times New Roman" w:eastAsia="Times New Roman" w:hint="default"/>
                <w:sz w:val="21"/>
                <w:szCs w:val="21"/>
              </w:rPr>
            </w:pPr>
            <w:r>
              <w:rPr>
                <w:rFonts w:ascii="Times New Roman"/>
                <w:spacing w:val="-1"/>
                <w:sz w:val="21"/>
              </w:rPr>
              <w:t>5,855,337</w:t>
            </w:r>
          </w:p>
        </w:tc>
      </w:tr>
      <w:tr>
        <w:trPr>
          <w:trHeight w:val="390" w:hRule="exact"/>
        </w:trPr>
        <w:tc>
          <w:tcPr>
            <w:tcW w:w="360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3"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）服务外包业务发展基金</w:t>
            </w:r>
          </w:p>
        </w:tc>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7"/>
              <w:jc w:val="right"/>
              <w:rPr>
                <w:rFonts w:ascii="Times New Roman" w:hAnsi="Times New Roman" w:cs="Times New Roman" w:eastAsia="Times New Roman" w:hint="default"/>
                <w:sz w:val="21"/>
                <w:szCs w:val="21"/>
              </w:rPr>
            </w:pPr>
            <w:r>
              <w:rPr>
                <w:rFonts w:ascii="Times New Roman"/>
                <w:spacing w:val="-1"/>
                <w:sz w:val="21"/>
              </w:rPr>
              <w:t>5,360,700</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9"/>
              <w:jc w:val="right"/>
              <w:rPr>
                <w:rFonts w:ascii="Times New Roman" w:hAnsi="Times New Roman" w:cs="Times New Roman" w:eastAsia="Times New Roman" w:hint="default"/>
                <w:sz w:val="21"/>
                <w:szCs w:val="21"/>
              </w:rPr>
            </w:pPr>
            <w:r>
              <w:rPr>
                <w:rFonts w:ascii="Times New Roman"/>
                <w:spacing w:val="-1"/>
                <w:sz w:val="21"/>
              </w:rPr>
              <w:t>3,492,000</w:t>
            </w:r>
          </w:p>
        </w:tc>
      </w:tr>
      <w:tr>
        <w:trPr>
          <w:trHeight w:val="390" w:hRule="exact"/>
        </w:trPr>
        <w:tc>
          <w:tcPr>
            <w:tcW w:w="360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3"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）其他政府补助</w:t>
            </w:r>
          </w:p>
        </w:tc>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6"/>
              <w:jc w:val="right"/>
              <w:rPr>
                <w:rFonts w:ascii="Times New Roman" w:hAnsi="Times New Roman" w:cs="Times New Roman" w:eastAsia="Times New Roman" w:hint="default"/>
                <w:sz w:val="21"/>
                <w:szCs w:val="21"/>
              </w:rPr>
            </w:pPr>
            <w:r>
              <w:rPr>
                <w:rFonts w:ascii="Times New Roman"/>
                <w:spacing w:val="-1"/>
                <w:sz w:val="21"/>
              </w:rPr>
              <w:t>1,647,413</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8"/>
              <w:jc w:val="right"/>
              <w:rPr>
                <w:rFonts w:ascii="Times New Roman" w:hAnsi="Times New Roman" w:cs="Times New Roman" w:eastAsia="Times New Roman" w:hint="default"/>
                <w:sz w:val="21"/>
                <w:szCs w:val="21"/>
              </w:rPr>
            </w:pPr>
            <w:r>
              <w:rPr>
                <w:rFonts w:ascii="Times New Roman"/>
                <w:spacing w:val="-1"/>
                <w:sz w:val="21"/>
              </w:rPr>
              <w:t>397,723</w:t>
            </w:r>
          </w:p>
        </w:tc>
      </w:tr>
      <w:tr>
        <w:trPr>
          <w:trHeight w:val="331" w:hRule="exact"/>
        </w:trPr>
        <w:tc>
          <w:tcPr>
            <w:tcW w:w="3604" w:type="dxa"/>
            <w:tcBorders>
              <w:top w:val="nil" w:sz="6" w:space="0" w:color="auto"/>
              <w:left w:val="nil" w:sz="6" w:space="0" w:color="auto"/>
              <w:bottom w:val="single" w:sz="8" w:space="0" w:color="000000"/>
              <w:right w:val="nil" w:sz="6" w:space="0" w:color="auto"/>
            </w:tcBorders>
          </w:tcPr>
          <w:p>
            <w:pPr>
              <w:pStyle w:val="TableParagraph"/>
              <w:spacing w:line="240" w:lineRule="auto" w:before="12"/>
              <w:ind w:left="127" w:right="0"/>
              <w:jc w:val="center"/>
              <w:rPr>
                <w:rFonts w:ascii="宋体" w:hAnsi="宋体" w:cs="宋体" w:eastAsia="宋体" w:hint="default"/>
                <w:sz w:val="21"/>
                <w:szCs w:val="21"/>
              </w:rPr>
            </w:pPr>
            <w:r>
              <w:rPr>
                <w:rFonts w:ascii="宋体" w:hAnsi="宋体" w:cs="宋体" w:eastAsia="宋体" w:hint="default"/>
                <w:sz w:val="21"/>
                <w:szCs w:val="21"/>
              </w:rPr>
              <w:t>合    计</w:t>
            </w:r>
          </w:p>
        </w:tc>
        <w:tc>
          <w:tcPr>
            <w:tcW w:w="2664"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307"/>
              <w:jc w:val="right"/>
              <w:rPr>
                <w:rFonts w:ascii="Times New Roman" w:hAnsi="Times New Roman" w:cs="Times New Roman" w:eastAsia="Times New Roman" w:hint="default"/>
                <w:sz w:val="21"/>
                <w:szCs w:val="21"/>
              </w:rPr>
            </w:pPr>
            <w:r>
              <w:rPr>
                <w:rFonts w:ascii="Times New Roman"/>
                <w:spacing w:val="-1"/>
                <w:sz w:val="21"/>
              </w:rPr>
              <w:t>38,968,688</w:t>
            </w:r>
          </w:p>
        </w:tc>
        <w:tc>
          <w:tcPr>
            <w:tcW w:w="1948"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28"/>
              <w:jc w:val="right"/>
              <w:rPr>
                <w:rFonts w:ascii="Times New Roman" w:hAnsi="Times New Roman" w:cs="Times New Roman" w:eastAsia="Times New Roman" w:hint="default"/>
                <w:sz w:val="21"/>
                <w:szCs w:val="21"/>
              </w:rPr>
            </w:pPr>
            <w:r>
              <w:rPr>
                <w:rFonts w:ascii="Times New Roman"/>
                <w:spacing w:val="-1"/>
                <w:sz w:val="21"/>
              </w:rPr>
              <w:t>32,891,622</w:t>
            </w:r>
          </w:p>
        </w:tc>
      </w:tr>
    </w:tbl>
    <w:p>
      <w:pPr>
        <w:spacing w:line="240" w:lineRule="auto" w:before="0"/>
        <w:rPr>
          <w:rFonts w:ascii="宋体" w:hAnsi="宋体" w:cs="宋体" w:eastAsia="宋体" w:hint="default"/>
          <w:sz w:val="20"/>
          <w:szCs w:val="20"/>
        </w:rPr>
      </w:pPr>
    </w:p>
    <w:p>
      <w:pPr>
        <w:spacing w:before="181"/>
        <w:ind w:left="143" w:right="0" w:firstLine="0"/>
        <w:jc w:val="left"/>
        <w:rPr>
          <w:rFonts w:ascii="宋体" w:hAnsi="宋体" w:cs="宋体" w:eastAsia="宋体" w:hint="default"/>
          <w:sz w:val="21"/>
          <w:szCs w:val="21"/>
        </w:rPr>
      </w:pPr>
      <w:r>
        <w:rPr/>
        <w:pict>
          <v:group style="position:absolute;margin-left:119.879997pt;margin-top:24.374414pt;width:413.85pt;height:98.05pt;mso-position-horizontal-relative:page;mso-position-vertical-relative:paragraph;z-index:-979216" coordorigin="2398,487" coordsize="8277,1961">
            <v:group style="position:absolute;left:2407;top:497;width:3780;height:2" coordorigin="2407,497" coordsize="3780,2">
              <v:shape style="position:absolute;left:2407;top:497;width:3780;height:2" coordorigin="2407,497" coordsize="3780,0" path="m2407,497l6187,497e" filled="false" stroked="true" strokeweight=".96001pt" strokecolor="#000000">
                <v:path arrowok="t"/>
              </v:shape>
            </v:group>
            <v:group style="position:absolute;left:6187;top:497;width:2270;height:2" coordorigin="6187,497" coordsize="2270,2">
              <v:shape style="position:absolute;left:6187;top:497;width:2270;height:2" coordorigin="6187,497" coordsize="2270,0" path="m6187,497l8456,497e" filled="false" stroked="true" strokeweight=".96001pt" strokecolor="#000000">
                <v:path arrowok="t"/>
              </v:shape>
            </v:group>
            <v:group style="position:absolute;left:8456;top:497;width:2208;height:2" coordorigin="8456,497" coordsize="2208,2">
              <v:shape style="position:absolute;left:8456;top:497;width:2208;height:2" coordorigin="8456,497" coordsize="2208,0" path="m8456,497l10664,497e" filled="false" stroked="true" strokeweight=".96001pt" strokecolor="#000000">
                <v:path arrowok="t"/>
              </v:shape>
              <v:shape style="position:absolute;left:2407;top:507;width:8262;height:1942" type="#_x0000_t75" stroked="false">
                <v:imagedata r:id="rId128" o:titl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四十四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3"/>
          <w:sz w:val="21"/>
          <w:szCs w:val="21"/>
        </w:rPr>
        <w:t> </w:t>
      </w:r>
      <w:r>
        <w:rPr>
          <w:rFonts w:ascii="宋体" w:hAnsi="宋体" w:cs="宋体" w:eastAsia="宋体" w:hint="default"/>
          <w:sz w:val="21"/>
          <w:szCs w:val="21"/>
        </w:rPr>
        <w:t>营业外支出</w:t>
      </w:r>
    </w:p>
    <w:p>
      <w:pPr>
        <w:spacing w:line="240" w:lineRule="auto" w:before="8"/>
        <w:rPr>
          <w:rFonts w:ascii="宋体" w:hAnsi="宋体" w:cs="宋体" w:eastAsia="宋体" w:hint="default"/>
          <w:sz w:val="5"/>
          <w:szCs w:val="5"/>
        </w:rPr>
      </w:pPr>
    </w:p>
    <w:tbl>
      <w:tblPr>
        <w:tblW w:w="0" w:type="auto"/>
        <w:jc w:val="left"/>
        <w:tblInd w:w="752" w:type="dxa"/>
        <w:tblLayout w:type="fixed"/>
        <w:tblCellMar>
          <w:top w:w="0" w:type="dxa"/>
          <w:left w:w="0" w:type="dxa"/>
          <w:bottom w:w="0" w:type="dxa"/>
          <w:right w:w="0" w:type="dxa"/>
        </w:tblCellMar>
        <w:tblLook w:val="01E0"/>
      </w:tblPr>
      <w:tblGrid>
        <w:gridCol w:w="2063"/>
        <w:gridCol w:w="1304"/>
        <w:gridCol w:w="2938"/>
        <w:gridCol w:w="1974"/>
      </w:tblGrid>
      <w:tr>
        <w:trPr>
          <w:trHeight w:val="803" w:hRule="exact"/>
        </w:trPr>
        <w:tc>
          <w:tcPr>
            <w:tcW w:w="2063" w:type="dxa"/>
            <w:tcBorders>
              <w:top w:val="nil" w:sz="6" w:space="0" w:color="auto"/>
              <w:left w:val="nil" w:sz="6" w:space="0" w:color="auto"/>
              <w:bottom w:val="nil" w:sz="6" w:space="0" w:color="auto"/>
              <w:right w:val="nil" w:sz="6" w:space="0" w:color="auto"/>
            </w:tcBorders>
          </w:tcPr>
          <w:p>
            <w:pPr>
              <w:pStyle w:val="TableParagraph"/>
              <w:spacing w:line="340" w:lineRule="auto" w:before="35"/>
              <w:ind w:left="121" w:right="49" w:firstLine="1363"/>
              <w:jc w:val="left"/>
              <w:rPr>
                <w:rFonts w:ascii="宋体" w:hAnsi="宋体" w:cs="宋体" w:eastAsia="宋体" w:hint="default"/>
                <w:sz w:val="21"/>
                <w:szCs w:val="21"/>
              </w:rPr>
            </w:pPr>
            <w:r>
              <w:rPr>
                <w:rFonts w:ascii="宋体" w:hAnsi="宋体" w:cs="宋体" w:eastAsia="宋体" w:hint="default"/>
                <w:sz w:val="21"/>
                <w:szCs w:val="21"/>
              </w:rPr>
              <w:t>项   非流动资产处置损失</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1" w:right="0"/>
              <w:jc w:val="left"/>
              <w:rPr>
                <w:rFonts w:ascii="宋体" w:hAnsi="宋体" w:cs="宋体" w:eastAsia="宋体" w:hint="default"/>
                <w:sz w:val="21"/>
                <w:szCs w:val="21"/>
              </w:rPr>
            </w:pPr>
            <w:r>
              <w:rPr>
                <w:rFonts w:ascii="宋体" w:hAnsi="宋体" w:cs="宋体" w:eastAsia="宋体" w:hint="default"/>
                <w:sz w:val="21"/>
                <w:szCs w:val="21"/>
              </w:rPr>
              <w:t>目</w:t>
            </w:r>
          </w:p>
        </w:tc>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42" w:right="0"/>
              <w:jc w:val="left"/>
              <w:rPr>
                <w:rFonts w:ascii="宋体" w:hAnsi="宋体" w:cs="宋体" w:eastAsia="宋体" w:hint="default"/>
                <w:sz w:val="21"/>
                <w:szCs w:val="21"/>
              </w:rPr>
            </w:pPr>
            <w:r>
              <w:rPr>
                <w:rFonts w:ascii="宋体" w:hAnsi="宋体" w:cs="宋体" w:eastAsia="宋体" w:hint="default"/>
                <w:sz w:val="21"/>
                <w:szCs w:val="21"/>
              </w:rPr>
              <w:t>本期发生额</w:t>
            </w:r>
          </w:p>
          <w:p>
            <w:pPr>
              <w:pStyle w:val="TableParagraph"/>
              <w:spacing w:line="240" w:lineRule="auto" w:before="179"/>
              <w:ind w:left="1648" w:right="0"/>
              <w:jc w:val="left"/>
              <w:rPr>
                <w:rFonts w:ascii="Times New Roman" w:hAnsi="Times New Roman" w:cs="Times New Roman" w:eastAsia="Times New Roman" w:hint="default"/>
                <w:sz w:val="21"/>
                <w:szCs w:val="21"/>
              </w:rPr>
            </w:pPr>
            <w:r>
              <w:rPr>
                <w:rFonts w:ascii="Times New Roman"/>
                <w:sz w:val="21"/>
              </w:rPr>
              <w:t>11,179,727</w:t>
            </w:r>
          </w:p>
        </w:tc>
        <w:tc>
          <w:tcPr>
            <w:tcW w:w="197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44" w:right="0"/>
              <w:jc w:val="left"/>
              <w:rPr>
                <w:rFonts w:ascii="宋体" w:hAnsi="宋体" w:cs="宋体" w:eastAsia="宋体" w:hint="default"/>
                <w:sz w:val="21"/>
                <w:szCs w:val="21"/>
              </w:rPr>
            </w:pPr>
            <w:r>
              <w:rPr>
                <w:rFonts w:ascii="宋体" w:hAnsi="宋体" w:cs="宋体" w:eastAsia="宋体" w:hint="default"/>
                <w:sz w:val="21"/>
                <w:szCs w:val="21"/>
              </w:rPr>
              <w:t>上期发生额</w:t>
            </w:r>
          </w:p>
          <w:p>
            <w:pPr>
              <w:pStyle w:val="TableParagraph"/>
              <w:spacing w:line="240" w:lineRule="auto" w:before="179"/>
              <w:ind w:left="1025" w:right="0"/>
              <w:jc w:val="left"/>
              <w:rPr>
                <w:rFonts w:ascii="Times New Roman" w:hAnsi="Times New Roman" w:cs="Times New Roman" w:eastAsia="Times New Roman" w:hint="default"/>
                <w:sz w:val="21"/>
                <w:szCs w:val="21"/>
              </w:rPr>
            </w:pPr>
            <w:r>
              <w:rPr>
                <w:rFonts w:ascii="Times New Roman"/>
                <w:sz w:val="21"/>
              </w:rPr>
              <w:t>1,048,715</w:t>
            </w:r>
          </w:p>
        </w:tc>
      </w:tr>
      <w:tr>
        <w:trPr>
          <w:trHeight w:val="390" w:hRule="exact"/>
        </w:trPr>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1" w:right="0"/>
              <w:jc w:val="left"/>
              <w:rPr>
                <w:rFonts w:ascii="宋体" w:hAnsi="宋体" w:cs="宋体" w:eastAsia="宋体" w:hint="default"/>
                <w:sz w:val="21"/>
                <w:szCs w:val="21"/>
              </w:rPr>
            </w:pPr>
            <w:r>
              <w:rPr>
                <w:rFonts w:ascii="宋体" w:hAnsi="宋体" w:cs="宋体" w:eastAsia="宋体" w:hint="default"/>
                <w:sz w:val="21"/>
                <w:szCs w:val="21"/>
              </w:rPr>
              <w:t>预提资产修复支出</w:t>
            </w:r>
          </w:p>
        </w:tc>
        <w:tc>
          <w:tcPr>
            <w:tcW w:w="1304" w:type="dxa"/>
            <w:tcBorders>
              <w:top w:val="nil" w:sz="6" w:space="0" w:color="auto"/>
              <w:left w:val="nil" w:sz="6" w:space="0" w:color="auto"/>
              <w:bottom w:val="nil" w:sz="6" w:space="0" w:color="auto"/>
              <w:right w:val="nil" w:sz="6" w:space="0" w:color="auto"/>
            </w:tcBorders>
          </w:tcPr>
          <w:p>
            <w:pPr/>
          </w:p>
        </w:tc>
        <w:tc>
          <w:tcPr>
            <w:tcW w:w="2938" w:type="dxa"/>
            <w:tcBorders>
              <w:top w:val="nil" w:sz="6" w:space="0" w:color="auto"/>
              <w:left w:val="nil" w:sz="6" w:space="0" w:color="auto"/>
              <w:bottom w:val="nil" w:sz="6" w:space="0" w:color="auto"/>
              <w:right w:val="nil" w:sz="6" w:space="0" w:color="auto"/>
            </w:tcBorders>
          </w:tcPr>
          <w:p>
            <w:pPr/>
          </w:p>
        </w:tc>
        <w:tc>
          <w:tcPr>
            <w:tcW w:w="197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21"/>
                <w:szCs w:val="21"/>
              </w:rPr>
            </w:pPr>
            <w:r>
              <w:rPr>
                <w:rFonts w:ascii="Times New Roman"/>
                <w:spacing w:val="-1"/>
                <w:sz w:val="21"/>
              </w:rPr>
              <w:t>29,222,654</w:t>
            </w:r>
          </w:p>
        </w:tc>
      </w:tr>
      <w:tr>
        <w:trPr>
          <w:trHeight w:val="390" w:hRule="exact"/>
        </w:trPr>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1" w:right="0"/>
              <w:jc w:val="left"/>
              <w:rPr>
                <w:rFonts w:ascii="宋体" w:hAnsi="宋体" w:cs="宋体" w:eastAsia="宋体" w:hint="default"/>
                <w:sz w:val="21"/>
                <w:szCs w:val="21"/>
              </w:rPr>
            </w:pPr>
            <w:r>
              <w:rPr>
                <w:rFonts w:ascii="宋体" w:hAnsi="宋体" w:cs="宋体" w:eastAsia="宋体" w:hint="default"/>
                <w:sz w:val="21"/>
                <w:szCs w:val="21"/>
              </w:rPr>
              <w:t>其    他</w:t>
            </w:r>
          </w:p>
        </w:tc>
        <w:tc>
          <w:tcPr>
            <w:tcW w:w="1304" w:type="dxa"/>
            <w:tcBorders>
              <w:top w:val="nil" w:sz="6" w:space="0" w:color="auto"/>
              <w:left w:val="nil" w:sz="6" w:space="0" w:color="auto"/>
              <w:bottom w:val="nil" w:sz="6" w:space="0" w:color="auto"/>
              <w:right w:val="nil" w:sz="6" w:space="0" w:color="auto"/>
            </w:tcBorders>
          </w:tcPr>
          <w:p>
            <w:pPr/>
          </w:p>
        </w:tc>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43"/>
              <w:jc w:val="right"/>
              <w:rPr>
                <w:rFonts w:ascii="Times New Roman" w:hAnsi="Times New Roman" w:cs="Times New Roman" w:eastAsia="Times New Roman" w:hint="default"/>
                <w:sz w:val="21"/>
                <w:szCs w:val="21"/>
              </w:rPr>
            </w:pPr>
            <w:r>
              <w:rPr>
                <w:rFonts w:ascii="Times New Roman"/>
                <w:spacing w:val="-1"/>
                <w:sz w:val="21"/>
              </w:rPr>
              <w:t>93,394</w:t>
            </w:r>
          </w:p>
        </w:tc>
        <w:tc>
          <w:tcPr>
            <w:tcW w:w="197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21"/>
                <w:szCs w:val="21"/>
              </w:rPr>
            </w:pPr>
            <w:r>
              <w:rPr>
                <w:rFonts w:ascii="Times New Roman"/>
                <w:spacing w:val="-1"/>
                <w:sz w:val="21"/>
              </w:rPr>
              <w:t>3,767,696</w:t>
            </w:r>
          </w:p>
        </w:tc>
      </w:tr>
      <w:tr>
        <w:trPr>
          <w:trHeight w:val="330" w:hRule="exact"/>
        </w:trPr>
        <w:tc>
          <w:tcPr>
            <w:tcW w:w="2063" w:type="dxa"/>
            <w:tcBorders>
              <w:top w:val="nil" w:sz="6" w:space="0" w:color="auto"/>
              <w:left w:val="nil" w:sz="6" w:space="0" w:color="auto"/>
              <w:bottom w:val="single" w:sz="8" w:space="0" w:color="000000"/>
              <w:right w:val="nil" w:sz="6" w:space="0" w:color="auto"/>
            </w:tcBorders>
          </w:tcPr>
          <w:p>
            <w:pPr>
              <w:pStyle w:val="TableParagraph"/>
              <w:spacing w:line="240" w:lineRule="auto" w:before="12"/>
              <w:ind w:right="51"/>
              <w:jc w:val="right"/>
              <w:rPr>
                <w:rFonts w:ascii="宋体" w:hAnsi="宋体" w:cs="宋体" w:eastAsia="宋体" w:hint="default"/>
                <w:sz w:val="21"/>
                <w:szCs w:val="21"/>
              </w:rPr>
            </w:pPr>
            <w:r>
              <w:rPr>
                <w:rFonts w:ascii="宋体" w:hAnsi="宋体" w:cs="宋体" w:eastAsia="宋体" w:hint="default"/>
                <w:sz w:val="21"/>
                <w:szCs w:val="21"/>
              </w:rPr>
              <w:t>合   </w:t>
            </w:r>
          </w:p>
        </w:tc>
        <w:tc>
          <w:tcPr>
            <w:tcW w:w="1304" w:type="dxa"/>
            <w:tcBorders>
              <w:top w:val="nil" w:sz="6" w:space="0" w:color="auto"/>
              <w:left w:val="nil" w:sz="6" w:space="0" w:color="auto"/>
              <w:bottom w:val="single" w:sz="8" w:space="0" w:color="000000"/>
              <w:right w:val="nil" w:sz="6" w:space="0" w:color="auto"/>
            </w:tcBorders>
          </w:tcPr>
          <w:p>
            <w:pPr>
              <w:pStyle w:val="TableParagraph"/>
              <w:spacing w:line="240" w:lineRule="auto" w:before="12"/>
              <w:ind w:left="51"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938"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342"/>
              <w:jc w:val="right"/>
              <w:rPr>
                <w:rFonts w:ascii="Times New Roman" w:hAnsi="Times New Roman" w:cs="Times New Roman" w:eastAsia="Times New Roman" w:hint="default"/>
                <w:sz w:val="21"/>
                <w:szCs w:val="21"/>
              </w:rPr>
            </w:pPr>
            <w:r>
              <w:rPr>
                <w:rFonts w:ascii="Times New Roman"/>
                <w:spacing w:val="-1"/>
                <w:sz w:val="21"/>
              </w:rPr>
              <w:t>11,273,121</w:t>
            </w:r>
          </w:p>
        </w:tc>
        <w:tc>
          <w:tcPr>
            <w:tcW w:w="1974"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21"/>
                <w:szCs w:val="21"/>
              </w:rPr>
            </w:pPr>
            <w:r>
              <w:rPr>
                <w:rFonts w:ascii="Times New Roman"/>
                <w:spacing w:val="-1"/>
                <w:sz w:val="21"/>
              </w:rPr>
              <w:t>34,039,065</w:t>
            </w:r>
          </w:p>
        </w:tc>
      </w:tr>
    </w:tbl>
    <w:p>
      <w:pPr>
        <w:spacing w:after="0" w:line="240" w:lineRule="auto"/>
        <w:jc w:val="right"/>
        <w:rPr>
          <w:rFonts w:ascii="Times New Roman" w:hAnsi="Times New Roman" w:cs="Times New Roman" w:eastAsia="Times New Roman" w:hint="default"/>
          <w:sz w:val="21"/>
          <w:szCs w:val="21"/>
        </w:rPr>
        <w:sectPr>
          <w:pgSz w:w="11900" w:h="16840"/>
          <w:pgMar w:header="0" w:footer="1003" w:top="1540" w:bottom="1200" w:left="1640" w:right="1100"/>
        </w:sectPr>
      </w:pPr>
    </w:p>
    <w:p>
      <w:pPr>
        <w:spacing w:before="110"/>
        <w:ind w:left="12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四十五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3"/>
          <w:sz w:val="21"/>
          <w:szCs w:val="21"/>
        </w:rPr>
        <w:t> </w:t>
      </w:r>
      <w:r>
        <w:rPr>
          <w:rFonts w:ascii="宋体" w:hAnsi="宋体" w:cs="宋体" w:eastAsia="宋体" w:hint="default"/>
          <w:sz w:val="21"/>
          <w:szCs w:val="21"/>
        </w:rPr>
        <w:t>所得税费用</w:t>
      </w:r>
    </w:p>
    <w:p>
      <w:pPr>
        <w:spacing w:line="1510" w:lineRule="exact"/>
        <w:ind w:left="723"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14.9pt;height:75.55pt;mso-position-horizontal-relative:char;mso-position-vertical-relative:line" coordorigin="0,0" coordsize="8298,1511">
            <v:group style="position:absolute;left:24;top:10;width:3780;height:2" coordorigin="24,10" coordsize="3780,2">
              <v:shape style="position:absolute;left:24;top:10;width:3780;height:2" coordorigin="24,10" coordsize="3780,0" path="m24,10l3804,10e" filled="false" stroked="true" strokeweight=".96002pt" strokecolor="#000000">
                <v:path arrowok="t"/>
              </v:shape>
            </v:group>
            <v:group style="position:absolute;left:3804;top:10;width:2270;height:2" coordorigin="3804,10" coordsize="2270,2">
              <v:shape style="position:absolute;left:3804;top:10;width:2270;height:2" coordorigin="3804,10" coordsize="2270,0" path="m3804,10l6073,10e" filled="false" stroked="true" strokeweight=".96002pt" strokecolor="#000000">
                <v:path arrowok="t"/>
              </v:shape>
            </v:group>
            <v:group style="position:absolute;left:6073;top:10;width:2208;height:2" coordorigin="6073,10" coordsize="2208,2">
              <v:shape style="position:absolute;left:6073;top:10;width:2208;height:2" coordorigin="6073,10" coordsize="2208,0" path="m6073,10l8281,10e" filled="false" stroked="true" strokeweight=".96002pt" strokecolor="#000000">
                <v:path arrowok="t"/>
              </v:shape>
            </v:group>
            <v:group style="position:absolute;left:10;top:1501;width:3795;height:2" coordorigin="10,1501" coordsize="3795,2">
              <v:shape style="position:absolute;left:10;top:1501;width:3795;height:2" coordorigin="10,1501" coordsize="3795,0" path="m10,1501l3804,1501e" filled="false" stroked="true" strokeweight=".96002pt" strokecolor="#000000">
                <v:path arrowok="t"/>
              </v:shape>
            </v:group>
            <v:group style="position:absolute;left:3804;top:1501;width:2270;height:2" coordorigin="3804,1501" coordsize="2270,2">
              <v:shape style="position:absolute;left:3804;top:1501;width:2270;height:2" coordorigin="3804,1501" coordsize="2270,0" path="m3804,1501l6073,1501e" filled="false" stroked="true" strokeweight=".96002pt" strokecolor="#000000">
                <v:path arrowok="t"/>
              </v:shape>
              <v:shape style="position:absolute;left:24;top:19;width:8262;height:1472" type="#_x0000_t75" stroked="false">
                <v:imagedata r:id="rId129" o:title=""/>
              </v:shape>
            </v:group>
            <v:group style="position:absolute;left:6073;top:1501;width:2216;height:2" coordorigin="6073,1501" coordsize="2216,2">
              <v:shape style="position:absolute;left:6073;top:1501;width:2216;height:2" coordorigin="6073,1501" coordsize="2216,0" path="m6073,1501l8288,1501e" filled="false" stroked="true" strokeweight=".96002pt" strokecolor="#000000">
                <v:path arrowok="t"/>
              </v:shape>
              <v:shape style="position:absolute;left:131;top:139;width:3360;height:1320" type="#_x0000_t202" filled="false" stroked="false">
                <v:textbox inset="0,0,0,0">
                  <w:txbxContent>
                    <w:p>
                      <w:pPr>
                        <w:spacing w:line="210" w:lineRule="exact" w:before="0"/>
                        <w:ind w:left="1363" w:right="0" w:firstLine="0"/>
                        <w:jc w:val="left"/>
                        <w:rPr>
                          <w:rFonts w:ascii="宋体" w:hAnsi="宋体" w:cs="宋体" w:eastAsia="宋体" w:hint="default"/>
                          <w:sz w:val="21"/>
                          <w:szCs w:val="21"/>
                        </w:rPr>
                      </w:pPr>
                      <w:r>
                        <w:rPr>
                          <w:rFonts w:ascii="宋体" w:hAnsi="宋体" w:cs="宋体" w:eastAsia="宋体" w:hint="default"/>
                          <w:sz w:val="21"/>
                          <w:szCs w:val="21"/>
                        </w:rPr>
                        <w:t>项    目</w:t>
                      </w:r>
                    </w:p>
                    <w:p>
                      <w:pPr>
                        <w:spacing w:line="321" w:lineRule="auto" w:before="95"/>
                        <w:ind w:left="0" w:right="0" w:firstLine="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 递延所得税调整</w:t>
                      </w:r>
                    </w:p>
                    <w:p>
                      <w:pPr>
                        <w:spacing w:before="24"/>
                        <w:ind w:left="206" w:right="0" w:firstLine="0"/>
                        <w:jc w:val="center"/>
                        <w:rPr>
                          <w:rFonts w:ascii="宋体" w:hAnsi="宋体" w:cs="宋体" w:eastAsia="宋体" w:hint="default"/>
                          <w:sz w:val="21"/>
                          <w:szCs w:val="21"/>
                        </w:rPr>
                      </w:pPr>
                      <w:r>
                        <w:rPr>
                          <w:rFonts w:ascii="宋体" w:hAnsi="宋体" w:cs="宋体" w:eastAsia="宋体" w:hint="default"/>
                          <w:sz w:val="21"/>
                          <w:szCs w:val="21"/>
                        </w:rPr>
                        <w:t>合    计</w:t>
                      </w:r>
                    </w:p>
                  </w:txbxContent>
                </v:textbox>
                <w10:wrap type="none"/>
              </v:shape>
              <v:shape style="position:absolute;left:4418;top:139;width:1552;height:134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本期发生额</w:t>
                      </w:r>
                    </w:p>
                    <w:p>
                      <w:pPr>
                        <w:spacing w:before="158"/>
                        <w:ind w:left="606" w:right="0" w:firstLine="0"/>
                        <w:jc w:val="left"/>
                        <w:rPr>
                          <w:rFonts w:ascii="Times New Roman" w:hAnsi="Times New Roman" w:cs="Times New Roman" w:eastAsia="Times New Roman" w:hint="default"/>
                          <w:sz w:val="21"/>
                          <w:szCs w:val="21"/>
                        </w:rPr>
                      </w:pPr>
                      <w:r>
                        <w:rPr>
                          <w:rFonts w:ascii="Times New Roman"/>
                          <w:spacing w:val="-1"/>
                          <w:sz w:val="21"/>
                        </w:rPr>
                        <w:t>85,791,289</w:t>
                      </w:r>
                    </w:p>
                    <w:p>
                      <w:pPr>
                        <w:spacing w:before="128"/>
                        <w:ind w:left="648" w:right="0" w:firstLine="0"/>
                        <w:jc w:val="left"/>
                        <w:rPr>
                          <w:rFonts w:ascii="Times New Roman" w:hAnsi="Times New Roman" w:cs="Times New Roman" w:eastAsia="Times New Roman" w:hint="default"/>
                          <w:sz w:val="21"/>
                          <w:szCs w:val="21"/>
                        </w:rPr>
                      </w:pPr>
                      <w:r>
                        <w:rPr>
                          <w:rFonts w:ascii="Times New Roman"/>
                          <w:spacing w:val="-1"/>
                          <w:sz w:val="21"/>
                        </w:rPr>
                        <w:t>-9,112,519</w:t>
                      </w:r>
                    </w:p>
                    <w:p>
                      <w:pPr>
                        <w:spacing w:line="237" w:lineRule="exact" w:before="129"/>
                        <w:ind w:left="606" w:right="0" w:firstLine="0"/>
                        <w:jc w:val="left"/>
                        <w:rPr>
                          <w:rFonts w:ascii="Times New Roman" w:hAnsi="Times New Roman" w:cs="Times New Roman" w:eastAsia="Times New Roman" w:hint="default"/>
                          <w:sz w:val="21"/>
                          <w:szCs w:val="21"/>
                        </w:rPr>
                      </w:pPr>
                      <w:r>
                        <w:rPr>
                          <w:rFonts w:ascii="Times New Roman"/>
                          <w:spacing w:val="-1"/>
                          <w:sz w:val="21"/>
                        </w:rPr>
                        <w:t>76,678,770</w:t>
                      </w:r>
                    </w:p>
                  </w:txbxContent>
                </v:textbox>
                <w10:wrap type="none"/>
              </v:shape>
              <v:shape style="position:absolute;left:6659;top:139;width:1523;height:134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上期发生额</w:t>
                      </w:r>
                    </w:p>
                    <w:p>
                      <w:pPr>
                        <w:spacing w:before="158"/>
                        <w:ind w:left="577" w:right="0" w:firstLine="0"/>
                        <w:jc w:val="left"/>
                        <w:rPr>
                          <w:rFonts w:ascii="Times New Roman" w:hAnsi="Times New Roman" w:cs="Times New Roman" w:eastAsia="Times New Roman" w:hint="default"/>
                          <w:sz w:val="21"/>
                          <w:szCs w:val="21"/>
                        </w:rPr>
                      </w:pPr>
                      <w:r>
                        <w:rPr>
                          <w:rFonts w:ascii="Times New Roman"/>
                          <w:spacing w:val="-1"/>
                          <w:sz w:val="21"/>
                        </w:rPr>
                        <w:t>77,773,289</w:t>
                      </w:r>
                    </w:p>
                    <w:p>
                      <w:pPr>
                        <w:spacing w:before="128"/>
                        <w:ind w:left="506" w:right="0" w:firstLine="0"/>
                        <w:jc w:val="left"/>
                        <w:rPr>
                          <w:rFonts w:ascii="Times New Roman" w:hAnsi="Times New Roman" w:cs="Times New Roman" w:eastAsia="Times New Roman" w:hint="default"/>
                          <w:sz w:val="21"/>
                          <w:szCs w:val="21"/>
                        </w:rPr>
                      </w:pPr>
                      <w:r>
                        <w:rPr>
                          <w:rFonts w:ascii="Times New Roman"/>
                          <w:sz w:val="21"/>
                        </w:rPr>
                        <w:t>-12,915,031</w:t>
                      </w:r>
                    </w:p>
                    <w:p>
                      <w:pPr>
                        <w:spacing w:line="237" w:lineRule="exact" w:before="129"/>
                        <w:ind w:left="577" w:right="0" w:firstLine="0"/>
                        <w:jc w:val="left"/>
                        <w:rPr>
                          <w:rFonts w:ascii="Times New Roman" w:hAnsi="Times New Roman" w:cs="Times New Roman" w:eastAsia="Times New Roman" w:hint="default"/>
                          <w:sz w:val="21"/>
                          <w:szCs w:val="21"/>
                        </w:rPr>
                      </w:pPr>
                      <w:r>
                        <w:rPr>
                          <w:rFonts w:ascii="Times New Roman"/>
                          <w:spacing w:val="-1"/>
                          <w:sz w:val="21"/>
                        </w:rPr>
                        <w:t>64,858,258</w:t>
                      </w:r>
                    </w:p>
                  </w:txbxContent>
                </v:textbox>
                <w10:wrap type="none"/>
              </v:shape>
            </v:group>
          </v:group>
        </w:pict>
      </w:r>
      <w:r>
        <w:rPr>
          <w:rFonts w:ascii="宋体" w:hAnsi="宋体" w:cs="宋体" w:eastAsia="宋体" w:hint="default"/>
          <w:position w:val="-29"/>
          <w:sz w:val="20"/>
          <w:szCs w:val="20"/>
        </w:rPr>
      </w:r>
    </w:p>
    <w:p>
      <w:pPr>
        <w:spacing w:line="240" w:lineRule="auto" w:before="0"/>
        <w:rPr>
          <w:rFonts w:ascii="宋体" w:hAnsi="宋体" w:cs="宋体" w:eastAsia="宋体" w:hint="default"/>
          <w:sz w:val="20"/>
          <w:szCs w:val="20"/>
        </w:rPr>
      </w:pPr>
    </w:p>
    <w:p>
      <w:pPr>
        <w:spacing w:before="168"/>
        <w:ind w:left="0" w:right="4242"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四十六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42"/>
          <w:sz w:val="21"/>
          <w:szCs w:val="21"/>
        </w:rPr>
        <w:t> </w:t>
      </w:r>
      <w:r>
        <w:rPr>
          <w:rFonts w:ascii="宋体" w:hAnsi="宋体" w:cs="宋体" w:eastAsia="宋体" w:hint="default"/>
          <w:sz w:val="21"/>
          <w:szCs w:val="21"/>
        </w:rPr>
        <w:t>基本每股收益和稀释每股收益的计算过程</w:t>
      </w:r>
    </w:p>
    <w:p>
      <w:pPr>
        <w:spacing w:line="240" w:lineRule="auto" w:before="11"/>
        <w:rPr>
          <w:rFonts w:ascii="宋体" w:hAnsi="宋体" w:cs="宋体" w:eastAsia="宋体" w:hint="default"/>
          <w:sz w:val="32"/>
          <w:szCs w:val="32"/>
        </w:rPr>
      </w:pPr>
    </w:p>
    <w:p>
      <w:pPr>
        <w:tabs>
          <w:tab w:pos="538" w:val="left" w:leader="none"/>
        </w:tabs>
        <w:spacing w:before="0"/>
        <w:ind w:left="0" w:right="4148"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基本每股收益和稀释每股收益</w:t>
      </w:r>
    </w:p>
    <w:p>
      <w:pPr>
        <w:spacing w:line="1629" w:lineRule="exact"/>
        <w:ind w:left="723"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14.9pt;height:81.5pt;mso-position-horizontal-relative:char;mso-position-vertical-relative:line" coordorigin="0,0" coordsize="8298,1630">
            <v:group style="position:absolute;left:31;top:10;width:4482;height:2" coordorigin="31,10" coordsize="4482,2">
              <v:shape style="position:absolute;left:31;top:10;width:4482;height:2" coordorigin="31,10" coordsize="4482,0" path="m31,10l4513,10e" filled="false" stroked="true" strokeweight=".95996pt" strokecolor="#000000">
                <v:path arrowok="t"/>
              </v:shape>
            </v:group>
            <v:group style="position:absolute;left:4513;top:10;width:3768;height:2" coordorigin="4513,10" coordsize="3768,2">
              <v:shape style="position:absolute;left:4513;top:10;width:3768;height:2" coordorigin="4513,10" coordsize="3768,0" path="m4513,10l8281,10e" filled="false" stroked="true" strokeweight=".95996pt" strokecolor="#000000">
                <v:path arrowok="t"/>
              </v:shape>
            </v:group>
            <v:group style="position:absolute;left:10;top:1620;width:4504;height:2" coordorigin="10,1620" coordsize="4504,2">
              <v:shape style="position:absolute;left:10;top:1620;width:4504;height:2" coordorigin="10,1620" coordsize="4504,0" path="m10,1620l4513,1620e" filled="false" stroked="true" strokeweight=".96002pt" strokecolor="#000000">
                <v:path arrowok="t"/>
              </v:shape>
            </v:group>
            <v:group style="position:absolute;left:4513;top:1620;width:20;height:2" coordorigin="4513,1620" coordsize="20,2">
              <v:shape style="position:absolute;left:4513;top:1620;width:20;height:2" coordorigin="4513,1620" coordsize="20,0" path="m4513,1620l4532,1620e" filled="false" stroked="true" strokeweight=".96002pt" strokecolor="#000000">
                <v:path arrowok="t"/>
              </v:shape>
            </v:group>
            <v:group style="position:absolute;left:4532;top:1620;width:1612;height:2" coordorigin="4532,1620" coordsize="1612,2">
              <v:shape style="position:absolute;left:4532;top:1620;width:1612;height:2" coordorigin="4532,1620" coordsize="1612,0" path="m4532,1620l6144,1620e" filled="false" stroked="true" strokeweight=".96pt" strokecolor="#000000">
                <v:path arrowok="t"/>
              </v:shape>
              <v:shape style="position:absolute;left:24;top:19;width:8270;height:1591" type="#_x0000_t75" stroked="false">
                <v:imagedata r:id="rId130" o:title=""/>
              </v:shape>
            </v:group>
            <v:group style="position:absolute;left:6144;top:1620;width:2145;height:2" coordorigin="6144,1620" coordsize="2145,2">
              <v:shape style="position:absolute;left:6144;top:1620;width:2145;height:2" coordorigin="6144,1620" coordsize="2145,0" path="m6144,1620l8288,1620e" filled="false" stroked="true" strokeweight=".96002pt" strokecolor="#000000">
                <v:path arrowok="t"/>
              </v:shape>
              <v:shape style="position:absolute;left:5773;top:17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每股收益（元）</w:t>
                      </w:r>
                    </w:p>
                  </w:txbxContent>
                </v:textbox>
                <w10:wrap type="none"/>
              </v:shape>
              <v:shape style="position:absolute;left:4793;top:54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基本每股收益</w:t>
                      </w:r>
                    </w:p>
                  </w:txbxContent>
                </v:textbox>
                <w10:wrap type="none"/>
              </v:shape>
              <v:shape style="position:absolute;left:6678;top:54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稀释每股收益</w:t>
                      </w:r>
                    </w:p>
                  </w:txbxContent>
                </v:textbox>
                <w10:wrap type="none"/>
              </v:shape>
              <v:shape style="position:absolute;left:131;top:912;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xbxContent>
                </v:textbox>
                <w10:wrap type="none"/>
              </v:shape>
              <v:shape style="position:absolute;left:5724;top:93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0.68</w:t>
                      </w:r>
                    </w:p>
                  </w:txbxContent>
                </v:textbox>
                <w10:wrap type="none"/>
              </v:shape>
              <v:shape style="position:absolute;left:7865;top:93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0.68</w:t>
                      </w:r>
                    </w:p>
                  </w:txbxContent>
                </v:textbox>
                <w10:wrap type="none"/>
              </v:shape>
              <v:shape style="position:absolute;left:131;top:1342;width:41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扣除非经常性损益后归属于公司普通股股东的净利润</w:t>
                      </w:r>
                    </w:p>
                  </w:txbxContent>
                </v:textbox>
                <w10:wrap type="none"/>
              </v:shape>
              <v:shape style="position:absolute;left:5724;top:1361;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0.55</w:t>
                      </w:r>
                    </w:p>
                  </w:txbxContent>
                </v:textbox>
                <w10:wrap type="none"/>
              </v:shape>
              <v:shape style="position:absolute;left:7865;top:1361;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0.55</w:t>
                      </w:r>
                    </w:p>
                  </w:txbxContent>
                </v:textbox>
                <w10:wrap type="none"/>
              </v:shape>
            </v:group>
          </v:group>
        </w:pict>
      </w:r>
      <w:r>
        <w:rPr>
          <w:rFonts w:ascii="宋体" w:hAnsi="宋体" w:cs="宋体" w:eastAsia="宋体" w:hint="default"/>
          <w:position w:val="-32"/>
          <w:sz w:val="20"/>
          <w:szCs w:val="20"/>
        </w:rPr>
      </w:r>
    </w:p>
    <w:p>
      <w:pPr>
        <w:spacing w:line="240" w:lineRule="auto" w:before="0"/>
        <w:rPr>
          <w:rFonts w:ascii="宋体" w:hAnsi="宋体" w:cs="宋体" w:eastAsia="宋体" w:hint="default"/>
          <w:sz w:val="20"/>
          <w:szCs w:val="20"/>
        </w:rPr>
      </w:pPr>
    </w:p>
    <w:p>
      <w:pPr>
        <w:tabs>
          <w:tab w:pos="1393" w:val="left" w:leader="none"/>
        </w:tabs>
        <w:spacing w:before="168"/>
        <w:ind w:left="855" w:right="0" w:firstLine="0"/>
        <w:jc w:val="left"/>
        <w:rPr>
          <w:rFonts w:ascii="宋体" w:hAnsi="宋体" w:cs="宋体" w:eastAsia="宋体" w:hint="default"/>
          <w:sz w:val="21"/>
          <w:szCs w:val="21"/>
        </w:rPr>
      </w:pPr>
      <w:r>
        <w:rPr/>
        <w:pict>
          <v:group style="position:absolute;margin-left:119.880005pt;margin-top:23.723976pt;width:413.35pt;height:332.05pt;mso-position-horizontal-relative:page;mso-position-vertical-relative:paragraph;z-index:-978616" coordorigin="2398,474" coordsize="8267,6641">
            <v:group style="position:absolute;left:2407;top:484;width:4084;height:2" coordorigin="2407,484" coordsize="4084,2">
              <v:shape style="position:absolute;left:2407;top:484;width:4084;height:2" coordorigin="2407,484" coordsize="4084,0" path="m2407,484l6491,484e" filled="false" stroked="true" strokeweight=".95999pt" strokecolor="#000000">
                <v:path arrowok="t"/>
              </v:shape>
            </v:group>
            <v:group style="position:absolute;left:6491;top:484;width:20;height:2" coordorigin="6491,484" coordsize="20,2">
              <v:shape style="position:absolute;left:6491;top:484;width:20;height:2" coordorigin="6491,484" coordsize="20,0" path="m6491,484l6510,484e" filled="false" stroked="true" strokeweight=".95999pt" strokecolor="#000000">
                <v:path arrowok="t"/>
              </v:shape>
            </v:group>
            <v:group style="position:absolute;left:6510;top:484;width:2273;height:2" coordorigin="6510,484" coordsize="2273,2">
              <v:shape style="position:absolute;left:6510;top:484;width:2273;height:2" coordorigin="6510,484" coordsize="2273,0" path="m6510,484l8783,484e" filled="false" stroked="true" strokeweight=".96pt" strokecolor="#000000">
                <v:path arrowok="t"/>
              </v:shape>
            </v:group>
            <v:group style="position:absolute;left:8783;top:484;width:1870;height:2" coordorigin="8783,484" coordsize="1870,2">
              <v:shape style="position:absolute;left:8783;top:484;width:1870;height:2" coordorigin="8783,484" coordsize="1870,0" path="m8783,484l10652,484e" filled="false" stroked="true" strokeweight=".95999pt" strokecolor="#000000">
                <v:path arrowok="t"/>
              </v:shape>
              <v:shape style="position:absolute;left:2407;top:494;width:8257;height:6622" type="#_x0000_t75" stroked="false">
                <v:imagedata r:id="rId131" o:title=""/>
              </v:shape>
              <v:shape style="position:absolute;left:4135;top:64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4585;top:64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7282;top:6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计算公式</w:t>
                      </w:r>
                    </w:p>
                  </w:txbxContent>
                </v:textbox>
                <w10:wrap type="none"/>
              </v:shape>
              <v:shape style="position:absolute;left:9454;top:64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本期数</w:t>
                      </w:r>
                    </w:p>
                  </w:txbxContent>
                </v:textbox>
                <w10:wrap type="none"/>
              </v:shape>
              <v:shape style="position:absolute;left:2514;top:1017;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xbxContent>
                </v:textbox>
                <w10:wrap type="none"/>
              </v:shape>
              <v:shape style="position:absolute;left:6604;top:1036;width:160;height:550" type="#_x0000_t202" filled="false" stroked="false">
                <v:textbox inset="0,0,0,0">
                  <w:txbxContent>
                    <w:p>
                      <w:pPr>
                        <w:spacing w:line="201" w:lineRule="exact" w:before="0"/>
                        <w:ind w:left="0" w:right="0" w:firstLine="0"/>
                        <w:jc w:val="left"/>
                        <w:rPr>
                          <w:rFonts w:ascii="Times New Roman" w:hAnsi="Times New Roman" w:cs="Times New Roman" w:eastAsia="Times New Roman" w:hint="default"/>
                          <w:sz w:val="12"/>
                          <w:szCs w:val="12"/>
                        </w:rPr>
                      </w:pPr>
                      <w:r>
                        <w:rPr>
                          <w:rFonts w:ascii="Times New Roman"/>
                          <w:spacing w:val="-1"/>
                          <w:sz w:val="18"/>
                        </w:rPr>
                        <w:t>P</w:t>
                      </w:r>
                      <w:r>
                        <w:rPr>
                          <w:rFonts w:ascii="Times New Roman"/>
                          <w:spacing w:val="-1"/>
                          <w:position w:val="-2"/>
                          <w:sz w:val="12"/>
                        </w:rPr>
                        <w:t>0</w:t>
                      </w:r>
                      <w:r>
                        <w:rPr>
                          <w:rFonts w:ascii="Times New Roman"/>
                          <w:spacing w:val="-1"/>
                          <w:sz w:val="12"/>
                        </w:rPr>
                      </w:r>
                    </w:p>
                    <w:p>
                      <w:pPr>
                        <w:spacing w:line="203" w:lineRule="exact" w:before="145"/>
                        <w:ind w:left="0" w:right="0" w:firstLine="0"/>
                        <w:jc w:val="left"/>
                        <w:rPr>
                          <w:rFonts w:ascii="Times New Roman" w:hAnsi="Times New Roman" w:cs="Times New Roman" w:eastAsia="Times New Roman" w:hint="default"/>
                          <w:sz w:val="18"/>
                          <w:szCs w:val="18"/>
                        </w:rPr>
                      </w:pPr>
                      <w:r>
                        <w:rPr>
                          <w:rFonts w:ascii="Times New Roman"/>
                          <w:w w:val="99"/>
                          <w:sz w:val="18"/>
                        </w:rPr>
                        <w:t>F</w:t>
                      </w:r>
                      <w:r>
                        <w:rPr>
                          <w:rFonts w:ascii="Times New Roman"/>
                          <w:sz w:val="18"/>
                        </w:rPr>
                      </w:r>
                    </w:p>
                  </w:txbxContent>
                </v:textbox>
                <w10:wrap type="none"/>
              </v:shape>
              <v:shape style="position:absolute;left:9650;top:1036;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640,564,034</w:t>
                      </w:r>
                    </w:p>
                  </w:txbxContent>
                </v:textbox>
                <w10:wrap type="none"/>
              </v:shape>
              <v:shape style="position:absolute;left:2514;top:1387;width:3780;height:5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非经常性损益</w:t>
                      </w:r>
                    </w:p>
                    <w:p>
                      <w:pPr>
                        <w:spacing w:before="134"/>
                        <w:ind w:left="0" w:right="0" w:firstLine="0"/>
                        <w:jc w:val="left"/>
                        <w:rPr>
                          <w:rFonts w:ascii="宋体" w:hAnsi="宋体" w:cs="宋体" w:eastAsia="宋体" w:hint="default"/>
                          <w:sz w:val="18"/>
                          <w:szCs w:val="18"/>
                        </w:rPr>
                      </w:pPr>
                      <w:r>
                        <w:rPr>
                          <w:rFonts w:ascii="宋体" w:hAnsi="宋体" w:cs="宋体" w:eastAsia="宋体" w:hint="default"/>
                          <w:sz w:val="18"/>
                          <w:szCs w:val="18"/>
                        </w:rPr>
                        <w:t>扣除非经营性损益后的归属于公司普通股股东的</w:t>
                      </w:r>
                    </w:p>
                  </w:txbxContent>
                </v:textbox>
                <w10:wrap type="none"/>
              </v:shape>
              <v:shape style="position:absolute;left:9651;top:1406;width:90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118,769,401</w:t>
                      </w:r>
                    </w:p>
                  </w:txbxContent>
                </v:textbox>
                <w10:wrap type="none"/>
              </v:shape>
              <v:shape style="position:absolute;left:6604;top:1956;width:3948;height:199" type="#_x0000_t202" filled="false" stroked="false">
                <v:textbox inset="0,0,0,0">
                  <w:txbxContent>
                    <w:p>
                      <w:pPr>
                        <w:tabs>
                          <w:tab w:pos="3047" w:val="left" w:leader="none"/>
                        </w:tabs>
                        <w:spacing w:line="198" w:lineRule="exact" w:before="0"/>
                        <w:ind w:left="0" w:right="0" w:firstLine="0"/>
                        <w:jc w:val="left"/>
                        <w:rPr>
                          <w:rFonts w:ascii="Times New Roman" w:hAnsi="Times New Roman" w:cs="Times New Roman" w:eastAsia="Times New Roman" w:hint="default"/>
                          <w:sz w:val="18"/>
                          <w:szCs w:val="18"/>
                        </w:rPr>
                      </w:pPr>
                      <w:r>
                        <w:rPr>
                          <w:rFonts w:ascii="Times New Roman"/>
                          <w:sz w:val="18"/>
                        </w:rPr>
                        <w:t>P</w:t>
                      </w:r>
                      <w:r>
                        <w:rPr>
                          <w:rFonts w:ascii="Times New Roman"/>
                          <w:position w:val="-2"/>
                          <w:sz w:val="12"/>
                        </w:rPr>
                        <w:t>1</w:t>
                      </w:r>
                      <w:r>
                        <w:rPr>
                          <w:rFonts w:ascii="Times New Roman"/>
                          <w:sz w:val="18"/>
                        </w:rPr>
                        <w:t>= P</w:t>
                      </w:r>
                      <w:r>
                        <w:rPr>
                          <w:rFonts w:ascii="Times New Roman"/>
                          <w:position w:val="-2"/>
                          <w:sz w:val="12"/>
                        </w:rPr>
                        <w:t>0-</w:t>
                      </w:r>
                      <w:r>
                        <w:rPr>
                          <w:rFonts w:ascii="Times New Roman"/>
                          <w:spacing w:val="13"/>
                          <w:position w:val="-2"/>
                          <w:sz w:val="12"/>
                        </w:rPr>
                        <w:t> </w:t>
                      </w:r>
                      <w:r>
                        <w:rPr>
                          <w:rFonts w:ascii="Times New Roman"/>
                          <w:sz w:val="18"/>
                        </w:rPr>
                        <w:t>F</w:t>
                        <w:tab/>
                        <w:t>521,794,633</w:t>
                      </w:r>
                    </w:p>
                  </w:txbxContent>
                </v:textbox>
                <w10:wrap type="none"/>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基本每股收益的计算过程：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6"/>
          <w:szCs w:val="26"/>
        </w:rPr>
      </w:pPr>
    </w:p>
    <w:tbl>
      <w:tblPr>
        <w:tblW w:w="0" w:type="auto"/>
        <w:jc w:val="left"/>
        <w:tblInd w:w="732" w:type="dxa"/>
        <w:tblLayout w:type="fixed"/>
        <w:tblCellMar>
          <w:top w:w="0" w:type="dxa"/>
          <w:left w:w="0" w:type="dxa"/>
          <w:bottom w:w="0" w:type="dxa"/>
          <w:right w:w="0" w:type="dxa"/>
        </w:tblCellMar>
        <w:tblLook w:val="01E0"/>
      </w:tblPr>
      <w:tblGrid>
        <w:gridCol w:w="4056"/>
        <w:gridCol w:w="2668"/>
        <w:gridCol w:w="1543"/>
      </w:tblGrid>
      <w:tr>
        <w:trPr>
          <w:trHeight w:val="664" w:hRule="exact"/>
        </w:trPr>
        <w:tc>
          <w:tcPr>
            <w:tcW w:w="4056" w:type="dxa"/>
            <w:tcBorders>
              <w:top w:val="nil" w:sz="6" w:space="0" w:color="auto"/>
              <w:left w:val="nil" w:sz="6" w:space="0" w:color="auto"/>
              <w:bottom w:val="nil" w:sz="6" w:space="0" w:color="auto"/>
              <w:right w:val="nil" w:sz="6" w:space="0" w:color="auto"/>
            </w:tcBorders>
          </w:tcPr>
          <w:p>
            <w:pPr>
              <w:pStyle w:val="TableParagraph"/>
              <w:spacing w:line="180" w:lineRule="exact"/>
              <w:ind w:left="121" w:right="0"/>
              <w:jc w:val="left"/>
              <w:rPr>
                <w:rFonts w:ascii="宋体" w:hAnsi="宋体" w:cs="宋体" w:eastAsia="宋体" w:hint="default"/>
                <w:sz w:val="18"/>
                <w:szCs w:val="18"/>
              </w:rPr>
            </w:pPr>
            <w:r>
              <w:rPr>
                <w:rFonts w:ascii="宋体" w:hAnsi="宋体" w:cs="宋体" w:eastAsia="宋体" w:hint="default"/>
                <w:sz w:val="18"/>
                <w:szCs w:val="18"/>
              </w:rPr>
              <w:t>净利润</w:t>
            </w:r>
          </w:p>
          <w:p>
            <w:pPr>
              <w:pStyle w:val="TableParagraph"/>
              <w:spacing w:line="240" w:lineRule="auto" w:before="135"/>
              <w:ind w:left="121" w:right="0"/>
              <w:jc w:val="left"/>
              <w:rPr>
                <w:rFonts w:ascii="宋体" w:hAnsi="宋体" w:cs="宋体" w:eastAsia="宋体" w:hint="default"/>
                <w:sz w:val="18"/>
                <w:szCs w:val="18"/>
              </w:rPr>
            </w:pPr>
            <w:r>
              <w:rPr>
                <w:rFonts w:ascii="宋体" w:hAnsi="宋体" w:cs="宋体" w:eastAsia="宋体" w:hint="default"/>
                <w:sz w:val="18"/>
                <w:szCs w:val="18"/>
              </w:rPr>
              <w:t>期初股份总数</w:t>
            </w:r>
          </w:p>
        </w:tc>
        <w:tc>
          <w:tcPr>
            <w:tcW w:w="266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8"/>
                <w:szCs w:val="28"/>
              </w:rPr>
            </w:pPr>
          </w:p>
          <w:p>
            <w:pPr>
              <w:pStyle w:val="TableParagraph"/>
              <w:spacing w:line="240" w:lineRule="auto"/>
              <w:ind w:left="154"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0</w:t>
            </w:r>
            <w:r>
              <w:rPr>
                <w:rFonts w:ascii="Times New Roman"/>
                <w:sz w:val="12"/>
              </w:rPr>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106"/>
              <w:jc w:val="right"/>
              <w:rPr>
                <w:rFonts w:ascii="Times New Roman" w:hAnsi="Times New Roman" w:cs="Times New Roman" w:eastAsia="Times New Roman" w:hint="default"/>
                <w:sz w:val="18"/>
                <w:szCs w:val="18"/>
              </w:rPr>
            </w:pPr>
            <w:r>
              <w:rPr>
                <w:rFonts w:ascii="Times New Roman"/>
                <w:sz w:val="18"/>
              </w:rPr>
              <w:t>944,303,265</w:t>
            </w:r>
          </w:p>
        </w:tc>
      </w:tr>
      <w:tr>
        <w:trPr>
          <w:trHeight w:val="2940" w:hRule="exact"/>
        </w:trPr>
        <w:tc>
          <w:tcPr>
            <w:tcW w:w="4056" w:type="dxa"/>
            <w:tcBorders>
              <w:top w:val="nil" w:sz="6" w:space="0" w:color="auto"/>
              <w:left w:val="nil" w:sz="6" w:space="0" w:color="auto"/>
              <w:bottom w:val="nil" w:sz="6" w:space="0" w:color="auto"/>
              <w:right w:val="nil" w:sz="6" w:space="0" w:color="auto"/>
            </w:tcBorders>
          </w:tcPr>
          <w:p>
            <w:pPr>
              <w:pStyle w:val="TableParagraph"/>
              <w:spacing w:line="376" w:lineRule="auto" w:before="20"/>
              <w:ind w:left="121" w:right="152"/>
              <w:jc w:val="left"/>
              <w:rPr>
                <w:rFonts w:ascii="宋体" w:hAnsi="宋体" w:cs="宋体" w:eastAsia="宋体" w:hint="default"/>
                <w:sz w:val="18"/>
                <w:szCs w:val="18"/>
              </w:rPr>
            </w:pPr>
            <w:r>
              <w:rPr>
                <w:rFonts w:ascii="宋体" w:hAnsi="宋体" w:cs="宋体" w:eastAsia="宋体" w:hint="default"/>
                <w:sz w:val="18"/>
                <w:szCs w:val="18"/>
              </w:rPr>
              <w:t>因公积金转增股本或股票股利分配等增加股份数 发行新股或债转股等增加股份数 增加股份次月起至报告期期末的累计月数 因回购等减少股份数 减少股份次月起至报告期期末的累计月数 报告期缩股数</w:t>
            </w:r>
          </w:p>
          <w:p>
            <w:pPr>
              <w:pStyle w:val="TableParagraph"/>
              <w:spacing w:line="240" w:lineRule="auto" w:before="31"/>
              <w:ind w:left="121"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266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54"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1</w:t>
            </w:r>
            <w:r>
              <w:rPr>
                <w:rFonts w:ascii="Times New Roman"/>
                <w:sz w:val="12"/>
              </w:rPr>
            </w:r>
          </w:p>
          <w:p>
            <w:pPr>
              <w:pStyle w:val="TableParagraph"/>
              <w:spacing w:line="396" w:lineRule="auto" w:before="145"/>
              <w:ind w:left="154" w:right="2291"/>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i</w:t>
            </w:r>
            <w:r>
              <w:rPr>
                <w:rFonts w:ascii="Times New Roman"/>
                <w:position w:val="-2"/>
                <w:sz w:val="12"/>
              </w:rPr>
              <w:t> </w:t>
            </w:r>
            <w:r>
              <w:rPr>
                <w:rFonts w:ascii="Times New Roman"/>
                <w:sz w:val="18"/>
              </w:rPr>
              <w:t>M</w:t>
            </w:r>
            <w:r>
              <w:rPr>
                <w:rFonts w:ascii="Times New Roman"/>
                <w:position w:val="-2"/>
                <w:sz w:val="12"/>
              </w:rPr>
              <w:t>i</w:t>
            </w:r>
            <w:r>
              <w:rPr>
                <w:rFonts w:ascii="Times New Roman"/>
                <w:position w:val="-2"/>
                <w:sz w:val="12"/>
              </w:rPr>
              <w:t> </w:t>
            </w:r>
            <w:r>
              <w:rPr>
                <w:rFonts w:ascii="Times New Roman"/>
                <w:sz w:val="18"/>
              </w:rPr>
              <w:t>S</w:t>
            </w:r>
            <w:r>
              <w:rPr>
                <w:rFonts w:ascii="Times New Roman"/>
                <w:position w:val="-2"/>
                <w:sz w:val="12"/>
              </w:rPr>
              <w:t>j</w:t>
            </w:r>
            <w:r>
              <w:rPr>
                <w:rFonts w:ascii="Times New Roman"/>
                <w:position w:val="-2"/>
                <w:sz w:val="12"/>
              </w:rPr>
              <w:t> </w:t>
            </w:r>
            <w:r>
              <w:rPr>
                <w:rFonts w:ascii="Times New Roman"/>
                <w:sz w:val="18"/>
              </w:rPr>
              <w:t>M</w:t>
            </w:r>
            <w:r>
              <w:rPr>
                <w:rFonts w:ascii="Times New Roman"/>
                <w:position w:val="-2"/>
                <w:sz w:val="12"/>
              </w:rPr>
              <w:t>j</w:t>
            </w:r>
            <w:r>
              <w:rPr>
                <w:rFonts w:ascii="Times New Roman"/>
                <w:position w:val="-2"/>
                <w:sz w:val="12"/>
              </w:rPr>
              <w:t> </w:t>
            </w:r>
            <w:r>
              <w:rPr>
                <w:rFonts w:ascii="Times New Roman"/>
                <w:sz w:val="18"/>
              </w:rPr>
              <w:t>S</w:t>
            </w:r>
            <w:r>
              <w:rPr>
                <w:rFonts w:ascii="Times New Roman"/>
                <w:position w:val="-2"/>
                <w:sz w:val="12"/>
              </w:rPr>
              <w:t>k</w:t>
            </w:r>
            <w:r>
              <w:rPr>
                <w:rFonts w:ascii="Times New Roman"/>
                <w:position w:val="-2"/>
                <w:sz w:val="12"/>
              </w:rPr>
              <w:t> </w:t>
            </w:r>
            <w:r>
              <w:rPr>
                <w:rFonts w:ascii="Times New Roman"/>
                <w:sz w:val="18"/>
              </w:rPr>
              <w:t>M</w:t>
            </w:r>
            <w:r>
              <w:rPr>
                <w:rFonts w:ascii="Times New Roman"/>
                <w:position w:val="-2"/>
                <w:sz w:val="12"/>
              </w:rPr>
              <w:t>0</w:t>
            </w:r>
            <w:r>
              <w:rPr>
                <w:rFonts w:ascii="Times New Roman"/>
                <w:sz w:val="12"/>
              </w:rPr>
            </w:r>
          </w:p>
          <w:p>
            <w:pPr>
              <w:pStyle w:val="TableParagraph"/>
              <w:spacing w:line="202" w:lineRule="exact"/>
              <w:ind w:left="15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 S0  </w:t>
            </w:r>
            <w:r>
              <w:rPr>
                <w:rFonts w:ascii="宋体" w:hAnsi="宋体" w:cs="宋体" w:eastAsia="宋体" w:hint="default"/>
                <w:sz w:val="18"/>
                <w:szCs w:val="18"/>
              </w:rPr>
              <w:t>＋ </w:t>
            </w:r>
            <w:r>
              <w:rPr>
                <w:rFonts w:ascii="Times New Roman" w:hAnsi="Times New Roman" w:cs="Times New Roman" w:eastAsia="Times New Roman" w:hint="default"/>
                <w:sz w:val="18"/>
                <w:szCs w:val="18"/>
              </w:rPr>
              <w:t>S1</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w:t>
            </w:r>
          </w:p>
        </w:tc>
        <w:tc>
          <w:tcPr>
            <w:tcW w:w="1543" w:type="dxa"/>
            <w:tcBorders>
              <w:top w:val="nil" w:sz="6" w:space="0" w:color="auto"/>
              <w:left w:val="nil" w:sz="6" w:space="0" w:color="auto"/>
              <w:bottom w:val="nil" w:sz="6" w:space="0" w:color="auto"/>
              <w:right w:val="nil" w:sz="6" w:space="0" w:color="auto"/>
            </w:tcBorders>
          </w:tcPr>
          <w:p>
            <w:pPr/>
          </w:p>
        </w:tc>
      </w:tr>
      <w:tr>
        <w:trPr>
          <w:trHeight w:val="365" w:hRule="exact"/>
        </w:trPr>
        <w:tc>
          <w:tcPr>
            <w:tcW w:w="405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1" w:right="0"/>
              <w:jc w:val="left"/>
              <w:rPr>
                <w:rFonts w:ascii="宋体" w:hAnsi="宋体" w:cs="宋体" w:eastAsia="宋体" w:hint="default"/>
                <w:sz w:val="18"/>
                <w:szCs w:val="18"/>
              </w:rPr>
            </w:pPr>
            <w:r>
              <w:rPr>
                <w:rFonts w:ascii="宋体" w:hAnsi="宋体" w:cs="宋体" w:eastAsia="宋体" w:hint="default"/>
                <w:sz w:val="18"/>
                <w:szCs w:val="18"/>
              </w:rPr>
              <w:t>发行在外的普通股加权平均数</w:t>
            </w:r>
          </w:p>
        </w:tc>
        <w:tc>
          <w:tcPr>
            <w:tcW w:w="266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5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Si×Mi÷M0  </w:t>
            </w:r>
            <w:r>
              <w:rPr>
                <w:rFonts w:ascii="宋体" w:hAnsi="宋体" w:cs="宋体" w:eastAsia="宋体" w:hint="default"/>
                <w:sz w:val="18"/>
                <w:szCs w:val="18"/>
              </w:rPr>
              <w:t>－</w:t>
            </w:r>
            <w:r>
              <w:rPr>
                <w:rFonts w:ascii="宋体" w:hAnsi="宋体" w:cs="宋体" w:eastAsia="宋体" w:hint="default"/>
                <w:spacing w:val="-15"/>
                <w:sz w:val="18"/>
                <w:szCs w:val="18"/>
              </w:rPr>
              <w:t> </w:t>
            </w:r>
            <w:r>
              <w:rPr>
                <w:rFonts w:ascii="Times New Roman" w:hAnsi="Times New Roman" w:cs="Times New Roman" w:eastAsia="Times New Roman" w:hint="default"/>
                <w:sz w:val="18"/>
                <w:szCs w:val="18"/>
              </w:rPr>
              <w:t>Sj×Mj÷M0</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sz w:val="18"/>
              </w:rPr>
              <w:t>944,303,265</w:t>
            </w:r>
          </w:p>
        </w:tc>
      </w:tr>
      <w:tr>
        <w:trPr>
          <w:trHeight w:val="370" w:hRule="exact"/>
        </w:trPr>
        <w:tc>
          <w:tcPr>
            <w:tcW w:w="4056" w:type="dxa"/>
            <w:tcBorders>
              <w:top w:val="nil" w:sz="6" w:space="0" w:color="auto"/>
              <w:left w:val="nil" w:sz="6" w:space="0" w:color="auto"/>
              <w:bottom w:val="nil" w:sz="6" w:space="0" w:color="auto"/>
              <w:right w:val="nil" w:sz="6" w:space="0" w:color="auto"/>
            </w:tcBorders>
          </w:tcPr>
          <w:p>
            <w:pPr/>
          </w:p>
        </w:tc>
        <w:tc>
          <w:tcPr>
            <w:tcW w:w="26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54" w:right="0"/>
              <w:jc w:val="left"/>
              <w:rPr>
                <w:rFonts w:ascii="Times New Roman" w:hAnsi="Times New Roman" w:cs="Times New Roman" w:eastAsia="Times New Roman" w:hint="default"/>
                <w:sz w:val="12"/>
                <w:szCs w:val="12"/>
              </w:rPr>
            </w:pPr>
            <w:r>
              <w:rPr>
                <w:rFonts w:ascii="宋体" w:hAnsi="宋体" w:cs="宋体" w:eastAsia="宋体" w:hint="default"/>
                <w:sz w:val="18"/>
                <w:szCs w:val="18"/>
              </w:rPr>
              <w:t>－</w:t>
            </w:r>
            <w:r>
              <w:rPr>
                <w:rFonts w:ascii="Times New Roman" w:hAnsi="Times New Roman" w:cs="Times New Roman" w:eastAsia="Times New Roman" w:hint="default"/>
                <w:sz w:val="18"/>
                <w:szCs w:val="18"/>
              </w:rPr>
              <w:t>S</w:t>
            </w:r>
            <w:r>
              <w:rPr>
                <w:rFonts w:ascii="Times New Roman" w:hAnsi="Times New Roman" w:cs="Times New Roman" w:eastAsia="Times New Roman" w:hint="default"/>
                <w:position w:val="-2"/>
                <w:sz w:val="12"/>
                <w:szCs w:val="12"/>
              </w:rPr>
              <w:t>k</w:t>
            </w:r>
            <w:r>
              <w:rPr>
                <w:rFonts w:ascii="Times New Roman" w:hAnsi="Times New Roman" w:cs="Times New Roman" w:eastAsia="Times New Roman" w:hint="default"/>
                <w:sz w:val="12"/>
                <w:szCs w:val="12"/>
              </w:rPr>
            </w:r>
          </w:p>
        </w:tc>
        <w:tc>
          <w:tcPr>
            <w:tcW w:w="1543" w:type="dxa"/>
            <w:tcBorders>
              <w:top w:val="nil" w:sz="6" w:space="0" w:color="auto"/>
              <w:left w:val="nil" w:sz="6" w:space="0" w:color="auto"/>
              <w:bottom w:val="nil" w:sz="6" w:space="0" w:color="auto"/>
              <w:right w:val="nil" w:sz="6" w:space="0" w:color="auto"/>
            </w:tcBorders>
          </w:tcPr>
          <w:p>
            <w:pPr/>
          </w:p>
        </w:tc>
      </w:tr>
      <w:tr>
        <w:trPr>
          <w:trHeight w:val="375" w:hRule="exact"/>
        </w:trPr>
        <w:tc>
          <w:tcPr>
            <w:tcW w:w="405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1"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266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54" w:right="0"/>
              <w:jc w:val="left"/>
              <w:rPr>
                <w:rFonts w:ascii="Times New Roman" w:hAnsi="Times New Roman" w:cs="Times New Roman" w:eastAsia="Times New Roman" w:hint="default"/>
                <w:sz w:val="18"/>
                <w:szCs w:val="18"/>
              </w:rPr>
            </w:pPr>
            <w:r>
              <w:rPr>
                <w:rFonts w:ascii="Times New Roman"/>
                <w:sz w:val="18"/>
              </w:rPr>
              <w:t>EPS=P</w:t>
            </w:r>
            <w:r>
              <w:rPr>
                <w:rFonts w:ascii="Times New Roman"/>
                <w:position w:val="-2"/>
                <w:sz w:val="12"/>
              </w:rPr>
              <w:t>0</w:t>
            </w:r>
            <w:r>
              <w:rPr>
                <w:rFonts w:ascii="Times New Roman"/>
                <w:sz w:val="18"/>
              </w:rPr>
              <w:t>/S</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7"/>
              <w:jc w:val="right"/>
              <w:rPr>
                <w:rFonts w:ascii="Times New Roman" w:hAnsi="Times New Roman" w:cs="Times New Roman" w:eastAsia="Times New Roman" w:hint="default"/>
                <w:sz w:val="18"/>
                <w:szCs w:val="18"/>
              </w:rPr>
            </w:pPr>
            <w:r>
              <w:rPr>
                <w:rFonts w:ascii="Times New Roman"/>
                <w:spacing w:val="-1"/>
                <w:sz w:val="18"/>
              </w:rPr>
              <w:t>0.68</w:t>
            </w:r>
          </w:p>
        </w:tc>
      </w:tr>
      <w:tr>
        <w:trPr>
          <w:trHeight w:val="294" w:hRule="exact"/>
        </w:trPr>
        <w:tc>
          <w:tcPr>
            <w:tcW w:w="4056" w:type="dxa"/>
            <w:tcBorders>
              <w:top w:val="nil" w:sz="6" w:space="0" w:color="auto"/>
              <w:left w:val="nil" w:sz="6" w:space="0" w:color="auto"/>
              <w:bottom w:val="single" w:sz="8" w:space="0" w:color="000000"/>
              <w:right w:val="nil" w:sz="6" w:space="0" w:color="auto"/>
            </w:tcBorders>
          </w:tcPr>
          <w:p>
            <w:pPr>
              <w:pStyle w:val="TableParagraph"/>
              <w:spacing w:line="240" w:lineRule="auto" w:before="20"/>
              <w:ind w:left="121" w:right="0"/>
              <w:jc w:val="left"/>
              <w:rPr>
                <w:rFonts w:ascii="宋体" w:hAnsi="宋体" w:cs="宋体" w:eastAsia="宋体" w:hint="default"/>
                <w:sz w:val="18"/>
                <w:szCs w:val="18"/>
              </w:rPr>
            </w:pPr>
            <w:r>
              <w:rPr>
                <w:rFonts w:ascii="宋体" w:hAnsi="宋体" w:cs="宋体" w:eastAsia="宋体" w:hint="default"/>
                <w:sz w:val="18"/>
                <w:szCs w:val="18"/>
              </w:rPr>
              <w:t>扣除非经常损益基本每股收益</w:t>
            </w:r>
          </w:p>
        </w:tc>
        <w:tc>
          <w:tcPr>
            <w:tcW w:w="2668" w:type="dxa"/>
            <w:tcBorders>
              <w:top w:val="nil" w:sz="6" w:space="0" w:color="auto"/>
              <w:left w:val="nil" w:sz="6" w:space="0" w:color="auto"/>
              <w:bottom w:val="single" w:sz="8" w:space="0" w:color="000000"/>
              <w:right w:val="nil" w:sz="6" w:space="0" w:color="auto"/>
            </w:tcBorders>
          </w:tcPr>
          <w:p>
            <w:pPr>
              <w:pStyle w:val="TableParagraph"/>
              <w:spacing w:line="240" w:lineRule="auto" w:before="72"/>
              <w:ind w:left="154" w:right="0"/>
              <w:jc w:val="left"/>
              <w:rPr>
                <w:rFonts w:ascii="Times New Roman" w:hAnsi="Times New Roman" w:cs="Times New Roman" w:eastAsia="Times New Roman" w:hint="default"/>
                <w:sz w:val="18"/>
                <w:szCs w:val="18"/>
              </w:rPr>
            </w:pPr>
            <w:r>
              <w:rPr>
                <w:rFonts w:ascii="Times New Roman"/>
                <w:sz w:val="18"/>
              </w:rPr>
              <w:t>EPS</w:t>
            </w:r>
            <w:r>
              <w:rPr>
                <w:rFonts w:ascii="Times New Roman"/>
                <w:position w:val="-2"/>
                <w:sz w:val="12"/>
              </w:rPr>
              <w:t>1</w:t>
            </w:r>
            <w:r>
              <w:rPr>
                <w:rFonts w:ascii="Times New Roman"/>
                <w:sz w:val="18"/>
              </w:rPr>
              <w:t>=P</w:t>
            </w:r>
            <w:r>
              <w:rPr>
                <w:rFonts w:ascii="Times New Roman"/>
                <w:position w:val="-2"/>
                <w:sz w:val="12"/>
              </w:rPr>
              <w:t>1</w:t>
            </w:r>
            <w:r>
              <w:rPr>
                <w:rFonts w:ascii="Times New Roman"/>
                <w:sz w:val="18"/>
              </w:rPr>
              <w:t>/S</w:t>
            </w:r>
          </w:p>
        </w:tc>
        <w:tc>
          <w:tcPr>
            <w:tcW w:w="1543" w:type="dxa"/>
            <w:tcBorders>
              <w:top w:val="nil" w:sz="6" w:space="0" w:color="auto"/>
              <w:left w:val="nil" w:sz="6" w:space="0" w:color="auto"/>
              <w:bottom w:val="single" w:sz="8"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0.55</w:t>
            </w:r>
          </w:p>
        </w:tc>
      </w:tr>
    </w:tbl>
    <w:p>
      <w:pPr>
        <w:spacing w:line="240" w:lineRule="auto" w:before="2"/>
        <w:rPr>
          <w:rFonts w:ascii="宋体" w:hAnsi="宋体" w:cs="宋体" w:eastAsia="宋体" w:hint="default"/>
          <w:sz w:val="28"/>
          <w:szCs w:val="28"/>
        </w:rPr>
      </w:pPr>
    </w:p>
    <w:p>
      <w:pPr>
        <w:tabs>
          <w:tab w:pos="1393" w:val="left" w:leader="none"/>
        </w:tabs>
        <w:spacing w:before="35"/>
        <w:ind w:left="85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稀释每股收益的计算过程与基本每股收益的计算过程相同。</w:t>
      </w:r>
    </w:p>
    <w:p>
      <w:pPr>
        <w:spacing w:after="0"/>
        <w:jc w:val="left"/>
        <w:rPr>
          <w:rFonts w:ascii="宋体" w:hAnsi="宋体" w:cs="宋体" w:eastAsia="宋体" w:hint="default"/>
          <w:sz w:val="21"/>
          <w:szCs w:val="21"/>
        </w:rPr>
        <w:sectPr>
          <w:pgSz w:w="11900" w:h="16840"/>
          <w:pgMar w:header="0" w:footer="1003" w:top="1540" w:bottom="1200" w:left="1660" w:right="1100"/>
        </w:sectPr>
      </w:pPr>
    </w:p>
    <w:p>
      <w:pPr>
        <w:spacing w:line="240" w:lineRule="auto" w:before="10"/>
        <w:rPr>
          <w:rFonts w:ascii="宋体" w:hAnsi="宋体" w:cs="宋体" w:eastAsia="宋体" w:hint="default"/>
          <w:sz w:val="8"/>
          <w:szCs w:val="8"/>
        </w:rPr>
      </w:pPr>
    </w:p>
    <w:tbl>
      <w:tblPr>
        <w:tblW w:w="0" w:type="auto"/>
        <w:jc w:val="left"/>
        <w:tblInd w:w="1748" w:type="dxa"/>
        <w:tblLayout w:type="fixed"/>
        <w:tblCellMar>
          <w:top w:w="0" w:type="dxa"/>
          <w:left w:w="0" w:type="dxa"/>
          <w:bottom w:w="0" w:type="dxa"/>
          <w:right w:w="0" w:type="dxa"/>
        </w:tblCellMar>
        <w:tblLook w:val="01E0"/>
      </w:tblPr>
      <w:tblGrid>
        <w:gridCol w:w="6454"/>
        <w:gridCol w:w="1280"/>
        <w:gridCol w:w="1170"/>
      </w:tblGrid>
      <w:tr>
        <w:trPr>
          <w:trHeight w:val="352" w:hRule="exact"/>
        </w:trPr>
        <w:tc>
          <w:tcPr>
            <w:tcW w:w="6454" w:type="dxa"/>
            <w:tcBorders>
              <w:top w:val="nil" w:sz="6" w:space="0" w:color="auto"/>
              <w:left w:val="nil" w:sz="6" w:space="0" w:color="auto"/>
              <w:bottom w:val="single" w:sz="8"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四十七</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3"/>
                <w:sz w:val="21"/>
                <w:szCs w:val="21"/>
              </w:rPr>
              <w:t> </w:t>
            </w:r>
            <w:r>
              <w:rPr>
                <w:rFonts w:ascii="宋体" w:hAnsi="宋体" w:cs="宋体" w:eastAsia="宋体" w:hint="default"/>
                <w:sz w:val="21"/>
                <w:szCs w:val="21"/>
              </w:rPr>
              <w:t>其他综合收益</w:t>
            </w:r>
          </w:p>
        </w:tc>
        <w:tc>
          <w:tcPr>
            <w:tcW w:w="2450" w:type="dxa"/>
            <w:gridSpan w:val="2"/>
            <w:tcBorders>
              <w:top w:val="nil" w:sz="6" w:space="0" w:color="auto"/>
              <w:left w:val="nil" w:sz="6" w:space="0" w:color="auto"/>
              <w:bottom w:val="single" w:sz="8" w:space="0" w:color="000000"/>
              <w:right w:val="nil" w:sz="6" w:space="0" w:color="auto"/>
            </w:tcBorders>
          </w:tcPr>
          <w:p>
            <w:pPr/>
          </w:p>
        </w:tc>
      </w:tr>
      <w:tr>
        <w:trPr>
          <w:trHeight w:val="498" w:hRule="exact"/>
        </w:trPr>
        <w:tc>
          <w:tcPr>
            <w:tcW w:w="6454"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left="718" w:right="0"/>
              <w:jc w:val="center"/>
              <w:rPr>
                <w:rFonts w:ascii="宋体" w:hAnsi="宋体" w:cs="宋体" w:eastAsia="宋体" w:hint="default"/>
                <w:sz w:val="18"/>
                <w:szCs w:val="18"/>
              </w:rPr>
            </w:pPr>
            <w:r>
              <w:rPr>
                <w:rFonts w:ascii="宋体" w:hAnsi="宋体" w:cs="宋体" w:eastAsia="宋体" w:hint="default"/>
                <w:sz w:val="18"/>
                <w:szCs w:val="18"/>
              </w:rPr>
              <w:t>项    目 </w:t>
            </w:r>
          </w:p>
        </w:tc>
        <w:tc>
          <w:tcPr>
            <w:tcW w:w="1280"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left="13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170"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right="169"/>
              <w:jc w:val="righ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19"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6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可供出售金融资产产生的利得（损失）金额</w:t>
            </w:r>
          </w:p>
        </w:tc>
        <w:tc>
          <w:tcPr>
            <w:tcW w:w="1280"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98"/>
              <w:jc w:val="right"/>
              <w:rPr>
                <w:rFonts w:ascii="Times New Roman" w:hAnsi="Times New Roman" w:cs="Times New Roman" w:eastAsia="Times New Roman" w:hint="default"/>
                <w:sz w:val="18"/>
                <w:szCs w:val="18"/>
              </w:rPr>
            </w:pPr>
            <w:r>
              <w:rPr>
                <w:rFonts w:ascii="Times New Roman"/>
                <w:spacing w:val="-1"/>
                <w:sz w:val="18"/>
              </w:rPr>
              <w:t>-112,378,637</w:t>
            </w:r>
          </w:p>
        </w:tc>
      </w:tr>
      <w:tr>
        <w:trPr>
          <w:trHeight w:val="410"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65" w:right="0"/>
              <w:jc w:val="left"/>
              <w:rPr>
                <w:rFonts w:ascii="宋体" w:hAnsi="宋体" w:cs="宋体" w:eastAsia="宋体" w:hint="default"/>
                <w:sz w:val="18"/>
                <w:szCs w:val="18"/>
              </w:rPr>
            </w:pPr>
            <w:r>
              <w:rPr>
                <w:rFonts w:ascii="宋体" w:hAnsi="宋体" w:cs="宋体" w:eastAsia="宋体" w:hint="default"/>
                <w:sz w:val="18"/>
                <w:szCs w:val="18"/>
              </w:rPr>
              <w:t>减：可供出售金融资产产生的所得税影响</w:t>
            </w:r>
          </w:p>
        </w:tc>
        <w:tc>
          <w:tcPr>
            <w:tcW w:w="1280"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w w:val="95"/>
                <w:sz w:val="18"/>
              </w:rPr>
              <w:t>-19,402,647</w:t>
            </w:r>
            <w:r>
              <w:rPr>
                <w:rFonts w:ascii="Times New Roman"/>
                <w:sz w:val="18"/>
              </w:rPr>
            </w:r>
          </w:p>
        </w:tc>
      </w:tr>
      <w:tr>
        <w:trPr>
          <w:trHeight w:val="410"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125" w:right="0"/>
              <w:jc w:val="left"/>
              <w:rPr>
                <w:rFonts w:ascii="宋体" w:hAnsi="宋体" w:cs="宋体" w:eastAsia="宋体" w:hint="default"/>
                <w:sz w:val="18"/>
                <w:szCs w:val="18"/>
              </w:rPr>
            </w:pPr>
            <w:r>
              <w:rPr>
                <w:rFonts w:ascii="宋体" w:hAnsi="宋体" w:cs="宋体" w:eastAsia="宋体" w:hint="default"/>
                <w:sz w:val="18"/>
                <w:szCs w:val="18"/>
              </w:rPr>
              <w:t>前期计入其他综合收益当期转入损益的净额</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280" w:right="0"/>
              <w:jc w:val="left"/>
              <w:rPr>
                <w:rFonts w:ascii="Times New Roman" w:hAnsi="Times New Roman" w:cs="Times New Roman" w:eastAsia="Times New Roman" w:hint="default"/>
                <w:sz w:val="18"/>
                <w:szCs w:val="18"/>
              </w:rPr>
            </w:pPr>
            <w:r>
              <w:rPr>
                <w:rFonts w:ascii="Times New Roman"/>
                <w:sz w:val="18"/>
              </w:rPr>
              <w:t>45,825,312</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z w:val="18"/>
              </w:rPr>
              <w:t>37,775</w:t>
            </w:r>
          </w:p>
        </w:tc>
      </w:tr>
      <w:tr>
        <w:trPr>
          <w:trHeight w:val="410"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65" w:right="0"/>
              <w:jc w:val="left"/>
              <w:rPr>
                <w:rFonts w:ascii="宋体" w:hAnsi="宋体" w:cs="宋体" w:eastAsia="宋体" w:hint="default"/>
                <w:sz w:val="18"/>
                <w:szCs w:val="18"/>
              </w:rPr>
            </w:pPr>
            <w:r>
              <w:rPr>
                <w:rFonts w:ascii="宋体" w:hAnsi="宋体" w:cs="宋体" w:eastAsia="宋体" w:hint="default"/>
                <w:sz w:val="18"/>
                <w:szCs w:val="18"/>
              </w:rPr>
              <w:t>小    计 </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220" w:right="0"/>
              <w:jc w:val="left"/>
              <w:rPr>
                <w:rFonts w:ascii="Times New Roman" w:hAnsi="Times New Roman" w:cs="Times New Roman" w:eastAsia="Times New Roman" w:hint="default"/>
                <w:sz w:val="18"/>
                <w:szCs w:val="18"/>
              </w:rPr>
            </w:pPr>
            <w:r>
              <w:rPr>
                <w:rFonts w:ascii="Times New Roman"/>
                <w:sz w:val="18"/>
              </w:rPr>
              <w:t>-45,825,312</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w w:val="95"/>
                <w:sz w:val="18"/>
              </w:rPr>
              <w:t>-93,013,765</w:t>
            </w:r>
            <w:r>
              <w:rPr>
                <w:rFonts w:ascii="Times New Roman"/>
                <w:sz w:val="18"/>
              </w:rPr>
            </w:r>
          </w:p>
        </w:tc>
      </w:tr>
      <w:tr>
        <w:trPr>
          <w:trHeight w:val="410"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6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按照权益法核算的在被投资单位其他综合收益中所享有的份额</w:t>
            </w:r>
          </w:p>
        </w:tc>
        <w:tc>
          <w:tcPr>
            <w:tcW w:w="1280"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z w:val="18"/>
              </w:rPr>
              <w:t>400,260</w:t>
            </w:r>
          </w:p>
        </w:tc>
      </w:tr>
      <w:tr>
        <w:trPr>
          <w:trHeight w:val="395"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65" w:right="0"/>
              <w:jc w:val="left"/>
              <w:rPr>
                <w:rFonts w:ascii="宋体" w:hAnsi="宋体" w:cs="宋体" w:eastAsia="宋体" w:hint="default"/>
                <w:sz w:val="18"/>
                <w:szCs w:val="18"/>
              </w:rPr>
            </w:pPr>
            <w:r>
              <w:rPr>
                <w:rFonts w:ascii="宋体" w:hAnsi="宋体" w:cs="宋体" w:eastAsia="宋体" w:hint="default"/>
                <w:sz w:val="18"/>
                <w:szCs w:val="18"/>
              </w:rPr>
              <w:t>减：按照权益法核算的在被投资单位其他综合收益中所享有的份额产生</w:t>
            </w:r>
          </w:p>
        </w:tc>
        <w:tc>
          <w:tcPr>
            <w:tcW w:w="1280"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
        </w:tc>
      </w:tr>
      <w:tr>
        <w:trPr>
          <w:trHeight w:val="815"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765" w:right="0"/>
              <w:jc w:val="left"/>
              <w:rPr>
                <w:rFonts w:ascii="宋体" w:hAnsi="宋体" w:cs="宋体" w:eastAsia="宋体" w:hint="default"/>
                <w:sz w:val="18"/>
                <w:szCs w:val="18"/>
              </w:rPr>
            </w:pPr>
            <w:r>
              <w:rPr>
                <w:rFonts w:ascii="宋体" w:hAnsi="宋体" w:cs="宋体" w:eastAsia="宋体" w:hint="default"/>
                <w:sz w:val="18"/>
                <w:szCs w:val="18"/>
              </w:rPr>
              <w:t>的所得税影响</w:t>
            </w: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125" w:right="0"/>
              <w:jc w:val="left"/>
              <w:rPr>
                <w:rFonts w:ascii="宋体" w:hAnsi="宋体" w:cs="宋体" w:eastAsia="宋体" w:hint="default"/>
                <w:sz w:val="18"/>
                <w:szCs w:val="18"/>
              </w:rPr>
            </w:pPr>
            <w:r>
              <w:rPr>
                <w:rFonts w:ascii="宋体" w:hAnsi="宋体" w:cs="宋体" w:eastAsia="宋体" w:hint="default"/>
                <w:sz w:val="18"/>
                <w:szCs w:val="18"/>
              </w:rPr>
              <w:t>前期计入其他综合收益当期转入损益的净额</w:t>
            </w:r>
          </w:p>
        </w:tc>
        <w:tc>
          <w:tcPr>
            <w:tcW w:w="1280"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
        </w:tc>
      </w:tr>
      <w:tr>
        <w:trPr>
          <w:trHeight w:val="420"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65" w:right="0"/>
              <w:jc w:val="left"/>
              <w:rPr>
                <w:rFonts w:ascii="宋体" w:hAnsi="宋体" w:cs="宋体" w:eastAsia="宋体" w:hint="default"/>
                <w:sz w:val="18"/>
                <w:szCs w:val="18"/>
              </w:rPr>
            </w:pPr>
            <w:r>
              <w:rPr>
                <w:rFonts w:ascii="宋体" w:hAnsi="宋体" w:cs="宋体" w:eastAsia="宋体" w:hint="default"/>
                <w:sz w:val="18"/>
                <w:szCs w:val="18"/>
              </w:rPr>
              <w:t>小    计 </w:t>
            </w:r>
          </w:p>
        </w:tc>
        <w:tc>
          <w:tcPr>
            <w:tcW w:w="1280"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98"/>
              <w:jc w:val="right"/>
              <w:rPr>
                <w:rFonts w:ascii="Times New Roman" w:hAnsi="Times New Roman" w:cs="Times New Roman" w:eastAsia="Times New Roman" w:hint="default"/>
                <w:sz w:val="18"/>
                <w:szCs w:val="18"/>
              </w:rPr>
            </w:pPr>
            <w:r>
              <w:rPr>
                <w:rFonts w:ascii="Times New Roman"/>
                <w:sz w:val="18"/>
              </w:rPr>
              <w:t>400,260</w:t>
            </w:r>
          </w:p>
        </w:tc>
      </w:tr>
      <w:tr>
        <w:trPr>
          <w:trHeight w:val="405"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6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现金流量套期工具产生的利得（或损失）金额</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96"/>
              <w:jc w:val="right"/>
              <w:rPr>
                <w:rFonts w:ascii="宋体" w:hAnsi="宋体" w:cs="宋体" w:eastAsia="宋体" w:hint="default"/>
                <w:sz w:val="18"/>
                <w:szCs w:val="18"/>
              </w:rPr>
            </w:pPr>
            <w:r>
              <w:rPr>
                <w:rFonts w:ascii="宋体"/>
                <w:sz w:val="18"/>
              </w:rPr>
              <w:t> </w:t>
            </w:r>
          </w:p>
        </w:tc>
        <w:tc>
          <w:tcPr>
            <w:tcW w:w="1170" w:type="dxa"/>
            <w:tcBorders>
              <w:top w:val="nil" w:sz="6" w:space="0" w:color="auto"/>
              <w:left w:val="nil" w:sz="6" w:space="0" w:color="auto"/>
              <w:bottom w:val="nil" w:sz="6" w:space="0" w:color="auto"/>
              <w:right w:val="nil" w:sz="6" w:space="0" w:color="auto"/>
            </w:tcBorders>
          </w:tcPr>
          <w:p>
            <w:pPr/>
          </w:p>
        </w:tc>
      </w:tr>
      <w:tr>
        <w:trPr>
          <w:trHeight w:val="410"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765" w:right="0"/>
              <w:jc w:val="left"/>
              <w:rPr>
                <w:rFonts w:ascii="宋体" w:hAnsi="宋体" w:cs="宋体" w:eastAsia="宋体" w:hint="default"/>
                <w:sz w:val="18"/>
                <w:szCs w:val="18"/>
              </w:rPr>
            </w:pPr>
            <w:r>
              <w:rPr>
                <w:rFonts w:ascii="宋体" w:hAnsi="宋体" w:cs="宋体" w:eastAsia="宋体" w:hint="default"/>
                <w:sz w:val="18"/>
                <w:szCs w:val="18"/>
              </w:rPr>
              <w:t>减：现金流量套期工具产生的所得税影响</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96"/>
              <w:jc w:val="right"/>
              <w:rPr>
                <w:rFonts w:ascii="宋体" w:hAnsi="宋体" w:cs="宋体" w:eastAsia="宋体" w:hint="default"/>
                <w:sz w:val="18"/>
                <w:szCs w:val="18"/>
              </w:rPr>
            </w:pPr>
            <w:r>
              <w:rPr>
                <w:rFonts w:ascii="宋体"/>
                <w:sz w:val="18"/>
              </w:rPr>
              <w:t> </w:t>
            </w:r>
          </w:p>
        </w:tc>
        <w:tc>
          <w:tcPr>
            <w:tcW w:w="1170" w:type="dxa"/>
            <w:tcBorders>
              <w:top w:val="nil" w:sz="6" w:space="0" w:color="auto"/>
              <w:left w:val="nil" w:sz="6" w:space="0" w:color="auto"/>
              <w:bottom w:val="nil" w:sz="6" w:space="0" w:color="auto"/>
              <w:right w:val="nil" w:sz="6" w:space="0" w:color="auto"/>
            </w:tcBorders>
          </w:tcPr>
          <w:p>
            <w:pPr/>
          </w:p>
        </w:tc>
      </w:tr>
      <w:tr>
        <w:trPr>
          <w:trHeight w:val="410"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125" w:right="0"/>
              <w:jc w:val="left"/>
              <w:rPr>
                <w:rFonts w:ascii="宋体" w:hAnsi="宋体" w:cs="宋体" w:eastAsia="宋体" w:hint="default"/>
                <w:sz w:val="18"/>
                <w:szCs w:val="18"/>
              </w:rPr>
            </w:pPr>
            <w:r>
              <w:rPr>
                <w:rFonts w:ascii="宋体" w:hAnsi="宋体" w:cs="宋体" w:eastAsia="宋体" w:hint="default"/>
                <w:sz w:val="18"/>
                <w:szCs w:val="18"/>
              </w:rPr>
              <w:t>前期计入其他综合收益当期转入损益的净额</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96"/>
              <w:jc w:val="right"/>
              <w:rPr>
                <w:rFonts w:ascii="宋体" w:hAnsi="宋体" w:cs="宋体" w:eastAsia="宋体" w:hint="default"/>
                <w:sz w:val="18"/>
                <w:szCs w:val="18"/>
              </w:rPr>
            </w:pPr>
            <w:r>
              <w:rPr>
                <w:rFonts w:ascii="宋体"/>
                <w:sz w:val="18"/>
              </w:rPr>
              <w:t> </w:t>
            </w:r>
          </w:p>
        </w:tc>
        <w:tc>
          <w:tcPr>
            <w:tcW w:w="1170" w:type="dxa"/>
            <w:tcBorders>
              <w:top w:val="nil" w:sz="6" w:space="0" w:color="auto"/>
              <w:left w:val="nil" w:sz="6" w:space="0" w:color="auto"/>
              <w:bottom w:val="nil" w:sz="6" w:space="0" w:color="auto"/>
              <w:right w:val="nil" w:sz="6" w:space="0" w:color="auto"/>
            </w:tcBorders>
          </w:tcPr>
          <w:p>
            <w:pPr/>
          </w:p>
        </w:tc>
      </w:tr>
      <w:tr>
        <w:trPr>
          <w:trHeight w:val="410"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125" w:right="0"/>
              <w:jc w:val="left"/>
              <w:rPr>
                <w:rFonts w:ascii="宋体" w:hAnsi="宋体" w:cs="宋体" w:eastAsia="宋体" w:hint="default"/>
                <w:sz w:val="18"/>
                <w:szCs w:val="18"/>
              </w:rPr>
            </w:pPr>
            <w:r>
              <w:rPr>
                <w:rFonts w:ascii="宋体" w:hAnsi="宋体" w:cs="宋体" w:eastAsia="宋体" w:hint="default"/>
                <w:sz w:val="18"/>
                <w:szCs w:val="18"/>
              </w:rPr>
              <w:t>转为被套期项目初始确认金额的调整</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96"/>
              <w:jc w:val="right"/>
              <w:rPr>
                <w:rFonts w:ascii="宋体" w:hAnsi="宋体" w:cs="宋体" w:eastAsia="宋体" w:hint="default"/>
                <w:sz w:val="18"/>
                <w:szCs w:val="18"/>
              </w:rPr>
            </w:pPr>
            <w:r>
              <w:rPr>
                <w:rFonts w:ascii="宋体"/>
                <w:sz w:val="18"/>
              </w:rPr>
              <w:t> </w:t>
            </w:r>
          </w:p>
        </w:tc>
        <w:tc>
          <w:tcPr>
            <w:tcW w:w="1170" w:type="dxa"/>
            <w:tcBorders>
              <w:top w:val="nil" w:sz="6" w:space="0" w:color="auto"/>
              <w:left w:val="nil" w:sz="6" w:space="0" w:color="auto"/>
              <w:bottom w:val="nil" w:sz="6" w:space="0" w:color="auto"/>
              <w:right w:val="nil" w:sz="6" w:space="0" w:color="auto"/>
            </w:tcBorders>
          </w:tcPr>
          <w:p>
            <w:pPr/>
          </w:p>
        </w:tc>
      </w:tr>
      <w:tr>
        <w:trPr>
          <w:trHeight w:val="410"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765" w:right="0"/>
              <w:jc w:val="left"/>
              <w:rPr>
                <w:rFonts w:ascii="宋体" w:hAnsi="宋体" w:cs="宋体" w:eastAsia="宋体" w:hint="default"/>
                <w:sz w:val="18"/>
                <w:szCs w:val="18"/>
              </w:rPr>
            </w:pPr>
            <w:r>
              <w:rPr>
                <w:rFonts w:ascii="宋体" w:hAnsi="宋体" w:cs="宋体" w:eastAsia="宋体" w:hint="default"/>
                <w:sz w:val="18"/>
                <w:szCs w:val="18"/>
              </w:rPr>
              <w:t>小    计 </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96"/>
              <w:jc w:val="right"/>
              <w:rPr>
                <w:rFonts w:ascii="宋体" w:hAnsi="宋体" w:cs="宋体" w:eastAsia="宋体" w:hint="default"/>
                <w:sz w:val="18"/>
                <w:szCs w:val="18"/>
              </w:rPr>
            </w:pPr>
            <w:r>
              <w:rPr>
                <w:rFonts w:ascii="宋体"/>
                <w:sz w:val="18"/>
              </w:rPr>
              <w:t> </w:t>
            </w:r>
          </w:p>
        </w:tc>
        <w:tc>
          <w:tcPr>
            <w:tcW w:w="1170" w:type="dxa"/>
            <w:tcBorders>
              <w:top w:val="nil" w:sz="6" w:space="0" w:color="auto"/>
              <w:left w:val="nil" w:sz="6" w:space="0" w:color="auto"/>
              <w:bottom w:val="nil" w:sz="6" w:space="0" w:color="auto"/>
              <w:right w:val="nil" w:sz="6" w:space="0" w:color="auto"/>
            </w:tcBorders>
          </w:tcPr>
          <w:p>
            <w:pPr/>
          </w:p>
        </w:tc>
      </w:tr>
      <w:tr>
        <w:trPr>
          <w:trHeight w:val="415"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76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外币财务报表折算差额</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310" w:right="0"/>
              <w:jc w:val="left"/>
              <w:rPr>
                <w:rFonts w:ascii="Times New Roman" w:hAnsi="Times New Roman" w:cs="Times New Roman" w:eastAsia="Times New Roman" w:hint="default"/>
                <w:sz w:val="18"/>
                <w:szCs w:val="18"/>
              </w:rPr>
            </w:pPr>
            <w:r>
              <w:rPr>
                <w:rFonts w:ascii="Times New Roman"/>
                <w:sz w:val="18"/>
              </w:rPr>
              <w:t>-4,847,669</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98"/>
              <w:jc w:val="right"/>
              <w:rPr>
                <w:rFonts w:ascii="Times New Roman" w:hAnsi="Times New Roman" w:cs="Times New Roman" w:eastAsia="Times New Roman" w:hint="default"/>
                <w:sz w:val="18"/>
                <w:szCs w:val="18"/>
              </w:rPr>
            </w:pPr>
            <w:r>
              <w:rPr>
                <w:rFonts w:ascii="Times New Roman"/>
                <w:sz w:val="18"/>
              </w:rPr>
              <w:t>1,792,202</w:t>
            </w:r>
          </w:p>
        </w:tc>
      </w:tr>
      <w:tr>
        <w:trPr>
          <w:trHeight w:val="410"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65" w:right="0"/>
              <w:jc w:val="left"/>
              <w:rPr>
                <w:rFonts w:ascii="宋体" w:hAnsi="宋体" w:cs="宋体" w:eastAsia="宋体" w:hint="default"/>
                <w:sz w:val="18"/>
                <w:szCs w:val="18"/>
              </w:rPr>
            </w:pPr>
            <w:r>
              <w:rPr>
                <w:rFonts w:ascii="宋体" w:hAnsi="宋体" w:cs="宋体" w:eastAsia="宋体" w:hint="default"/>
                <w:sz w:val="18"/>
                <w:szCs w:val="18"/>
              </w:rPr>
              <w:t>减：处置境外经营当期转入损益的净额</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445" w:right="0"/>
              <w:jc w:val="left"/>
              <w:rPr>
                <w:rFonts w:ascii="Times New Roman" w:hAnsi="Times New Roman" w:cs="Times New Roman" w:eastAsia="Times New Roman" w:hint="default"/>
                <w:sz w:val="18"/>
                <w:szCs w:val="18"/>
              </w:rPr>
            </w:pPr>
            <w:r>
              <w:rPr>
                <w:rFonts w:ascii="Times New Roman"/>
                <w:sz w:val="18"/>
              </w:rPr>
              <w:t>-127,465</w:t>
            </w:r>
          </w:p>
        </w:tc>
        <w:tc>
          <w:tcPr>
            <w:tcW w:w="1170" w:type="dxa"/>
            <w:tcBorders>
              <w:top w:val="nil" w:sz="6" w:space="0" w:color="auto"/>
              <w:left w:val="nil" w:sz="6" w:space="0" w:color="auto"/>
              <w:bottom w:val="nil" w:sz="6" w:space="0" w:color="auto"/>
              <w:right w:val="nil" w:sz="6" w:space="0" w:color="auto"/>
            </w:tcBorders>
          </w:tcPr>
          <w:p>
            <w:pPr/>
          </w:p>
        </w:tc>
      </w:tr>
      <w:tr>
        <w:trPr>
          <w:trHeight w:val="410"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65" w:right="0"/>
              <w:jc w:val="left"/>
              <w:rPr>
                <w:rFonts w:ascii="宋体" w:hAnsi="宋体" w:cs="宋体" w:eastAsia="宋体" w:hint="default"/>
                <w:sz w:val="18"/>
                <w:szCs w:val="18"/>
              </w:rPr>
            </w:pPr>
            <w:r>
              <w:rPr>
                <w:rFonts w:ascii="宋体" w:hAnsi="宋体" w:cs="宋体" w:eastAsia="宋体" w:hint="default"/>
                <w:sz w:val="18"/>
                <w:szCs w:val="18"/>
              </w:rPr>
              <w:t>小    计 </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10" w:right="0"/>
              <w:jc w:val="left"/>
              <w:rPr>
                <w:rFonts w:ascii="Times New Roman" w:hAnsi="Times New Roman" w:cs="Times New Roman" w:eastAsia="Times New Roman" w:hint="default"/>
                <w:sz w:val="18"/>
                <w:szCs w:val="18"/>
              </w:rPr>
            </w:pPr>
            <w:r>
              <w:rPr>
                <w:rFonts w:ascii="Times New Roman"/>
                <w:sz w:val="18"/>
              </w:rPr>
              <w:t>-4,720,204</w:t>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z w:val="18"/>
              </w:rPr>
              <w:t>1,792,202</w:t>
            </w:r>
          </w:p>
        </w:tc>
      </w:tr>
      <w:tr>
        <w:trPr>
          <w:trHeight w:val="405"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6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    他 </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96"/>
              <w:jc w:val="right"/>
              <w:rPr>
                <w:rFonts w:ascii="宋体" w:hAnsi="宋体" w:cs="宋体" w:eastAsia="宋体" w:hint="default"/>
                <w:sz w:val="18"/>
                <w:szCs w:val="18"/>
              </w:rPr>
            </w:pPr>
            <w:r>
              <w:rPr>
                <w:rFonts w:ascii="宋体"/>
                <w:sz w:val="18"/>
              </w:rPr>
              <w:t> </w:t>
            </w:r>
          </w:p>
        </w:tc>
        <w:tc>
          <w:tcPr>
            <w:tcW w:w="1170" w:type="dxa"/>
            <w:tcBorders>
              <w:top w:val="nil" w:sz="6" w:space="0" w:color="auto"/>
              <w:left w:val="nil" w:sz="6" w:space="0" w:color="auto"/>
              <w:bottom w:val="nil" w:sz="6" w:space="0" w:color="auto"/>
              <w:right w:val="nil" w:sz="6" w:space="0" w:color="auto"/>
            </w:tcBorders>
          </w:tcPr>
          <w:p>
            <w:pPr/>
          </w:p>
        </w:tc>
      </w:tr>
      <w:tr>
        <w:trPr>
          <w:trHeight w:val="410"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765" w:right="0"/>
              <w:jc w:val="left"/>
              <w:rPr>
                <w:rFonts w:ascii="宋体" w:hAnsi="宋体" w:cs="宋体" w:eastAsia="宋体" w:hint="default"/>
                <w:sz w:val="18"/>
                <w:szCs w:val="18"/>
              </w:rPr>
            </w:pPr>
            <w:r>
              <w:rPr>
                <w:rFonts w:ascii="宋体" w:hAnsi="宋体" w:cs="宋体" w:eastAsia="宋体" w:hint="default"/>
                <w:sz w:val="18"/>
                <w:szCs w:val="18"/>
              </w:rPr>
              <w:t>减：由其他计入其他综合收益产生的所得税影响</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96"/>
              <w:jc w:val="right"/>
              <w:rPr>
                <w:rFonts w:ascii="宋体" w:hAnsi="宋体" w:cs="宋体" w:eastAsia="宋体" w:hint="default"/>
                <w:sz w:val="18"/>
                <w:szCs w:val="18"/>
              </w:rPr>
            </w:pPr>
            <w:r>
              <w:rPr>
                <w:rFonts w:ascii="宋体"/>
                <w:sz w:val="18"/>
              </w:rPr>
              <w:t> </w:t>
            </w:r>
          </w:p>
        </w:tc>
        <w:tc>
          <w:tcPr>
            <w:tcW w:w="1170" w:type="dxa"/>
            <w:tcBorders>
              <w:top w:val="nil" w:sz="6" w:space="0" w:color="auto"/>
              <w:left w:val="nil" w:sz="6" w:space="0" w:color="auto"/>
              <w:bottom w:val="nil" w:sz="6" w:space="0" w:color="auto"/>
              <w:right w:val="nil" w:sz="6" w:space="0" w:color="auto"/>
            </w:tcBorders>
          </w:tcPr>
          <w:p>
            <w:pPr/>
          </w:p>
        </w:tc>
      </w:tr>
      <w:tr>
        <w:trPr>
          <w:trHeight w:val="400" w:hRule="exact"/>
        </w:trPr>
        <w:tc>
          <w:tcPr>
            <w:tcW w:w="645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125" w:right="0"/>
              <w:jc w:val="left"/>
              <w:rPr>
                <w:rFonts w:ascii="宋体" w:hAnsi="宋体" w:cs="宋体" w:eastAsia="宋体" w:hint="default"/>
                <w:sz w:val="18"/>
                <w:szCs w:val="18"/>
              </w:rPr>
            </w:pPr>
            <w:r>
              <w:rPr>
                <w:rFonts w:ascii="宋体" w:hAnsi="宋体" w:cs="宋体" w:eastAsia="宋体" w:hint="default"/>
                <w:sz w:val="18"/>
                <w:szCs w:val="18"/>
              </w:rPr>
              <w:t>前期其他计入其他综合收益当期转入损益的净额</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96"/>
              <w:jc w:val="right"/>
              <w:rPr>
                <w:rFonts w:ascii="宋体" w:hAnsi="宋体" w:cs="宋体" w:eastAsia="宋体" w:hint="default"/>
                <w:sz w:val="18"/>
                <w:szCs w:val="18"/>
              </w:rPr>
            </w:pPr>
            <w:r>
              <w:rPr>
                <w:rFonts w:ascii="宋体"/>
                <w:sz w:val="18"/>
              </w:rPr>
              <w:t> </w:t>
            </w:r>
          </w:p>
        </w:tc>
        <w:tc>
          <w:tcPr>
            <w:tcW w:w="1170"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spacing w:before="0"/>
        <w:ind w:left="1783" w:right="4512" w:firstLine="0"/>
        <w:jc w:val="left"/>
        <w:rPr>
          <w:rFonts w:ascii="宋体" w:hAnsi="宋体" w:cs="宋体" w:eastAsia="宋体" w:hint="default"/>
          <w:sz w:val="21"/>
          <w:szCs w:val="21"/>
        </w:rPr>
      </w:pPr>
      <w:r>
        <w:rPr/>
        <w:pict>
          <v:group style="position:absolute;margin-left:119.160004pt;margin-top:-496.176361pt;width:414.3pt;height:471.55pt;mso-position-horizontal-relative:page;mso-position-vertical-relative:paragraph;z-index:-978352" coordorigin="2383,-9924" coordsize="8286,9431">
            <v:group style="position:absolute;left:2393;top:-502;width:5780;height:2" coordorigin="2393,-502" coordsize="5780,2">
              <v:shape style="position:absolute;left:2393;top:-502;width:5780;height:2" coordorigin="2393,-502" coordsize="5780,0" path="m2393,-502l8172,-502e" filled="false" stroked="true" strokeweight=".95999pt" strokecolor="#000000">
                <v:path arrowok="t"/>
              </v:shape>
            </v:group>
            <v:group style="position:absolute;left:8172;top:-502;width:1226;height:2" coordorigin="8172,-502" coordsize="1226,2">
              <v:shape style="position:absolute;left:8172;top:-502;width:1226;height:2" coordorigin="8172,-502" coordsize="1226,0" path="m8172,-502l9397,-502e" filled="false" stroked="true" strokeweight=".95999pt" strokecolor="#000000">
                <v:path arrowok="t"/>
              </v:shape>
              <v:shape style="position:absolute;left:2407;top:-9924;width:8257;height:9412" type="#_x0000_t75" stroked="false">
                <v:imagedata r:id="rId132" o:title=""/>
              </v:shape>
            </v:group>
            <v:group style="position:absolute;left:9397;top:-502;width:1263;height:2" coordorigin="9397,-502" coordsize="1263,2">
              <v:shape style="position:absolute;left:9397;top:-502;width:1263;height:2" coordorigin="9397,-502" coordsize="1263,0" path="m9397,-502l10660,-502e" filled="false" stroked="true" strokeweight=".95999pt" strokecolor="#000000">
                <v:path arrowok="t"/>
              </v:shape>
              <v:shape style="position:absolute;left:2514;top:-1131;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    计 </w:t>
                      </w:r>
                    </w:p>
                  </w:txbxContent>
                </v:textbox>
                <w10:wrap type="none"/>
              </v:shape>
              <v:shape style="position:absolute;left:4930;top:-722;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 </w:t>
                      </w:r>
                    </w:p>
                  </w:txbxContent>
                </v:textbox>
                <w10:wrap type="none"/>
              </v:shape>
              <v:shape style="position:absolute;left:8423;top:-702;width:87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-50,545,516</w:t>
                      </w:r>
                    </w:p>
                  </w:txbxContent>
                </v:textbox>
                <w10:wrap type="none"/>
              </v:shape>
              <v:shape style="position:absolute;left:9680;top:-702;width:87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-90,821,303</w:t>
                      </w:r>
                    </w:p>
                  </w:txbxContent>
                </v:textbox>
                <w10:wrap type="non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四十八</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4"/>
          <w:sz w:val="21"/>
          <w:szCs w:val="21"/>
        </w:rPr>
        <w:t> </w:t>
      </w:r>
      <w:r>
        <w:rPr>
          <w:rFonts w:ascii="宋体" w:hAnsi="宋体" w:cs="宋体" w:eastAsia="宋体" w:hint="default"/>
          <w:sz w:val="21"/>
          <w:szCs w:val="21"/>
        </w:rPr>
        <w:t>现金流量表附注</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3053" w:val="left" w:leader="none"/>
        </w:tabs>
        <w:spacing w:before="0"/>
        <w:ind w:left="2515" w:right="451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收到的其他与经营活动有关的现金</w:t>
      </w:r>
    </w:p>
    <w:p>
      <w:pPr>
        <w:spacing w:line="2079" w:lineRule="exact"/>
        <w:ind w:left="2383"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12.9pt;height:104pt;mso-position-horizontal-relative:char;mso-position-vertical-relative:line" coordorigin="0,0" coordsize="8258,2080">
            <v:group style="position:absolute;left:24;top:10;width:5055;height:2" coordorigin="24,10" coordsize="5055,2">
              <v:shape style="position:absolute;left:24;top:10;width:5055;height:2" coordorigin="24,10" coordsize="5055,0" path="m24,10l5078,10e" filled="false" stroked="true" strokeweight=".95999pt" strokecolor="#000000">
                <v:path arrowok="t"/>
              </v:shape>
            </v:group>
            <v:group style="position:absolute;left:5078;top:10;width:3162;height:2" coordorigin="5078,10" coordsize="3162,2">
              <v:shape style="position:absolute;left:5078;top:10;width:3162;height:2" coordorigin="5078,10" coordsize="3162,0" path="m5078,10l8240,10e" filled="false" stroked="true" strokeweight=".95999pt" strokecolor="#000000">
                <v:path arrowok="t"/>
              </v:shape>
            </v:group>
            <v:group style="position:absolute;left:10;top:2070;width:5069;height:2" coordorigin="10,2070" coordsize="5069,2">
              <v:shape style="position:absolute;left:10;top:2070;width:5069;height:2" coordorigin="10,2070" coordsize="5069,0" path="m10,2070l5078,2070e" filled="false" stroked="true" strokeweight=".96002pt" strokecolor="#000000">
                <v:path arrowok="t"/>
              </v:shape>
              <v:shape style="position:absolute;left:24;top:19;width:8227;height:2041" type="#_x0000_t75" stroked="false">
                <v:imagedata r:id="rId133" o:title=""/>
              </v:shape>
            </v:group>
            <v:group style="position:absolute;left:5078;top:2070;width:3170;height:2" coordorigin="5078,2070" coordsize="3170,2">
              <v:shape style="position:absolute;left:5078;top:2070;width:3170;height:2" coordorigin="5078,2070" coordsize="3170,0" path="m5078,2070l8248,2070e" filled="false" stroked="true" strokeweight=".96002pt" strokecolor="#000000">
                <v:path arrowok="t"/>
              </v:shape>
              <v:shape style="position:absolute;left:2132;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    目</w:t>
                      </w:r>
                    </w:p>
                  </w:txbxContent>
                </v:textbox>
                <w10:wrap type="none"/>
              </v:shape>
              <v:shape style="position:absolute;left:6245;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本期金额</w:t>
                      </w:r>
                    </w:p>
                  </w:txbxContent>
                </v:textbox>
                <w10:wrap type="none"/>
              </v:shape>
              <v:shape style="position:absolute;left:131;top:588;width:1260;height:103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利息收入</w:t>
                      </w:r>
                    </w:p>
                    <w:p>
                      <w:pPr>
                        <w:spacing w:line="410" w:lineRule="atLeas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科研项目拨款 其他往来</w:t>
                      </w:r>
                    </w:p>
                  </w:txbxContent>
                </v:textbox>
                <w10:wrap type="none"/>
              </v:shape>
              <v:shape style="position:absolute;left:2132;top:181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    计</w:t>
                      </w:r>
                    </w:p>
                  </w:txbxContent>
                </v:textbox>
                <w10:wrap type="none"/>
              </v:shape>
              <v:shape style="position:absolute;left:7090;top:613;width:1051;height:1440" type="#_x0000_t202" filled="false" stroked="false">
                <v:textbox inset="0,0,0,0">
                  <w:txbxContent>
                    <w:p>
                      <w:pPr>
                        <w:spacing w:line="214" w:lineRule="exact" w:before="0"/>
                        <w:ind w:left="119" w:right="0" w:firstLine="0"/>
                        <w:jc w:val="center"/>
                        <w:rPr>
                          <w:rFonts w:ascii="Times New Roman" w:hAnsi="Times New Roman" w:cs="Times New Roman" w:eastAsia="Times New Roman" w:hint="default"/>
                          <w:sz w:val="21"/>
                          <w:szCs w:val="21"/>
                        </w:rPr>
                      </w:pPr>
                      <w:r>
                        <w:rPr>
                          <w:rFonts w:ascii="Times New Roman"/>
                          <w:spacing w:val="-2"/>
                          <w:sz w:val="21"/>
                        </w:rPr>
                        <w:t>15,111,718</w:t>
                      </w:r>
                    </w:p>
                    <w:p>
                      <w:pPr>
                        <w:spacing w:before="169"/>
                        <w:ind w:left="104" w:right="0" w:firstLine="0"/>
                        <w:jc w:val="center"/>
                        <w:rPr>
                          <w:rFonts w:ascii="Times New Roman" w:hAnsi="Times New Roman" w:cs="Times New Roman" w:eastAsia="Times New Roman" w:hint="default"/>
                          <w:sz w:val="21"/>
                          <w:szCs w:val="21"/>
                        </w:rPr>
                      </w:pPr>
                      <w:r>
                        <w:rPr>
                          <w:rFonts w:ascii="Times New Roman"/>
                          <w:spacing w:val="-1"/>
                          <w:sz w:val="21"/>
                        </w:rPr>
                        <w:t>60,632,691</w:t>
                      </w:r>
                    </w:p>
                    <w:p>
                      <w:pPr>
                        <w:spacing w:before="167"/>
                        <w:ind w:left="104" w:right="0" w:firstLine="0"/>
                        <w:jc w:val="center"/>
                        <w:rPr>
                          <w:rFonts w:ascii="Times New Roman" w:hAnsi="Times New Roman" w:cs="Times New Roman" w:eastAsia="Times New Roman" w:hint="default"/>
                          <w:sz w:val="21"/>
                          <w:szCs w:val="21"/>
                        </w:rPr>
                      </w:pPr>
                      <w:r>
                        <w:rPr>
                          <w:rFonts w:ascii="Times New Roman"/>
                          <w:spacing w:val="-1"/>
                          <w:sz w:val="21"/>
                        </w:rPr>
                        <w:t>31,467,636</w:t>
                      </w:r>
                    </w:p>
                    <w:p>
                      <w:pPr>
                        <w:spacing w:line="237" w:lineRule="exact" w:before="169"/>
                        <w:ind w:left="0" w:right="0" w:firstLine="0"/>
                        <w:jc w:val="center"/>
                        <w:rPr>
                          <w:rFonts w:ascii="Times New Roman" w:hAnsi="Times New Roman" w:cs="Times New Roman" w:eastAsia="Times New Roman" w:hint="default"/>
                          <w:sz w:val="21"/>
                          <w:szCs w:val="21"/>
                        </w:rPr>
                      </w:pPr>
                      <w:r>
                        <w:rPr>
                          <w:rFonts w:ascii="Times New Roman"/>
                          <w:spacing w:val="-1"/>
                          <w:sz w:val="21"/>
                        </w:rPr>
                        <w:t>107,212,045</w:t>
                      </w:r>
                    </w:p>
                  </w:txbxContent>
                </v:textbox>
                <w10:wrap type="none"/>
              </v:shape>
            </v:group>
          </v:group>
        </w:pict>
      </w:r>
      <w:r>
        <w:rPr>
          <w:rFonts w:ascii="宋体" w:hAnsi="宋体" w:cs="宋体" w:eastAsia="宋体" w:hint="default"/>
          <w:position w:val="-41"/>
          <w:sz w:val="20"/>
          <w:szCs w:val="20"/>
        </w:rPr>
      </w:r>
    </w:p>
    <w:p>
      <w:pPr>
        <w:spacing w:after="0" w:line="2079" w:lineRule="exact"/>
        <w:rPr>
          <w:rFonts w:ascii="宋体" w:hAnsi="宋体" w:cs="宋体" w:eastAsia="宋体" w:hint="default"/>
          <w:sz w:val="20"/>
          <w:szCs w:val="20"/>
        </w:rPr>
        <w:sectPr>
          <w:pgSz w:w="11900" w:h="16840"/>
          <w:pgMar w:header="0" w:footer="1003" w:top="1540" w:bottom="1200" w:left="0" w:right="1120"/>
        </w:sectPr>
      </w:pPr>
    </w:p>
    <w:p>
      <w:pPr>
        <w:spacing w:line="240" w:lineRule="auto" w:before="10"/>
        <w:rPr>
          <w:rFonts w:ascii="宋体" w:hAnsi="宋体" w:cs="宋体" w:eastAsia="宋体" w:hint="default"/>
          <w:sz w:val="8"/>
          <w:szCs w:val="8"/>
        </w:rPr>
      </w:pPr>
    </w:p>
    <w:p>
      <w:pPr>
        <w:tabs>
          <w:tab w:pos="1410" w:val="left" w:leader="none"/>
        </w:tabs>
        <w:spacing w:before="35"/>
        <w:ind w:left="855"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支付的其他与经营活动有关的现金</w:t>
      </w:r>
    </w:p>
    <w:p>
      <w:pPr>
        <w:spacing w:line="4539" w:lineRule="exact"/>
        <w:ind w:left="723" w:right="0" w:firstLine="0"/>
        <w:rPr>
          <w:rFonts w:ascii="宋体" w:hAnsi="宋体" w:cs="宋体" w:eastAsia="宋体" w:hint="default"/>
          <w:sz w:val="20"/>
          <w:szCs w:val="20"/>
        </w:rPr>
      </w:pPr>
      <w:r>
        <w:rPr>
          <w:rFonts w:ascii="宋体" w:hAnsi="宋体" w:cs="宋体" w:eastAsia="宋体" w:hint="default"/>
          <w:position w:val="-90"/>
          <w:sz w:val="20"/>
          <w:szCs w:val="20"/>
        </w:rPr>
        <w:pict>
          <v:group style="width:412.9pt;height:227pt;mso-position-horizontal-relative:char;mso-position-vertical-relative:line" coordorigin="0,0" coordsize="8258,4540">
            <v:group style="position:absolute;left:24;top:10;width:5070;height:2" coordorigin="24,10" coordsize="5070,2">
              <v:shape style="position:absolute;left:24;top:10;width:5070;height:2" coordorigin="24,10" coordsize="5070,0" path="m24,10l5094,10e" filled="false" stroked="true" strokeweight=".95996pt" strokecolor="#000000">
                <v:path arrowok="t"/>
              </v:shape>
            </v:group>
            <v:group style="position:absolute;left:5094;top:10;width:3147;height:2" coordorigin="5094,10" coordsize="3147,2">
              <v:shape style="position:absolute;left:5094;top:10;width:3147;height:2" coordorigin="5094,10" coordsize="3147,0" path="m5094,10l8240,10e" filled="false" stroked="true" strokeweight=".95996pt" strokecolor="#000000">
                <v:path arrowok="t"/>
              </v:shape>
            </v:group>
            <v:group style="position:absolute;left:10;top:4530;width:5085;height:2" coordorigin="10,4530" coordsize="5085,2">
              <v:shape style="position:absolute;left:10;top:4530;width:5085;height:2" coordorigin="10,4530" coordsize="5085,0" path="m10,4530l5094,4530e" filled="false" stroked="true" strokeweight=".96002pt" strokecolor="#000000">
                <v:path arrowok="t"/>
              </v:shape>
              <v:shape style="position:absolute;left:24;top:19;width:8224;height:4501" type="#_x0000_t75" stroked="false">
                <v:imagedata r:id="rId135" o:title=""/>
              </v:shape>
            </v:group>
            <v:group style="position:absolute;left:5094;top:4530;width:3154;height:2" coordorigin="5094,4530" coordsize="3154,2">
              <v:shape style="position:absolute;left:5094;top:4530;width:3154;height:2" coordorigin="5094,4530" coordsize="3154,0" path="m5094,4530l8248,4530e" filled="false" stroked="true" strokeweight=".96002pt" strokecolor="#000000">
                <v:path arrowok="t"/>
              </v:shape>
              <v:shape style="position:absolute;left:2140;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    目</w:t>
                      </w:r>
                    </w:p>
                  </w:txbxContent>
                </v:textbox>
                <w10:wrap type="none"/>
              </v:shape>
              <v:shape style="position:absolute;left:6253;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本期金额</w:t>
                      </w:r>
                    </w:p>
                  </w:txbxContent>
                </v:textbox>
                <w10:wrap type="none"/>
              </v:shape>
              <v:shape style="position:absolute;left:131;top:588;width:2849;height:390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交通及差旅费</w:t>
                      </w:r>
                    </w:p>
                    <w:p>
                      <w:pPr>
                        <w:spacing w:line="357" w:lineRule="auto" w:before="134"/>
                        <w:ind w:left="0" w:right="536" w:firstLine="0"/>
                        <w:jc w:val="left"/>
                        <w:rPr>
                          <w:rFonts w:ascii="宋体" w:hAnsi="宋体" w:cs="宋体" w:eastAsia="宋体" w:hint="default"/>
                          <w:sz w:val="21"/>
                          <w:szCs w:val="21"/>
                        </w:rPr>
                      </w:pPr>
                      <w:r>
                        <w:rPr>
                          <w:rFonts w:ascii="宋体" w:hAnsi="宋体" w:cs="宋体" w:eastAsia="宋体" w:hint="default"/>
                          <w:sz w:val="21"/>
                          <w:szCs w:val="21"/>
                        </w:rPr>
                        <w:t>业务宣传费 办公及网络、电话费 房租及物业费 运输及财产保险费 能源、汽车消耗及材料费 培训、咨询、研讨会议费 代理服务费</w:t>
                      </w:r>
                    </w:p>
                    <w:p>
                      <w:pPr>
                        <w:spacing w:before="32"/>
                        <w:ind w:left="0" w:right="0" w:firstLine="0"/>
                        <w:jc w:val="left"/>
                        <w:rPr>
                          <w:rFonts w:ascii="宋体" w:hAnsi="宋体" w:cs="宋体" w:eastAsia="宋体" w:hint="default"/>
                          <w:sz w:val="21"/>
                          <w:szCs w:val="21"/>
                        </w:rPr>
                      </w:pPr>
                      <w:r>
                        <w:rPr>
                          <w:rFonts w:ascii="宋体" w:hAnsi="宋体" w:cs="宋体" w:eastAsia="宋体" w:hint="default"/>
                          <w:sz w:val="21"/>
                          <w:szCs w:val="21"/>
                        </w:rPr>
                        <w:t>其他往来</w:t>
                      </w:r>
                    </w:p>
                    <w:p>
                      <w:pPr>
                        <w:spacing w:before="135"/>
                        <w:ind w:left="0" w:right="0" w:firstLine="0"/>
                        <w:jc w:val="right"/>
                        <w:rPr>
                          <w:rFonts w:ascii="宋体" w:hAnsi="宋体" w:cs="宋体" w:eastAsia="宋体" w:hint="default"/>
                          <w:sz w:val="21"/>
                          <w:szCs w:val="21"/>
                        </w:rPr>
                      </w:pPr>
                      <w:r>
                        <w:rPr>
                          <w:rFonts w:ascii="宋体" w:hAnsi="宋体" w:cs="宋体" w:eastAsia="宋体" w:hint="default"/>
                          <w:sz w:val="21"/>
                          <w:szCs w:val="21"/>
                        </w:rPr>
                        <w:t>合    计</w:t>
                      </w:r>
                    </w:p>
                  </w:txbxContent>
                </v:textbox>
                <w10:wrap type="none"/>
              </v:shape>
              <v:shape style="position:absolute;left:7091;top:613;width:1050;height:3900" type="#_x0000_t202" filled="false" stroked="false">
                <v:textbox inset="0,0,0,0">
                  <w:txbxContent>
                    <w:p>
                      <w:pPr>
                        <w:spacing w:line="214" w:lineRule="exact" w:before="0"/>
                        <w:ind w:left="103" w:right="0" w:firstLine="0"/>
                        <w:jc w:val="center"/>
                        <w:rPr>
                          <w:rFonts w:ascii="Times New Roman" w:hAnsi="Times New Roman" w:cs="Times New Roman" w:eastAsia="Times New Roman" w:hint="default"/>
                          <w:sz w:val="21"/>
                          <w:szCs w:val="21"/>
                        </w:rPr>
                      </w:pPr>
                      <w:r>
                        <w:rPr>
                          <w:rFonts w:ascii="Times New Roman"/>
                          <w:spacing w:val="-1"/>
                          <w:sz w:val="21"/>
                        </w:rPr>
                        <w:t>53,835,082</w:t>
                      </w:r>
                    </w:p>
                    <w:p>
                      <w:pPr>
                        <w:spacing w:before="167"/>
                        <w:ind w:left="103" w:right="0" w:firstLine="0"/>
                        <w:jc w:val="center"/>
                        <w:rPr>
                          <w:rFonts w:ascii="Times New Roman" w:hAnsi="Times New Roman" w:cs="Times New Roman" w:eastAsia="Times New Roman" w:hint="default"/>
                          <w:sz w:val="21"/>
                          <w:szCs w:val="21"/>
                        </w:rPr>
                      </w:pPr>
                      <w:r>
                        <w:rPr>
                          <w:rFonts w:ascii="Times New Roman"/>
                          <w:spacing w:val="-1"/>
                          <w:sz w:val="21"/>
                        </w:rPr>
                        <w:t>66,765,092</w:t>
                      </w:r>
                    </w:p>
                    <w:p>
                      <w:pPr>
                        <w:spacing w:before="169"/>
                        <w:ind w:left="103" w:right="0" w:firstLine="0"/>
                        <w:jc w:val="center"/>
                        <w:rPr>
                          <w:rFonts w:ascii="Times New Roman" w:hAnsi="Times New Roman" w:cs="Times New Roman" w:eastAsia="Times New Roman" w:hint="default"/>
                          <w:sz w:val="21"/>
                          <w:szCs w:val="21"/>
                        </w:rPr>
                      </w:pPr>
                      <w:r>
                        <w:rPr>
                          <w:rFonts w:ascii="Times New Roman"/>
                          <w:spacing w:val="-1"/>
                          <w:sz w:val="21"/>
                        </w:rPr>
                        <w:t>26,338,856</w:t>
                      </w:r>
                    </w:p>
                    <w:p>
                      <w:pPr>
                        <w:spacing w:before="169"/>
                        <w:ind w:left="103" w:right="0" w:firstLine="0"/>
                        <w:jc w:val="center"/>
                        <w:rPr>
                          <w:rFonts w:ascii="Times New Roman" w:hAnsi="Times New Roman" w:cs="Times New Roman" w:eastAsia="Times New Roman" w:hint="default"/>
                          <w:sz w:val="21"/>
                          <w:szCs w:val="21"/>
                        </w:rPr>
                      </w:pPr>
                      <w:r>
                        <w:rPr>
                          <w:rFonts w:ascii="Times New Roman"/>
                          <w:spacing w:val="-1"/>
                          <w:sz w:val="21"/>
                        </w:rPr>
                        <w:t>31,109,978</w:t>
                      </w:r>
                    </w:p>
                    <w:p>
                      <w:pPr>
                        <w:spacing w:before="167"/>
                        <w:ind w:left="207" w:right="0" w:firstLine="0"/>
                        <w:jc w:val="center"/>
                        <w:rPr>
                          <w:rFonts w:ascii="Times New Roman" w:hAnsi="Times New Roman" w:cs="Times New Roman" w:eastAsia="Times New Roman" w:hint="default"/>
                          <w:sz w:val="21"/>
                          <w:szCs w:val="21"/>
                        </w:rPr>
                      </w:pPr>
                      <w:r>
                        <w:rPr>
                          <w:rFonts w:ascii="Times New Roman"/>
                          <w:spacing w:val="-1"/>
                          <w:sz w:val="21"/>
                        </w:rPr>
                        <w:t>9,432,041</w:t>
                      </w:r>
                    </w:p>
                    <w:p>
                      <w:pPr>
                        <w:spacing w:before="169"/>
                        <w:ind w:left="103" w:right="0" w:firstLine="0"/>
                        <w:jc w:val="center"/>
                        <w:rPr>
                          <w:rFonts w:ascii="Times New Roman" w:hAnsi="Times New Roman" w:cs="Times New Roman" w:eastAsia="Times New Roman" w:hint="default"/>
                          <w:sz w:val="21"/>
                          <w:szCs w:val="21"/>
                        </w:rPr>
                      </w:pPr>
                      <w:r>
                        <w:rPr>
                          <w:rFonts w:ascii="Times New Roman"/>
                          <w:spacing w:val="-1"/>
                          <w:sz w:val="21"/>
                        </w:rPr>
                        <w:t>27,867,980</w:t>
                      </w:r>
                    </w:p>
                    <w:p>
                      <w:pPr>
                        <w:spacing w:before="169"/>
                        <w:ind w:left="103" w:right="0" w:firstLine="0"/>
                        <w:jc w:val="center"/>
                        <w:rPr>
                          <w:rFonts w:ascii="Times New Roman" w:hAnsi="Times New Roman" w:cs="Times New Roman" w:eastAsia="Times New Roman" w:hint="default"/>
                          <w:sz w:val="21"/>
                          <w:szCs w:val="21"/>
                        </w:rPr>
                      </w:pPr>
                      <w:r>
                        <w:rPr>
                          <w:rFonts w:ascii="Times New Roman"/>
                          <w:spacing w:val="-1"/>
                          <w:sz w:val="21"/>
                        </w:rPr>
                        <w:t>27,602,998</w:t>
                      </w:r>
                    </w:p>
                    <w:p>
                      <w:pPr>
                        <w:spacing w:before="167"/>
                        <w:ind w:left="103" w:right="0" w:firstLine="0"/>
                        <w:jc w:val="center"/>
                        <w:rPr>
                          <w:rFonts w:ascii="Times New Roman" w:hAnsi="Times New Roman" w:cs="Times New Roman" w:eastAsia="Times New Roman" w:hint="default"/>
                          <w:sz w:val="21"/>
                          <w:szCs w:val="21"/>
                        </w:rPr>
                      </w:pPr>
                      <w:r>
                        <w:rPr>
                          <w:rFonts w:ascii="Times New Roman"/>
                          <w:spacing w:val="-1"/>
                          <w:sz w:val="21"/>
                        </w:rPr>
                        <w:t>45,263,587</w:t>
                      </w:r>
                    </w:p>
                    <w:p>
                      <w:pPr>
                        <w:spacing w:before="169"/>
                        <w:ind w:left="103" w:right="0" w:firstLine="0"/>
                        <w:jc w:val="center"/>
                        <w:rPr>
                          <w:rFonts w:ascii="Times New Roman" w:hAnsi="Times New Roman" w:cs="Times New Roman" w:eastAsia="Times New Roman" w:hint="default"/>
                          <w:sz w:val="21"/>
                          <w:szCs w:val="21"/>
                        </w:rPr>
                      </w:pPr>
                      <w:r>
                        <w:rPr>
                          <w:rFonts w:ascii="Times New Roman"/>
                          <w:spacing w:val="-1"/>
                          <w:sz w:val="21"/>
                        </w:rPr>
                        <w:t>69,636,093</w:t>
                      </w:r>
                    </w:p>
                    <w:p>
                      <w:pPr>
                        <w:spacing w:line="237" w:lineRule="exact" w:before="169"/>
                        <w:ind w:left="0" w:right="0" w:firstLine="0"/>
                        <w:jc w:val="center"/>
                        <w:rPr>
                          <w:rFonts w:ascii="Times New Roman" w:hAnsi="Times New Roman" w:cs="Times New Roman" w:eastAsia="Times New Roman" w:hint="default"/>
                          <w:sz w:val="21"/>
                          <w:szCs w:val="21"/>
                        </w:rPr>
                      </w:pPr>
                      <w:r>
                        <w:rPr>
                          <w:rFonts w:ascii="Times New Roman"/>
                          <w:spacing w:val="-1"/>
                          <w:sz w:val="21"/>
                        </w:rPr>
                        <w:t>357,851,707</w:t>
                      </w:r>
                    </w:p>
                  </w:txbxContent>
                </v:textbox>
                <w10:wrap type="none"/>
              </v:shape>
            </v:group>
          </v:group>
        </w:pict>
      </w:r>
      <w:r>
        <w:rPr>
          <w:rFonts w:ascii="宋体" w:hAnsi="宋体" w:cs="宋体" w:eastAsia="宋体" w:hint="default"/>
          <w:position w:val="-90"/>
          <w:sz w:val="20"/>
          <w:szCs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tabs>
          <w:tab w:pos="1410" w:val="left" w:leader="none"/>
        </w:tabs>
        <w:spacing w:before="35"/>
        <w:ind w:left="855"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收到的其他与投资活动有关的现金</w:t>
      </w:r>
    </w:p>
    <w:p>
      <w:pPr>
        <w:spacing w:line="1669" w:lineRule="exact"/>
        <w:ind w:left="723"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14.3pt;height:83.5pt;mso-position-horizontal-relative:char;mso-position-vertical-relative:line" coordorigin="0,0" coordsize="8286,1670">
            <v:group style="position:absolute;left:24;top:10;width:5084;height:2" coordorigin="24,10" coordsize="5084,2">
              <v:shape style="position:absolute;left:24;top:10;width:5084;height:2" coordorigin="24,10" coordsize="5084,0" path="m24,10l5107,10e" filled="false" stroked="true" strokeweight=".95999pt" strokecolor="#000000">
                <v:path arrowok="t"/>
              </v:shape>
            </v:group>
            <v:group style="position:absolute;left:5107;top:10;width:3162;height:2" coordorigin="5107,10" coordsize="3162,2">
              <v:shape style="position:absolute;left:5107;top:10;width:3162;height:2" coordorigin="5107,10" coordsize="3162,0" path="m5107,10l8269,10e" filled="false" stroked="true" strokeweight=".95999pt" strokecolor="#000000">
                <v:path arrowok="t"/>
              </v:shape>
            </v:group>
            <v:group style="position:absolute;left:10;top:1660;width:5098;height:2" coordorigin="10,1660" coordsize="5098,2">
              <v:shape style="position:absolute;left:10;top:1660;width:5098;height:2" coordorigin="10,1660" coordsize="5098,0" path="m10,1660l5107,1660e" filled="false" stroked="true" strokeweight=".95999pt" strokecolor="#000000">
                <v:path arrowok="t"/>
              </v:shape>
              <v:shape style="position:absolute;left:24;top:19;width:8256;height:1631" type="#_x0000_t75" stroked="false">
                <v:imagedata r:id="rId136" o:title=""/>
              </v:shape>
            </v:group>
            <v:group style="position:absolute;left:5107;top:1660;width:3170;height:2" coordorigin="5107,1660" coordsize="3170,2">
              <v:shape style="position:absolute;left:5107;top:1660;width:3170;height:2" coordorigin="5107,1660" coordsize="3170,0" path="m5107,1660l8276,1660e" filled="false" stroked="true" strokeweight=".95999pt" strokecolor="#000000">
                <v:path arrowok="t"/>
              </v:shape>
              <v:shape style="position:absolute;left:2147;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    目</w:t>
                      </w:r>
                    </w:p>
                  </w:txbxContent>
                </v:textbox>
                <w10:wrap type="none"/>
              </v:shape>
              <v:shape style="position:absolute;left:6274;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本期金额</w:t>
                      </w:r>
                    </w:p>
                  </w:txbxContent>
                </v:textbox>
                <w10:wrap type="none"/>
              </v:shape>
              <v:shape style="position:absolute;left:131;top:588;width:2856;height:103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政府投资补贴款</w:t>
                      </w:r>
                    </w:p>
                    <w:p>
                      <w:pPr>
                        <w:spacing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收购子公司取得的现金</w:t>
                      </w:r>
                    </w:p>
                    <w:p>
                      <w:pPr>
                        <w:spacing w:before="135"/>
                        <w:ind w:left="0" w:right="0" w:firstLine="0"/>
                        <w:jc w:val="right"/>
                        <w:rPr>
                          <w:rFonts w:ascii="宋体" w:hAnsi="宋体" w:cs="宋体" w:eastAsia="宋体" w:hint="default"/>
                          <w:sz w:val="21"/>
                          <w:szCs w:val="21"/>
                        </w:rPr>
                      </w:pPr>
                      <w:r>
                        <w:rPr>
                          <w:rFonts w:ascii="宋体" w:hAnsi="宋体" w:cs="宋体" w:eastAsia="宋体" w:hint="default"/>
                          <w:sz w:val="21"/>
                          <w:szCs w:val="21"/>
                        </w:rPr>
                        <w:t>合    计</w:t>
                      </w:r>
                    </w:p>
                  </w:txbxContent>
                </v:textbox>
                <w10:wrap type="none"/>
              </v:shape>
              <v:shape style="position:absolute;left:7223;top:613;width:947;height:1030" type="#_x0000_t202" filled="false" stroked="false">
                <v:textbox inset="0,0,0,0">
                  <w:txbxContent>
                    <w:p>
                      <w:pPr>
                        <w:spacing w:line="214" w:lineRule="exact" w:before="0"/>
                        <w:ind w:left="1" w:right="0" w:firstLine="0"/>
                        <w:jc w:val="left"/>
                        <w:rPr>
                          <w:rFonts w:ascii="Times New Roman" w:hAnsi="Times New Roman" w:cs="Times New Roman" w:eastAsia="Times New Roman" w:hint="default"/>
                          <w:sz w:val="21"/>
                          <w:szCs w:val="21"/>
                        </w:rPr>
                      </w:pPr>
                      <w:r>
                        <w:rPr>
                          <w:rFonts w:ascii="Times New Roman"/>
                          <w:spacing w:val="-1"/>
                          <w:sz w:val="21"/>
                        </w:rPr>
                        <w:t>14,750,000</w:t>
                      </w:r>
                    </w:p>
                    <w:p>
                      <w:pPr>
                        <w:spacing w:before="167"/>
                        <w:ind w:left="264" w:right="0" w:firstLine="0"/>
                        <w:jc w:val="left"/>
                        <w:rPr>
                          <w:rFonts w:ascii="Times New Roman" w:hAnsi="Times New Roman" w:cs="Times New Roman" w:eastAsia="Times New Roman" w:hint="default"/>
                          <w:sz w:val="21"/>
                          <w:szCs w:val="21"/>
                        </w:rPr>
                      </w:pPr>
                      <w:r>
                        <w:rPr>
                          <w:rFonts w:ascii="Times New Roman"/>
                          <w:spacing w:val="-1"/>
                          <w:sz w:val="21"/>
                        </w:rPr>
                        <w:t>333,567</w:t>
                      </w:r>
                    </w:p>
                    <w:p>
                      <w:pPr>
                        <w:spacing w:line="237" w:lineRule="exact" w:before="169"/>
                        <w:ind w:left="0" w:right="0" w:firstLine="0"/>
                        <w:jc w:val="left"/>
                        <w:rPr>
                          <w:rFonts w:ascii="Times New Roman" w:hAnsi="Times New Roman" w:cs="Times New Roman" w:eastAsia="Times New Roman" w:hint="default"/>
                          <w:sz w:val="21"/>
                          <w:szCs w:val="21"/>
                        </w:rPr>
                      </w:pPr>
                      <w:r>
                        <w:rPr>
                          <w:rFonts w:ascii="Times New Roman"/>
                          <w:sz w:val="21"/>
                        </w:rPr>
                        <w:t>15,083,567</w:t>
                      </w:r>
                    </w:p>
                  </w:txbxContent>
                </v:textbox>
                <w10:wrap type="none"/>
              </v:shape>
            </v:group>
          </v:group>
        </w:pict>
      </w:r>
      <w:r>
        <w:rPr>
          <w:rFonts w:ascii="宋体" w:hAnsi="宋体" w:cs="宋体" w:eastAsia="宋体" w:hint="default"/>
          <w:position w:val="-32"/>
          <w:sz w:val="20"/>
          <w:szCs w:val="20"/>
        </w:rPr>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tabs>
          <w:tab w:pos="1410" w:val="left" w:leader="none"/>
        </w:tabs>
        <w:spacing w:before="35"/>
        <w:ind w:left="855"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tab/>
        <w:t>支付的其他与投资活动有关的现金</w:t>
      </w:r>
    </w:p>
    <w:p>
      <w:pPr>
        <w:spacing w:line="1670" w:lineRule="exact"/>
        <w:ind w:left="723"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14.3pt;height:83.55pt;mso-position-horizontal-relative:char;mso-position-vertical-relative:line" coordorigin="0,0" coordsize="8286,1671">
            <v:group style="position:absolute;left:24;top:10;width:5069;height:2" coordorigin="24,10" coordsize="5069,2">
              <v:shape style="position:absolute;left:24;top:10;width:5069;height:2" coordorigin="24,10" coordsize="5069,0" path="m24,10l5093,10e" filled="false" stroked="true" strokeweight=".95999pt" strokecolor="#000000">
                <v:path arrowok="t"/>
              </v:shape>
            </v:group>
            <v:group style="position:absolute;left:5093;top:10;width:3177;height:2" coordorigin="5093,10" coordsize="3177,2">
              <v:shape style="position:absolute;left:5093;top:10;width:3177;height:2" coordorigin="5093,10" coordsize="3177,0" path="m5093,10l8269,10e" filled="false" stroked="true" strokeweight=".95999pt" strokecolor="#000000">
                <v:path arrowok="t"/>
              </v:shape>
            </v:group>
            <v:group style="position:absolute;left:10;top:1661;width:5084;height:2" coordorigin="10,1661" coordsize="5084,2">
              <v:shape style="position:absolute;left:10;top:1661;width:5084;height:2" coordorigin="10,1661" coordsize="5084,0" path="m10,1661l5093,1661e" filled="false" stroked="true" strokeweight=".95999pt" strokecolor="#000000">
                <v:path arrowok="t"/>
              </v:shape>
              <v:shape style="position:absolute;left:24;top:19;width:8256;height:1632" type="#_x0000_t75" stroked="false">
                <v:imagedata r:id="rId137" o:title=""/>
              </v:shape>
            </v:group>
            <v:group style="position:absolute;left:5093;top:1661;width:3184;height:2" coordorigin="5093,1661" coordsize="3184,2">
              <v:shape style="position:absolute;left:5093;top:1661;width:3184;height:2" coordorigin="5093,1661" coordsize="3184,0" path="m5093,1661l8276,1661e" filled="false" stroked="true" strokeweight=".95999pt" strokecolor="#000000">
                <v:path arrowok="t"/>
              </v:shape>
              <v:shape style="position:absolute;left:131;top:178;width:2324;height:1439" type="#_x0000_t202" filled="false" stroked="false">
                <v:textbox inset="0,0,0,0">
                  <w:txbxContent>
                    <w:p>
                      <w:pPr>
                        <w:spacing w:line="210" w:lineRule="exact" w:before="0"/>
                        <w:ind w:left="2008" w:right="0" w:firstLine="0"/>
                        <w:jc w:val="left"/>
                        <w:rPr>
                          <w:rFonts w:ascii="宋体" w:hAnsi="宋体" w:cs="宋体" w:eastAsia="宋体" w:hint="default"/>
                          <w:sz w:val="21"/>
                          <w:szCs w:val="21"/>
                        </w:rPr>
                      </w:pPr>
                      <w:r>
                        <w:rPr>
                          <w:rFonts w:ascii="宋体" w:hAnsi="宋体" w:cs="宋体" w:eastAsia="宋体" w:hint="default"/>
                          <w:sz w:val="21"/>
                          <w:szCs w:val="21"/>
                        </w:rPr>
                        <w:t>项 </w:t>
                      </w:r>
                    </w:p>
                    <w:p>
                      <w:pPr>
                        <w:spacing w:line="357" w:lineRule="auto" w:before="134"/>
                        <w:ind w:left="0" w:right="221" w:firstLine="0"/>
                        <w:jc w:val="left"/>
                        <w:rPr>
                          <w:rFonts w:ascii="宋体" w:hAnsi="宋体" w:cs="宋体" w:eastAsia="宋体" w:hint="default"/>
                          <w:sz w:val="21"/>
                          <w:szCs w:val="21"/>
                        </w:rPr>
                      </w:pPr>
                      <w:r>
                        <w:rPr>
                          <w:rFonts w:ascii="宋体" w:hAnsi="宋体" w:cs="宋体" w:eastAsia="宋体" w:hint="default"/>
                          <w:sz w:val="21"/>
                          <w:szCs w:val="21"/>
                        </w:rPr>
                        <w:t>子公司股利源泉所得税 银行代扣委贷利息税金</w:t>
                      </w:r>
                    </w:p>
                    <w:p>
                      <w:pPr>
                        <w:spacing w:before="31"/>
                        <w:ind w:left="0" w:right="0" w:firstLine="0"/>
                        <w:jc w:val="right"/>
                        <w:rPr>
                          <w:rFonts w:ascii="宋体" w:hAnsi="宋体" w:cs="宋体" w:eastAsia="宋体" w:hint="default"/>
                          <w:sz w:val="21"/>
                          <w:szCs w:val="21"/>
                        </w:rPr>
                      </w:pPr>
                      <w:r>
                        <w:rPr>
                          <w:rFonts w:ascii="宋体" w:hAnsi="宋体" w:cs="宋体" w:eastAsia="宋体" w:hint="default"/>
                          <w:sz w:val="21"/>
                          <w:szCs w:val="21"/>
                        </w:rPr>
                        <w:t>合 </w:t>
                      </w:r>
                    </w:p>
                  </w:txbxContent>
                </v:textbox>
                <w10:wrap type="none"/>
              </v:shape>
              <v:shape style="position:absolute;left:2560;top:178;width:10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 </w:t>
                      </w:r>
                    </w:p>
                  </w:txbxContent>
                </v:textbox>
                <w10:wrap type="none"/>
              </v:shape>
              <v:shape style="position:absolute;left:2770;top:17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6266;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本期金额</w:t>
                      </w:r>
                    </w:p>
                  </w:txbxContent>
                </v:textbox>
                <w10:wrap type="none"/>
              </v:shape>
              <v:shape style="position:absolute;left:2560;top:1407;width:10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 </w:t>
                      </w:r>
                    </w:p>
                  </w:txbxContent>
                </v:textbox>
                <w10:wrap type="none"/>
              </v:shape>
              <v:shape style="position:absolute;left:2770;top:1407;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7484;top:613;width:684;height:1030"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z w:val="21"/>
                        </w:rPr>
                        <w:t>130,730</w:t>
                      </w:r>
                    </w:p>
                    <w:p>
                      <w:pPr>
                        <w:spacing w:before="169"/>
                        <w:ind w:left="0" w:right="0" w:firstLine="0"/>
                        <w:jc w:val="left"/>
                        <w:rPr>
                          <w:rFonts w:ascii="Times New Roman" w:hAnsi="Times New Roman" w:cs="Times New Roman" w:eastAsia="Times New Roman" w:hint="default"/>
                          <w:sz w:val="21"/>
                          <w:szCs w:val="21"/>
                        </w:rPr>
                      </w:pPr>
                      <w:r>
                        <w:rPr>
                          <w:rFonts w:ascii="Times New Roman"/>
                          <w:sz w:val="21"/>
                        </w:rPr>
                        <w:t>264,408</w:t>
                      </w:r>
                    </w:p>
                    <w:p>
                      <w:pPr>
                        <w:spacing w:line="237" w:lineRule="exact" w:before="167"/>
                        <w:ind w:left="0" w:right="0" w:firstLine="0"/>
                        <w:jc w:val="left"/>
                        <w:rPr>
                          <w:rFonts w:ascii="Times New Roman" w:hAnsi="Times New Roman" w:cs="Times New Roman" w:eastAsia="Times New Roman" w:hint="default"/>
                          <w:sz w:val="21"/>
                          <w:szCs w:val="21"/>
                        </w:rPr>
                      </w:pPr>
                      <w:r>
                        <w:rPr>
                          <w:rFonts w:ascii="Times New Roman"/>
                          <w:sz w:val="21"/>
                        </w:rPr>
                        <w:t>395,138</w:t>
                      </w:r>
                    </w:p>
                  </w:txbxContent>
                </v:textbox>
                <w10:wrap type="none"/>
              </v:shape>
            </v:group>
          </v:group>
        </w:pict>
      </w:r>
      <w:r>
        <w:rPr>
          <w:rFonts w:ascii="宋体" w:hAnsi="宋体" w:cs="宋体" w:eastAsia="宋体" w:hint="default"/>
          <w:position w:val="-32"/>
          <w:sz w:val="20"/>
          <w:szCs w:val="20"/>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spacing w:before="35"/>
        <w:ind w:left="123" w:right="13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四十九</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7"/>
          <w:sz w:val="21"/>
          <w:szCs w:val="21"/>
        </w:rPr>
        <w:t> </w:t>
      </w:r>
      <w:r>
        <w:rPr>
          <w:rFonts w:ascii="宋体" w:hAnsi="宋体" w:cs="宋体" w:eastAsia="宋体" w:hint="default"/>
          <w:sz w:val="21"/>
          <w:szCs w:val="21"/>
        </w:rPr>
        <w:t>现金流量表补充资料</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393" w:val="left" w:leader="none"/>
        </w:tabs>
        <w:spacing w:before="0"/>
        <w:ind w:left="855" w:right="131" w:firstLine="0"/>
        <w:jc w:val="left"/>
        <w:rPr>
          <w:rFonts w:ascii="宋体" w:hAnsi="宋体" w:cs="宋体" w:eastAsia="宋体" w:hint="default"/>
          <w:sz w:val="21"/>
          <w:szCs w:val="21"/>
        </w:rPr>
      </w:pPr>
      <w:r>
        <w:rPr/>
        <w:pict>
          <v:group style="position:absolute;margin-left:119.880005pt;margin-top:15.324115pt;width:413.25pt;height:103.05pt;mso-position-horizontal-relative:page;mso-position-vertical-relative:paragraph;z-index:-977896" coordorigin="2398,306" coordsize="8265,2061">
            <v:group style="position:absolute;left:2407;top:316;width:4352;height:2" coordorigin="2407,316" coordsize="4352,2">
              <v:shape style="position:absolute;left:2407;top:316;width:4352;height:2" coordorigin="2407,316" coordsize="4352,0" path="m2407,316l6758,316e" filled="false" stroked="true" strokeweight=".95999pt" strokecolor="#000000">
                <v:path arrowok="t"/>
              </v:shape>
            </v:group>
            <v:group style="position:absolute;left:6758;top:316;width:20;height:2" coordorigin="6758,316" coordsize="20,2">
              <v:shape style="position:absolute;left:6758;top:316;width:20;height:2" coordorigin="6758,316" coordsize="20,0" path="m6758,316l6778,316e" filled="false" stroked="true" strokeweight=".95999pt" strokecolor="#000000">
                <v:path arrowok="t"/>
              </v:shape>
            </v:group>
            <v:group style="position:absolute;left:6778;top:316;width:1893;height:2" coordorigin="6778,316" coordsize="1893,2">
              <v:shape style="position:absolute;left:6778;top:316;width:1893;height:2" coordorigin="6778,316" coordsize="1893,0" path="m6778,316l8670,316e" filled="false" stroked="true" strokeweight=".96pt" strokecolor="#000000">
                <v:path arrowok="t"/>
              </v:shape>
            </v:group>
            <v:group style="position:absolute;left:8670;top:316;width:1983;height:2" coordorigin="8670,316" coordsize="1983,2">
              <v:shape style="position:absolute;left:8670;top:316;width:1983;height:2" coordorigin="8670,316" coordsize="1983,0" path="m8670,316l10652,316e" filled="false" stroked="true" strokeweight=".95999pt" strokecolor="#000000">
                <v:path arrowok="t"/>
              </v:shape>
              <v:shape style="position:absolute;left:2407;top:326;width:8245;height:2041" type="#_x0000_t75" stroked="false">
                <v:imagedata r:id="rId138" o:title=""/>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现金流量表补充资料</w:t>
      </w:r>
    </w:p>
    <w:p>
      <w:pPr>
        <w:spacing w:line="240" w:lineRule="auto" w:before="11"/>
        <w:rPr>
          <w:rFonts w:ascii="宋体" w:hAnsi="宋体" w:cs="宋体" w:eastAsia="宋体" w:hint="default"/>
          <w:sz w:val="9"/>
          <w:szCs w:val="9"/>
        </w:rPr>
      </w:pPr>
    </w:p>
    <w:tbl>
      <w:tblPr>
        <w:tblW w:w="0" w:type="auto"/>
        <w:jc w:val="left"/>
        <w:tblInd w:w="732" w:type="dxa"/>
        <w:tblLayout w:type="fixed"/>
        <w:tblCellMar>
          <w:top w:w="0" w:type="dxa"/>
          <w:left w:w="0" w:type="dxa"/>
          <w:bottom w:w="0" w:type="dxa"/>
          <w:right w:w="0" w:type="dxa"/>
        </w:tblCellMar>
        <w:tblLook w:val="01E0"/>
      </w:tblPr>
      <w:tblGrid>
        <w:gridCol w:w="4028"/>
        <w:gridCol w:w="2516"/>
        <w:gridCol w:w="1723"/>
      </w:tblGrid>
      <w:tr>
        <w:trPr>
          <w:trHeight w:val="809" w:hRule="exact"/>
        </w:trPr>
        <w:tc>
          <w:tcPr>
            <w:tcW w:w="402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31" w:right="0"/>
              <w:jc w:val="left"/>
              <w:rPr>
                <w:rFonts w:ascii="宋体" w:hAnsi="宋体" w:cs="宋体" w:eastAsia="宋体" w:hint="default"/>
                <w:sz w:val="18"/>
                <w:szCs w:val="18"/>
              </w:rPr>
            </w:pPr>
            <w:r>
              <w:rPr>
                <w:rFonts w:ascii="宋体" w:hAnsi="宋体" w:cs="宋体" w:eastAsia="宋体" w:hint="default"/>
                <w:sz w:val="18"/>
                <w:szCs w:val="18"/>
              </w:rPr>
              <w:t>项    目 </w:t>
            </w: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251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8"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70"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15" w:hRule="exact"/>
        </w:trPr>
        <w:tc>
          <w:tcPr>
            <w:tcW w:w="402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516"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68"/>
              <w:jc w:val="right"/>
              <w:rPr>
                <w:rFonts w:ascii="Times New Roman" w:hAnsi="Times New Roman" w:cs="Times New Roman" w:eastAsia="Times New Roman" w:hint="default"/>
                <w:sz w:val="18"/>
                <w:szCs w:val="18"/>
              </w:rPr>
            </w:pPr>
            <w:r>
              <w:rPr>
                <w:rFonts w:ascii="Times New Roman"/>
                <w:sz w:val="18"/>
              </w:rPr>
              <w:t>651,077,947</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6"/>
              <w:jc w:val="right"/>
              <w:rPr>
                <w:rFonts w:ascii="Times New Roman" w:hAnsi="Times New Roman" w:cs="Times New Roman" w:eastAsia="Times New Roman" w:hint="default"/>
                <w:sz w:val="18"/>
                <w:szCs w:val="18"/>
              </w:rPr>
            </w:pPr>
            <w:r>
              <w:rPr>
                <w:rFonts w:ascii="Times New Roman"/>
                <w:spacing w:val="-1"/>
                <w:sz w:val="18"/>
              </w:rPr>
              <w:t>472,311,128</w:t>
            </w:r>
          </w:p>
        </w:tc>
      </w:tr>
      <w:tr>
        <w:trPr>
          <w:trHeight w:val="410" w:hRule="exact"/>
        </w:trPr>
        <w:tc>
          <w:tcPr>
            <w:tcW w:w="402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1"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5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8"/>
              <w:jc w:val="right"/>
              <w:rPr>
                <w:rFonts w:ascii="Times New Roman" w:hAnsi="Times New Roman" w:cs="Times New Roman" w:eastAsia="Times New Roman" w:hint="default"/>
                <w:sz w:val="18"/>
                <w:szCs w:val="18"/>
              </w:rPr>
            </w:pPr>
            <w:r>
              <w:rPr>
                <w:rFonts w:ascii="Times New Roman"/>
                <w:sz w:val="18"/>
              </w:rPr>
              <w:t>12,777,412</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24,774,630</w:t>
            </w:r>
          </w:p>
        </w:tc>
      </w:tr>
      <w:tr>
        <w:trPr>
          <w:trHeight w:val="324" w:hRule="exact"/>
        </w:trPr>
        <w:tc>
          <w:tcPr>
            <w:tcW w:w="4028" w:type="dxa"/>
            <w:tcBorders>
              <w:top w:val="nil" w:sz="6" w:space="0" w:color="auto"/>
              <w:left w:val="nil" w:sz="6" w:space="0" w:color="auto"/>
              <w:bottom w:val="single" w:sz="8" w:space="0" w:color="000000"/>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固定资产折旧、投资性房地产折旧</w:t>
            </w:r>
          </w:p>
        </w:tc>
        <w:tc>
          <w:tcPr>
            <w:tcW w:w="2516"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368"/>
              <w:jc w:val="right"/>
              <w:rPr>
                <w:rFonts w:ascii="Times New Roman" w:hAnsi="Times New Roman" w:cs="Times New Roman" w:eastAsia="Times New Roman" w:hint="default"/>
                <w:sz w:val="18"/>
                <w:szCs w:val="18"/>
              </w:rPr>
            </w:pPr>
            <w:r>
              <w:rPr>
                <w:rFonts w:ascii="Times New Roman"/>
                <w:spacing w:val="-1"/>
                <w:sz w:val="18"/>
              </w:rPr>
              <w:t>113,394,813</w:t>
            </w:r>
          </w:p>
        </w:tc>
        <w:tc>
          <w:tcPr>
            <w:tcW w:w="1723"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109,818,924</w:t>
            </w:r>
          </w:p>
        </w:tc>
      </w:tr>
    </w:tbl>
    <w:p>
      <w:pPr>
        <w:spacing w:after="0" w:line="240" w:lineRule="auto"/>
        <w:jc w:val="right"/>
        <w:rPr>
          <w:rFonts w:ascii="Times New Roman" w:hAnsi="Times New Roman" w:cs="Times New Roman" w:eastAsia="Times New Roman" w:hint="default"/>
          <w:sz w:val="18"/>
          <w:szCs w:val="18"/>
        </w:rPr>
        <w:sectPr>
          <w:footerReference w:type="default" r:id="rId134"/>
          <w:pgSz w:w="11900" w:h="16840"/>
          <w:pgMar w:footer="1003" w:header="0" w:top="1540" w:bottom="1200" w:left="1660" w:right="1120"/>
          <w:pgNumType w:start="60"/>
        </w:sectPr>
      </w:pPr>
    </w:p>
    <w:p>
      <w:pPr>
        <w:spacing w:line="240" w:lineRule="auto" w:before="12"/>
        <w:rPr>
          <w:rFonts w:ascii="宋体" w:hAnsi="宋体" w:cs="宋体" w:eastAsia="宋体" w:hint="default"/>
          <w:sz w:val="12"/>
          <w:szCs w:val="12"/>
        </w:rPr>
      </w:pPr>
    </w:p>
    <w:tbl>
      <w:tblPr>
        <w:tblW w:w="0" w:type="auto"/>
        <w:jc w:val="left"/>
        <w:tblInd w:w="732" w:type="dxa"/>
        <w:tblLayout w:type="fixed"/>
        <w:tblCellMar>
          <w:top w:w="0" w:type="dxa"/>
          <w:left w:w="0" w:type="dxa"/>
          <w:bottom w:w="0" w:type="dxa"/>
          <w:right w:w="0" w:type="dxa"/>
        </w:tblCellMar>
        <w:tblLook w:val="01E0"/>
      </w:tblPr>
      <w:tblGrid>
        <w:gridCol w:w="4613"/>
        <w:gridCol w:w="1931"/>
        <w:gridCol w:w="1723"/>
      </w:tblGrid>
      <w:tr>
        <w:trPr>
          <w:trHeight w:val="814"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0"/>
              <w:jc w:val="center"/>
              <w:rPr>
                <w:rFonts w:ascii="宋体" w:hAnsi="宋体" w:cs="宋体" w:eastAsia="宋体" w:hint="default"/>
                <w:sz w:val="18"/>
                <w:szCs w:val="18"/>
              </w:rPr>
            </w:pPr>
            <w:r>
              <w:rPr>
                <w:rFonts w:ascii="宋体" w:hAnsi="宋体" w:cs="宋体" w:eastAsia="宋体" w:hint="default"/>
                <w:sz w:val="18"/>
                <w:szCs w:val="18"/>
              </w:rPr>
              <w:t>项    目 </w:t>
            </w: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1"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2"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749" w:right="0"/>
              <w:jc w:val="left"/>
              <w:rPr>
                <w:rFonts w:ascii="Times New Roman" w:hAnsi="Times New Roman" w:cs="Times New Roman" w:eastAsia="Times New Roman" w:hint="default"/>
                <w:sz w:val="18"/>
                <w:szCs w:val="18"/>
              </w:rPr>
            </w:pPr>
            <w:r>
              <w:rPr>
                <w:rFonts w:ascii="Times New Roman"/>
                <w:sz w:val="18"/>
              </w:rPr>
              <w:t>15,804,165</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70"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803" w:right="0"/>
              <w:jc w:val="left"/>
              <w:rPr>
                <w:rFonts w:ascii="Times New Roman" w:hAnsi="Times New Roman" w:cs="Times New Roman" w:eastAsia="Times New Roman" w:hint="default"/>
                <w:sz w:val="18"/>
                <w:szCs w:val="18"/>
              </w:rPr>
            </w:pPr>
            <w:r>
              <w:rPr>
                <w:rFonts w:ascii="Times New Roman"/>
                <w:sz w:val="18"/>
              </w:rPr>
              <w:t>12,240,400</w:t>
            </w:r>
          </w:p>
        </w:tc>
      </w:tr>
      <w:tr>
        <w:trPr>
          <w:trHeight w:val="410"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8"/>
              <w:jc w:val="right"/>
              <w:rPr>
                <w:rFonts w:ascii="Times New Roman" w:hAnsi="Times New Roman" w:cs="Times New Roman" w:eastAsia="Times New Roman" w:hint="default"/>
                <w:sz w:val="18"/>
                <w:szCs w:val="18"/>
              </w:rPr>
            </w:pPr>
            <w:r>
              <w:rPr>
                <w:rFonts w:ascii="Times New Roman"/>
                <w:sz w:val="18"/>
              </w:rPr>
              <w:t>9,770,773</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13,144,835</w:t>
            </w:r>
          </w:p>
        </w:tc>
      </w:tr>
      <w:tr>
        <w:trPr>
          <w:trHeight w:val="305"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处置固定资产、无形资产和其他长期资产的损失（收</w:t>
            </w:r>
          </w:p>
        </w:tc>
        <w:tc>
          <w:tcPr>
            <w:tcW w:w="1931"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
        </w:tc>
      </w:tr>
      <w:tr>
        <w:trPr>
          <w:trHeight w:val="200" w:hRule="exact"/>
        </w:trPr>
        <w:tc>
          <w:tcPr>
            <w:tcW w:w="4613" w:type="dxa"/>
            <w:tcBorders>
              <w:top w:val="nil" w:sz="6" w:space="0" w:color="auto"/>
              <w:left w:val="nil" w:sz="6" w:space="0" w:color="auto"/>
              <w:bottom w:val="nil" w:sz="6" w:space="0" w:color="auto"/>
              <w:right w:val="nil" w:sz="6" w:space="0" w:color="auto"/>
            </w:tcBorders>
          </w:tcPr>
          <w:p>
            <w:pPr/>
          </w:p>
        </w:tc>
        <w:tc>
          <w:tcPr>
            <w:tcW w:w="1931" w:type="dxa"/>
            <w:tcBorders>
              <w:top w:val="nil" w:sz="6" w:space="0" w:color="auto"/>
              <w:left w:val="nil" w:sz="6" w:space="0" w:color="auto"/>
              <w:bottom w:val="nil" w:sz="6" w:space="0" w:color="auto"/>
              <w:right w:val="nil" w:sz="6" w:space="0" w:color="auto"/>
            </w:tcBorders>
          </w:tcPr>
          <w:p>
            <w:pPr>
              <w:pStyle w:val="TableParagraph"/>
              <w:spacing w:line="204" w:lineRule="exact"/>
              <w:ind w:right="368"/>
              <w:jc w:val="right"/>
              <w:rPr>
                <w:rFonts w:ascii="Times New Roman" w:hAnsi="Times New Roman" w:cs="Times New Roman" w:eastAsia="Times New Roman" w:hint="default"/>
                <w:sz w:val="18"/>
                <w:szCs w:val="18"/>
              </w:rPr>
            </w:pPr>
            <w:r>
              <w:rPr>
                <w:rFonts w:ascii="Times New Roman"/>
                <w:w w:val="95"/>
                <w:sz w:val="18"/>
              </w:rPr>
              <w:t>-1,937,182</w:t>
            </w:r>
            <w:r>
              <w:rPr>
                <w:rFonts w:ascii="Times New Roman"/>
                <w:sz w:val="18"/>
              </w:rPr>
            </w:r>
          </w:p>
        </w:tc>
        <w:tc>
          <w:tcPr>
            <w:tcW w:w="1723" w:type="dxa"/>
            <w:tcBorders>
              <w:top w:val="nil" w:sz="6" w:space="0" w:color="auto"/>
              <w:left w:val="nil" w:sz="6" w:space="0" w:color="auto"/>
              <w:bottom w:val="nil" w:sz="6" w:space="0" w:color="auto"/>
              <w:right w:val="nil" w:sz="6" w:space="0" w:color="auto"/>
            </w:tcBorders>
          </w:tcPr>
          <w:p>
            <w:pPr>
              <w:pStyle w:val="TableParagraph"/>
              <w:spacing w:line="204" w:lineRule="exact"/>
              <w:ind w:right="107"/>
              <w:jc w:val="right"/>
              <w:rPr>
                <w:rFonts w:ascii="Times New Roman" w:hAnsi="Times New Roman" w:cs="Times New Roman" w:eastAsia="Times New Roman" w:hint="default"/>
                <w:sz w:val="18"/>
                <w:szCs w:val="18"/>
              </w:rPr>
            </w:pPr>
            <w:r>
              <w:rPr>
                <w:rFonts w:ascii="Times New Roman"/>
                <w:w w:val="95"/>
                <w:sz w:val="18"/>
              </w:rPr>
              <w:t>-4,025,781</w:t>
            </w:r>
            <w:r>
              <w:rPr>
                <w:rFonts w:ascii="Times New Roman"/>
                <w:sz w:val="18"/>
              </w:rPr>
            </w:r>
          </w:p>
        </w:tc>
      </w:tr>
      <w:tr>
        <w:trPr>
          <w:trHeight w:val="300"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193" w:lineRule="exact"/>
              <w:ind w:left="121" w:right="0"/>
              <w:jc w:val="left"/>
              <w:rPr>
                <w:rFonts w:ascii="宋体" w:hAnsi="宋体" w:cs="宋体" w:eastAsia="宋体" w:hint="default"/>
                <w:sz w:val="18"/>
                <w:szCs w:val="18"/>
              </w:rPr>
            </w:pPr>
            <w:r>
              <w:rPr>
                <w:rFonts w:ascii="宋体" w:hAnsi="宋体" w:cs="宋体" w:eastAsia="宋体" w:hint="default"/>
                <w:sz w:val="18"/>
                <w:szCs w:val="18"/>
              </w:rPr>
              <w:t>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31"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
        </w:tc>
      </w:tr>
      <w:tr>
        <w:trPr>
          <w:trHeight w:val="415"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1"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68"/>
              <w:jc w:val="right"/>
              <w:rPr>
                <w:rFonts w:ascii="Times New Roman" w:hAnsi="Times New Roman" w:cs="Times New Roman" w:eastAsia="Times New Roman" w:hint="default"/>
                <w:sz w:val="18"/>
                <w:szCs w:val="18"/>
              </w:rPr>
            </w:pPr>
            <w:r>
              <w:rPr>
                <w:rFonts w:ascii="Times New Roman"/>
                <w:sz w:val="18"/>
              </w:rPr>
              <w:t>9,638,219</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6"/>
              <w:jc w:val="right"/>
              <w:rPr>
                <w:rFonts w:ascii="Times New Roman" w:hAnsi="Times New Roman" w:cs="Times New Roman" w:eastAsia="Times New Roman" w:hint="default"/>
                <w:sz w:val="18"/>
                <w:szCs w:val="18"/>
              </w:rPr>
            </w:pPr>
            <w:r>
              <w:rPr>
                <w:rFonts w:ascii="Times New Roman"/>
                <w:sz w:val="18"/>
              </w:rPr>
              <w:t>181,041</w:t>
            </w:r>
          </w:p>
        </w:tc>
      </w:tr>
      <w:tr>
        <w:trPr>
          <w:trHeight w:val="410"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1"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8"/>
              <w:jc w:val="right"/>
              <w:rPr>
                <w:rFonts w:ascii="Times New Roman" w:hAnsi="Times New Roman" w:cs="Times New Roman" w:eastAsia="Times New Roman" w:hint="default"/>
                <w:sz w:val="18"/>
                <w:szCs w:val="18"/>
              </w:rPr>
            </w:pPr>
            <w:r>
              <w:rPr>
                <w:rFonts w:ascii="Times New Roman"/>
                <w:w w:val="95"/>
                <w:sz w:val="18"/>
              </w:rPr>
              <w:t>-9,196,499</w:t>
            </w:r>
            <w:r>
              <w:rPr>
                <w:rFonts w:ascii="Times New Roman"/>
                <w:sz w:val="18"/>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8,760,139</w:t>
            </w:r>
          </w:p>
        </w:tc>
      </w:tr>
      <w:tr>
        <w:trPr>
          <w:trHeight w:val="410"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8"/>
              <w:jc w:val="right"/>
              <w:rPr>
                <w:rFonts w:ascii="Times New Roman" w:hAnsi="Times New Roman" w:cs="Times New Roman" w:eastAsia="Times New Roman" w:hint="default"/>
                <w:sz w:val="18"/>
                <w:szCs w:val="18"/>
              </w:rPr>
            </w:pPr>
            <w:r>
              <w:rPr>
                <w:rFonts w:ascii="Times New Roman"/>
                <w:sz w:val="18"/>
              </w:rPr>
              <w:t>26,696,012</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34,059,906</w:t>
            </w:r>
          </w:p>
        </w:tc>
      </w:tr>
      <w:tr>
        <w:trPr>
          <w:trHeight w:val="410"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8"/>
              <w:jc w:val="right"/>
              <w:rPr>
                <w:rFonts w:ascii="Times New Roman" w:hAnsi="Times New Roman" w:cs="Times New Roman" w:eastAsia="Times New Roman" w:hint="default"/>
                <w:sz w:val="18"/>
                <w:szCs w:val="18"/>
              </w:rPr>
            </w:pPr>
            <w:r>
              <w:rPr>
                <w:rFonts w:ascii="Times New Roman"/>
                <w:spacing w:val="-1"/>
                <w:sz w:val="18"/>
              </w:rPr>
              <w:t>-112,214,666</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w w:val="95"/>
                <w:sz w:val="18"/>
              </w:rPr>
              <w:t>-34,640,063</w:t>
            </w:r>
            <w:r>
              <w:rPr>
                <w:rFonts w:ascii="Times New Roman"/>
                <w:sz w:val="18"/>
              </w:rPr>
            </w:r>
          </w:p>
        </w:tc>
      </w:tr>
      <w:tr>
        <w:trPr>
          <w:trHeight w:val="410"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1"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8"/>
              <w:jc w:val="right"/>
              <w:rPr>
                <w:rFonts w:ascii="Times New Roman" w:hAnsi="Times New Roman" w:cs="Times New Roman" w:eastAsia="Times New Roman" w:hint="default"/>
                <w:sz w:val="18"/>
                <w:szCs w:val="18"/>
              </w:rPr>
            </w:pPr>
            <w:r>
              <w:rPr>
                <w:rFonts w:ascii="Times New Roman"/>
                <w:w w:val="95"/>
                <w:sz w:val="18"/>
              </w:rPr>
              <w:t>-8,947,619</w:t>
            </w:r>
            <w:r>
              <w:rPr>
                <w:rFonts w:ascii="Times New Roman"/>
                <w:sz w:val="18"/>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w w:val="95"/>
                <w:sz w:val="18"/>
              </w:rPr>
              <w:t>-9,812,875</w:t>
            </w:r>
            <w:r>
              <w:rPr>
                <w:rFonts w:ascii="Times New Roman"/>
                <w:sz w:val="18"/>
              </w:rPr>
            </w:r>
          </w:p>
        </w:tc>
      </w:tr>
      <w:tr>
        <w:trPr>
          <w:trHeight w:val="410"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8"/>
              <w:jc w:val="right"/>
              <w:rPr>
                <w:rFonts w:ascii="Times New Roman" w:hAnsi="Times New Roman" w:cs="Times New Roman" w:eastAsia="Times New Roman" w:hint="default"/>
                <w:sz w:val="18"/>
                <w:szCs w:val="18"/>
              </w:rPr>
            </w:pPr>
            <w:r>
              <w:rPr>
                <w:rFonts w:ascii="Times New Roman"/>
                <w:w w:val="95"/>
                <w:sz w:val="18"/>
              </w:rPr>
              <w:t>-164,900</w:t>
            </w:r>
            <w:r>
              <w:rPr>
                <w:rFonts w:ascii="Times New Roman"/>
                <w:sz w:val="18"/>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w w:val="95"/>
                <w:sz w:val="18"/>
              </w:rPr>
              <w:t>-24,148,287</w:t>
            </w:r>
            <w:r>
              <w:rPr>
                <w:rFonts w:ascii="Times New Roman"/>
                <w:sz w:val="18"/>
              </w:rPr>
            </w:r>
          </w:p>
        </w:tc>
      </w:tr>
      <w:tr>
        <w:trPr>
          <w:trHeight w:val="410"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8"/>
              <w:jc w:val="right"/>
              <w:rPr>
                <w:rFonts w:ascii="Times New Roman" w:hAnsi="Times New Roman" w:cs="Times New Roman" w:eastAsia="Times New Roman" w:hint="default"/>
                <w:sz w:val="18"/>
                <w:szCs w:val="18"/>
              </w:rPr>
            </w:pPr>
            <w:r>
              <w:rPr>
                <w:rFonts w:ascii="Times New Roman"/>
                <w:sz w:val="18"/>
              </w:rPr>
              <w:t>41,202,012</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65,229,473</w:t>
            </w:r>
          </w:p>
        </w:tc>
      </w:tr>
      <w:tr>
        <w:trPr>
          <w:trHeight w:val="410"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1"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8"/>
              <w:jc w:val="right"/>
              <w:rPr>
                <w:rFonts w:ascii="Times New Roman" w:hAnsi="Times New Roman" w:cs="Times New Roman" w:eastAsia="Times New Roman" w:hint="default"/>
                <w:sz w:val="18"/>
                <w:szCs w:val="18"/>
              </w:rPr>
            </w:pPr>
            <w:r>
              <w:rPr>
                <w:rFonts w:ascii="Times New Roman"/>
                <w:spacing w:val="-1"/>
                <w:sz w:val="18"/>
              </w:rPr>
              <w:t>-69,115,367</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w w:val="95"/>
                <w:sz w:val="18"/>
              </w:rPr>
              <w:t>-31,963,320</w:t>
            </w:r>
            <w:r>
              <w:rPr>
                <w:rFonts w:ascii="Times New Roman"/>
                <w:sz w:val="18"/>
              </w:rPr>
            </w:r>
          </w:p>
        </w:tc>
      </w:tr>
      <w:tr>
        <w:trPr>
          <w:trHeight w:val="410"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8"/>
              <w:jc w:val="right"/>
              <w:rPr>
                <w:rFonts w:ascii="Times New Roman" w:hAnsi="Times New Roman" w:cs="Times New Roman" w:eastAsia="Times New Roman" w:hint="default"/>
                <w:sz w:val="18"/>
                <w:szCs w:val="18"/>
              </w:rPr>
            </w:pPr>
            <w:r>
              <w:rPr>
                <w:rFonts w:ascii="Times New Roman"/>
                <w:sz w:val="18"/>
              </w:rPr>
              <w:t>93,779,362</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96,430,248</w:t>
            </w:r>
          </w:p>
        </w:tc>
      </w:tr>
      <w:tr>
        <w:trPr>
          <w:trHeight w:val="400" w:hRule="exact"/>
        </w:trPr>
        <w:tc>
          <w:tcPr>
            <w:tcW w:w="4613" w:type="dxa"/>
            <w:tcBorders>
              <w:top w:val="nil" w:sz="6" w:space="0" w:color="auto"/>
              <w:left w:val="nil" w:sz="6" w:space="0" w:color="auto"/>
              <w:bottom w:val="nil" w:sz="6" w:space="0" w:color="auto"/>
              <w:right w:val="nil" w:sz="6" w:space="0" w:color="auto"/>
            </w:tcBorders>
          </w:tcPr>
          <w:p>
            <w:pPr>
              <w:pStyle w:val="TableParagraph"/>
              <w:tabs>
                <w:tab w:pos="661" w:val="left" w:leader="none"/>
              </w:tabs>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931"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
        </w:tc>
      </w:tr>
      <w:tr>
        <w:trPr>
          <w:trHeight w:val="420"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68"/>
              <w:jc w:val="right"/>
              <w:rPr>
                <w:rFonts w:ascii="Times New Roman" w:hAnsi="Times New Roman" w:cs="Times New Roman" w:eastAsia="Times New Roman" w:hint="default"/>
                <w:sz w:val="18"/>
                <w:szCs w:val="18"/>
              </w:rPr>
            </w:pPr>
            <w:r>
              <w:rPr>
                <w:rFonts w:ascii="Times New Roman"/>
                <w:sz w:val="18"/>
              </w:rPr>
              <w:t>772,564,482</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6"/>
              <w:jc w:val="right"/>
              <w:rPr>
                <w:rFonts w:ascii="Times New Roman" w:hAnsi="Times New Roman" w:cs="Times New Roman" w:eastAsia="Times New Roman" w:hint="default"/>
                <w:sz w:val="18"/>
                <w:szCs w:val="18"/>
              </w:rPr>
            </w:pPr>
            <w:r>
              <w:rPr>
                <w:rFonts w:ascii="Times New Roman"/>
                <w:sz w:val="18"/>
              </w:rPr>
              <w:t>732,360,398</w:t>
            </w:r>
          </w:p>
        </w:tc>
      </w:tr>
      <w:tr>
        <w:trPr>
          <w:trHeight w:val="406"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1931"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
        </w:tc>
      </w:tr>
      <w:tr>
        <w:trPr>
          <w:trHeight w:val="405"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1"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931"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
        </w:tc>
      </w:tr>
      <w:tr>
        <w:trPr>
          <w:trHeight w:val="410"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1"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931"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
        </w:tc>
      </w:tr>
      <w:tr>
        <w:trPr>
          <w:trHeight w:val="410"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1"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931"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
        </w:tc>
      </w:tr>
      <w:tr>
        <w:trPr>
          <w:trHeight w:val="415"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1931"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
        </w:tc>
      </w:tr>
      <w:tr>
        <w:trPr>
          <w:trHeight w:val="415"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1" w:right="0"/>
              <w:jc w:val="left"/>
              <w:rPr>
                <w:rFonts w:ascii="宋体" w:hAnsi="宋体" w:cs="宋体" w:eastAsia="宋体" w:hint="default"/>
                <w:sz w:val="18"/>
                <w:szCs w:val="18"/>
              </w:rPr>
            </w:pPr>
            <w:r>
              <w:rPr>
                <w:rFonts w:ascii="宋体" w:hAnsi="宋体" w:cs="宋体" w:eastAsia="宋体" w:hint="default"/>
                <w:sz w:val="18"/>
                <w:szCs w:val="18"/>
              </w:rPr>
              <w:t>现金的期末金额</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68"/>
              <w:jc w:val="right"/>
              <w:rPr>
                <w:rFonts w:ascii="Times New Roman" w:hAnsi="Times New Roman" w:cs="Times New Roman" w:eastAsia="Times New Roman" w:hint="default"/>
                <w:sz w:val="18"/>
                <w:szCs w:val="18"/>
              </w:rPr>
            </w:pPr>
            <w:r>
              <w:rPr>
                <w:rFonts w:ascii="Times New Roman"/>
                <w:spacing w:val="-1"/>
                <w:sz w:val="18"/>
              </w:rPr>
              <w:t>1,615,989,046</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6"/>
              <w:jc w:val="right"/>
              <w:rPr>
                <w:rFonts w:ascii="Times New Roman" w:hAnsi="Times New Roman" w:cs="Times New Roman" w:eastAsia="Times New Roman" w:hint="default"/>
                <w:sz w:val="18"/>
                <w:szCs w:val="18"/>
              </w:rPr>
            </w:pPr>
            <w:r>
              <w:rPr>
                <w:rFonts w:ascii="Times New Roman"/>
                <w:spacing w:val="-1"/>
                <w:sz w:val="18"/>
              </w:rPr>
              <w:t>1,155,168,032</w:t>
            </w:r>
          </w:p>
        </w:tc>
      </w:tr>
      <w:tr>
        <w:trPr>
          <w:trHeight w:val="410"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减：现金的期初金额</w:t>
            </w: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8"/>
              <w:jc w:val="right"/>
              <w:rPr>
                <w:rFonts w:ascii="Times New Roman" w:hAnsi="Times New Roman" w:cs="Times New Roman" w:eastAsia="Times New Roman" w:hint="default"/>
                <w:sz w:val="18"/>
                <w:szCs w:val="18"/>
              </w:rPr>
            </w:pPr>
            <w:r>
              <w:rPr>
                <w:rFonts w:ascii="Times New Roman"/>
                <w:spacing w:val="-1"/>
                <w:sz w:val="18"/>
              </w:rPr>
              <w:t>1,155,168,032</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1"/>
                <w:sz w:val="18"/>
              </w:rPr>
              <w:t>1,368,965,285</w:t>
            </w:r>
          </w:p>
        </w:tc>
      </w:tr>
      <w:tr>
        <w:trPr>
          <w:trHeight w:val="400"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加：现金等价物的期末金额</w:t>
            </w:r>
          </w:p>
        </w:tc>
        <w:tc>
          <w:tcPr>
            <w:tcW w:w="1931"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
        </w:tc>
      </w:tr>
      <w:tr>
        <w:trPr>
          <w:trHeight w:val="410" w:hRule="exact"/>
        </w:trPr>
        <w:tc>
          <w:tcPr>
            <w:tcW w:w="461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1" w:right="0"/>
              <w:jc w:val="left"/>
              <w:rPr>
                <w:rFonts w:ascii="宋体" w:hAnsi="宋体" w:cs="宋体" w:eastAsia="宋体" w:hint="default"/>
                <w:sz w:val="18"/>
                <w:szCs w:val="18"/>
              </w:rPr>
            </w:pPr>
            <w:r>
              <w:rPr>
                <w:rFonts w:ascii="宋体" w:hAnsi="宋体" w:cs="宋体" w:eastAsia="宋体" w:hint="default"/>
                <w:sz w:val="18"/>
                <w:szCs w:val="18"/>
              </w:rPr>
              <w:t>减：现金等价物的期初金额</w:t>
            </w:r>
          </w:p>
        </w:tc>
        <w:tc>
          <w:tcPr>
            <w:tcW w:w="1931"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
        </w:tc>
      </w:tr>
      <w:tr>
        <w:trPr>
          <w:trHeight w:val="333" w:hRule="exact"/>
        </w:trPr>
        <w:tc>
          <w:tcPr>
            <w:tcW w:w="4613" w:type="dxa"/>
            <w:tcBorders>
              <w:top w:val="nil" w:sz="6" w:space="0" w:color="auto"/>
              <w:left w:val="nil" w:sz="6" w:space="0" w:color="auto"/>
              <w:bottom w:val="single" w:sz="8" w:space="0" w:color="000000"/>
              <w:right w:val="nil" w:sz="6" w:space="0" w:color="auto"/>
            </w:tcBorders>
          </w:tcPr>
          <w:p>
            <w:pPr>
              <w:pStyle w:val="TableParagraph"/>
              <w:spacing w:line="240" w:lineRule="auto" w:before="59"/>
              <w:ind w:left="12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931"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right="368"/>
              <w:jc w:val="right"/>
              <w:rPr>
                <w:rFonts w:ascii="Times New Roman" w:hAnsi="Times New Roman" w:cs="Times New Roman" w:eastAsia="Times New Roman" w:hint="default"/>
                <w:sz w:val="18"/>
                <w:szCs w:val="18"/>
              </w:rPr>
            </w:pPr>
            <w:r>
              <w:rPr>
                <w:rFonts w:ascii="Times New Roman"/>
                <w:sz w:val="18"/>
              </w:rPr>
              <w:t>460,821,014</w:t>
            </w:r>
          </w:p>
        </w:tc>
        <w:tc>
          <w:tcPr>
            <w:tcW w:w="1723"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right="105"/>
              <w:jc w:val="right"/>
              <w:rPr>
                <w:rFonts w:ascii="Times New Roman" w:hAnsi="Times New Roman" w:cs="Times New Roman" w:eastAsia="Times New Roman" w:hint="default"/>
                <w:sz w:val="18"/>
                <w:szCs w:val="18"/>
              </w:rPr>
            </w:pPr>
            <w:r>
              <w:rPr>
                <w:rFonts w:ascii="Times New Roman"/>
                <w:w w:val="95"/>
                <w:sz w:val="18"/>
              </w:rPr>
              <w:t>-213,797,253</w:t>
            </w:r>
            <w:r>
              <w:rPr>
                <w:rFonts w:ascii="Times New Roman"/>
                <w:sz w:val="18"/>
              </w:rPr>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tabs>
          <w:tab w:pos="1393" w:val="left" w:leader="none"/>
        </w:tabs>
        <w:spacing w:before="35"/>
        <w:ind w:left="855" w:right="131" w:firstLine="0"/>
        <w:jc w:val="left"/>
        <w:rPr>
          <w:rFonts w:ascii="宋体" w:hAnsi="宋体" w:cs="宋体" w:eastAsia="宋体" w:hint="default"/>
          <w:sz w:val="21"/>
          <w:szCs w:val="21"/>
        </w:rPr>
      </w:pPr>
      <w:r>
        <w:rPr/>
        <w:pict>
          <v:group style="position:absolute;margin-left:88.140007pt;margin-top:-557.426147pt;width:445pt;height:533.550pt;mso-position-horizontal-relative:page;mso-position-vertical-relative:paragraph;z-index:-977872" coordorigin="1763,-11149" coordsize="8900,10671">
            <v:group style="position:absolute;left:1768;top:-11144;width:8877;height:2" coordorigin="1768,-11144" coordsize="8877,2">
              <v:shape style="position:absolute;left:1768;top:-11144;width:8877;height:2" coordorigin="1768,-11144" coordsize="8877,0" path="m1768,-11144l10644,-11144e" filled="false" stroked="true" strokeweight=".47998pt" strokecolor="#000000">
                <v:path arrowok="t"/>
              </v:shape>
            </v:group>
            <v:group style="position:absolute;left:2407;top:-11129;width:4352;height:2" coordorigin="2407,-11129" coordsize="4352,2">
              <v:shape style="position:absolute;left:2407;top:-11129;width:4352;height:2" coordorigin="2407,-11129" coordsize="4352,0" path="m2407,-11129l6758,-11129e" filled="false" stroked="true" strokeweight=".96002pt" strokecolor="#000000">
                <v:path arrowok="t"/>
              </v:shape>
            </v:group>
            <v:group style="position:absolute;left:6758;top:-11129;width:20;height:2" coordorigin="6758,-11129" coordsize="20,2">
              <v:shape style="position:absolute;left:6758;top:-11129;width:20;height:2" coordorigin="6758,-11129" coordsize="20,0" path="m6758,-11129l6778,-11129e" filled="false" stroked="true" strokeweight=".96002pt" strokecolor="#000000">
                <v:path arrowok="t"/>
              </v:shape>
            </v:group>
            <v:group style="position:absolute;left:6778;top:-11129;width:1893;height:2" coordorigin="6778,-11129" coordsize="1893,2">
              <v:shape style="position:absolute;left:6778;top:-11129;width:1893;height:2" coordorigin="6778,-11129" coordsize="1893,0" path="m6778,-11129l8670,-11129e" filled="false" stroked="true" strokeweight=".96pt" strokecolor="#000000">
                <v:path arrowok="t"/>
              </v:shape>
            </v:group>
            <v:group style="position:absolute;left:8670;top:-11129;width:1983;height:2" coordorigin="8670,-11129" coordsize="1983,2">
              <v:shape style="position:absolute;left:8670;top:-11129;width:1983;height:2" coordorigin="8670,-11129" coordsize="1983,0" path="m8670,-11129l10652,-11129e" filled="false" stroked="true" strokeweight=".96002pt" strokecolor="#000000">
                <v:path arrowok="t"/>
              </v:shape>
              <v:shape style="position:absolute;left:2407;top:-11120;width:8245;height:10642" type="#_x0000_t75" stroked="false">
                <v:imagedata r:id="rId139" o:title=""/>
              </v:shape>
            </v:group>
            <w10:wrap type="none"/>
          </v:group>
        </w:pict>
      </w:r>
      <w:r>
        <w:rPr/>
        <w:pict>
          <v:group style="position:absolute;margin-left:119.880005pt;margin-top:17.073824pt;width:412.7pt;height:108.8pt;mso-position-horizontal-relative:page;mso-position-vertical-relative:paragraph;z-index:-977848" coordorigin="2398,341" coordsize="8254,2176">
            <v:group style="position:absolute;left:2407;top:351;width:4982;height:2" coordorigin="2407,351" coordsize="4982,2">
              <v:shape style="position:absolute;left:2407;top:351;width:4982;height:2" coordorigin="2407,351" coordsize="4982,0" path="m2407,351l7388,351e" filled="false" stroked="true" strokeweight=".95999pt" strokecolor="#000000">
                <v:path arrowok="t"/>
              </v:shape>
            </v:group>
            <v:group style="position:absolute;left:7388;top:351;width:20;height:2" coordorigin="7388,351" coordsize="20,2">
              <v:shape style="position:absolute;left:7388;top:351;width:20;height:2" coordorigin="7388,351" coordsize="20,0" path="m7388,351l7408,351e" filled="false" stroked="true" strokeweight=".95999pt" strokecolor="#000000">
                <v:path arrowok="t"/>
              </v:shape>
            </v:group>
            <v:group style="position:absolute;left:7408;top:351;width:1727;height:2" coordorigin="7408,351" coordsize="1727,2">
              <v:shape style="position:absolute;left:7408;top:351;width:1727;height:2" coordorigin="7408,351" coordsize="1727,0" path="m7408,351l9134,351e" filled="false" stroked="true" strokeweight=".96pt" strokecolor="#000000">
                <v:path arrowok="t"/>
              </v:shape>
            </v:group>
            <v:group style="position:absolute;left:9134;top:351;width:1504;height:2" coordorigin="9134,351" coordsize="1504,2">
              <v:shape style="position:absolute;left:9134;top:351;width:1504;height:2" coordorigin="9134,351" coordsize="1504,0" path="m9134,351l10638,351e" filled="false" stroked="true" strokeweight=".95999pt" strokecolor="#000000">
                <v:path arrowok="t"/>
              </v:shape>
              <v:shape style="position:absolute;left:2407;top:361;width:8244;height:2156" type="#_x0000_t75" stroked="false">
                <v:imagedata r:id="rId140" o:title=""/>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本期取得或处置子公司及其他营业单位的相关信息</w:t>
      </w:r>
    </w:p>
    <w:p>
      <w:pPr>
        <w:spacing w:line="240" w:lineRule="auto" w:before="11"/>
        <w:rPr>
          <w:rFonts w:ascii="宋体" w:hAnsi="宋体" w:cs="宋体" w:eastAsia="宋体" w:hint="default"/>
          <w:sz w:val="9"/>
          <w:szCs w:val="9"/>
        </w:rPr>
      </w:pPr>
    </w:p>
    <w:tbl>
      <w:tblPr>
        <w:tblW w:w="0" w:type="auto"/>
        <w:jc w:val="left"/>
        <w:tblInd w:w="732" w:type="dxa"/>
        <w:tblLayout w:type="fixed"/>
        <w:tblCellMar>
          <w:top w:w="0" w:type="dxa"/>
          <w:left w:w="0" w:type="dxa"/>
          <w:bottom w:w="0" w:type="dxa"/>
          <w:right w:w="0" w:type="dxa"/>
        </w:tblCellMar>
        <w:tblLook w:val="01E0"/>
      </w:tblPr>
      <w:tblGrid>
        <w:gridCol w:w="5067"/>
        <w:gridCol w:w="1822"/>
        <w:gridCol w:w="1364"/>
      </w:tblGrid>
      <w:tr>
        <w:trPr>
          <w:trHeight w:val="1240" w:hRule="exact"/>
        </w:trPr>
        <w:tc>
          <w:tcPr>
            <w:tcW w:w="5067"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1" w:right="1343" w:firstLine="2024"/>
              <w:jc w:val="left"/>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90"/>
                <w:sz w:val="18"/>
                <w:szCs w:val="18"/>
              </w:rPr>
              <w:t> </w:t>
            </w:r>
            <w:r>
              <w:rPr>
                <w:rFonts w:ascii="宋体" w:hAnsi="宋体" w:cs="宋体" w:eastAsia="宋体" w:hint="default"/>
                <w:sz w:val="18"/>
                <w:szCs w:val="18"/>
              </w:rPr>
              <w:t>目 一、取得子公司及其他营业单位的有关信息： </w:t>
            </w:r>
            <w:r>
              <w:rPr>
                <w:rFonts w:ascii="Times New Roman" w:hAnsi="Times New Roman" w:cs="Times New Roman" w:eastAsia="Times New Roman" w:hint="default"/>
                <w:sz w:val="18"/>
                <w:szCs w:val="18"/>
              </w:rPr>
              <w:t>1</w:t>
            </w:r>
            <w:r>
              <w:rPr>
                <w:rFonts w:ascii="宋体" w:hAnsi="宋体" w:cs="宋体" w:eastAsia="宋体" w:hint="default"/>
                <w:sz w:val="18"/>
                <w:szCs w:val="18"/>
              </w:rPr>
              <w:t>、取得子公司及其他营业单位的价格</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45"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761" w:right="0"/>
              <w:jc w:val="left"/>
              <w:rPr>
                <w:rFonts w:ascii="Times New Roman" w:hAnsi="Times New Roman" w:cs="Times New Roman" w:eastAsia="Times New Roman" w:hint="default"/>
                <w:sz w:val="18"/>
                <w:szCs w:val="18"/>
              </w:rPr>
            </w:pPr>
            <w:r>
              <w:rPr>
                <w:rFonts w:ascii="Times New Roman"/>
                <w:sz w:val="18"/>
              </w:rPr>
              <w:t>89,819,100</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50"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668" w:right="0"/>
              <w:jc w:val="left"/>
              <w:rPr>
                <w:rFonts w:ascii="Times New Roman" w:hAnsi="Times New Roman" w:cs="Times New Roman" w:eastAsia="Times New Roman" w:hint="default"/>
                <w:sz w:val="18"/>
                <w:szCs w:val="18"/>
              </w:rPr>
            </w:pPr>
            <w:r>
              <w:rPr>
                <w:rFonts w:ascii="Times New Roman"/>
                <w:sz w:val="18"/>
              </w:rPr>
              <w:t>100,000</w:t>
            </w:r>
          </w:p>
        </w:tc>
      </w:tr>
      <w:tr>
        <w:trPr>
          <w:trHeight w:val="472" w:hRule="exact"/>
        </w:trPr>
        <w:tc>
          <w:tcPr>
            <w:tcW w:w="506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、取得子公司及其他营业单位支付的现金和现金等价物</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248"/>
              <w:jc w:val="right"/>
              <w:rPr>
                <w:rFonts w:ascii="Times New Roman" w:hAnsi="Times New Roman" w:cs="Times New Roman" w:eastAsia="Times New Roman" w:hint="default"/>
                <w:sz w:val="18"/>
                <w:szCs w:val="18"/>
              </w:rPr>
            </w:pPr>
            <w:r>
              <w:rPr>
                <w:rFonts w:ascii="Times New Roman"/>
                <w:sz w:val="18"/>
              </w:rPr>
              <w:t>75,201,085</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669" w:right="0"/>
              <w:jc w:val="left"/>
              <w:rPr>
                <w:rFonts w:ascii="Times New Roman" w:hAnsi="Times New Roman" w:cs="Times New Roman" w:eastAsia="Times New Roman" w:hint="default"/>
                <w:sz w:val="18"/>
                <w:szCs w:val="18"/>
              </w:rPr>
            </w:pPr>
            <w:r>
              <w:rPr>
                <w:rFonts w:ascii="Times New Roman"/>
                <w:sz w:val="18"/>
              </w:rPr>
              <w:t>100,000</w:t>
            </w:r>
          </w:p>
        </w:tc>
      </w:tr>
      <w:tr>
        <w:trPr>
          <w:trHeight w:val="361" w:hRule="exact"/>
        </w:trPr>
        <w:tc>
          <w:tcPr>
            <w:tcW w:w="5067" w:type="dxa"/>
            <w:tcBorders>
              <w:top w:val="nil" w:sz="6" w:space="0" w:color="auto"/>
              <w:left w:val="nil" w:sz="6" w:space="0" w:color="auto"/>
              <w:bottom w:val="single" w:sz="8" w:space="0" w:color="000000"/>
              <w:right w:val="nil" w:sz="6" w:space="0" w:color="auto"/>
            </w:tcBorders>
          </w:tcPr>
          <w:p>
            <w:pPr>
              <w:pStyle w:val="TableParagraph"/>
              <w:spacing w:line="240" w:lineRule="auto" w:before="62"/>
              <w:ind w:left="121" w:right="0"/>
              <w:jc w:val="left"/>
              <w:rPr>
                <w:rFonts w:ascii="宋体" w:hAnsi="宋体" w:cs="宋体" w:eastAsia="宋体" w:hint="default"/>
                <w:sz w:val="18"/>
                <w:szCs w:val="18"/>
              </w:rPr>
            </w:pPr>
            <w:r>
              <w:rPr>
                <w:rFonts w:ascii="宋体" w:hAnsi="宋体" w:cs="宋体" w:eastAsia="宋体" w:hint="default"/>
                <w:sz w:val="18"/>
                <w:szCs w:val="18"/>
              </w:rPr>
              <w:t>    减：子公司及其他营业单位持有的现金和现金等价物</w:t>
            </w:r>
          </w:p>
        </w:tc>
        <w:tc>
          <w:tcPr>
            <w:tcW w:w="1822" w:type="dxa"/>
            <w:tcBorders>
              <w:top w:val="nil" w:sz="6" w:space="0" w:color="auto"/>
              <w:left w:val="nil" w:sz="6" w:space="0" w:color="auto"/>
              <w:bottom w:val="single" w:sz="8" w:space="0" w:color="000000"/>
              <w:right w:val="nil" w:sz="6" w:space="0" w:color="auto"/>
            </w:tcBorders>
          </w:tcPr>
          <w:p>
            <w:pPr>
              <w:pStyle w:val="TableParagraph"/>
              <w:spacing w:line="240" w:lineRule="auto" w:before="139"/>
              <w:ind w:right="248"/>
              <w:jc w:val="right"/>
              <w:rPr>
                <w:rFonts w:ascii="Times New Roman" w:hAnsi="Times New Roman" w:cs="Times New Roman" w:eastAsia="Times New Roman" w:hint="default"/>
                <w:sz w:val="18"/>
                <w:szCs w:val="18"/>
              </w:rPr>
            </w:pPr>
            <w:r>
              <w:rPr>
                <w:rFonts w:ascii="Times New Roman"/>
                <w:sz w:val="18"/>
              </w:rPr>
              <w:t>8,218,334</w:t>
            </w:r>
          </w:p>
        </w:tc>
        <w:tc>
          <w:tcPr>
            <w:tcW w:w="1364" w:type="dxa"/>
            <w:tcBorders>
              <w:top w:val="nil" w:sz="6" w:space="0" w:color="auto"/>
              <w:left w:val="nil" w:sz="6" w:space="0" w:color="auto"/>
              <w:bottom w:val="single" w:sz="8" w:space="0" w:color="000000"/>
              <w:right w:val="nil" w:sz="6" w:space="0" w:color="auto"/>
            </w:tcBorders>
          </w:tcPr>
          <w:p>
            <w:pPr/>
          </w:p>
        </w:tc>
      </w:tr>
    </w:tbl>
    <w:p>
      <w:pPr>
        <w:spacing w:after="0"/>
        <w:sectPr>
          <w:pgSz w:w="11900" w:h="16840"/>
          <w:pgMar w:header="0" w:footer="1003" w:top="1540" w:bottom="1200" w:left="1660" w:right="1120"/>
        </w:sectPr>
      </w:pPr>
    </w:p>
    <w:p>
      <w:pPr>
        <w:spacing w:line="240" w:lineRule="auto" w:before="12"/>
        <w:rPr>
          <w:rFonts w:ascii="宋体" w:hAnsi="宋体" w:cs="宋体" w:eastAsia="宋体" w:hint="default"/>
          <w:sz w:val="12"/>
          <w:szCs w:val="12"/>
        </w:rPr>
      </w:pPr>
    </w:p>
    <w:tbl>
      <w:tblPr>
        <w:tblW w:w="0" w:type="auto"/>
        <w:jc w:val="left"/>
        <w:tblInd w:w="732" w:type="dxa"/>
        <w:tblLayout w:type="fixed"/>
        <w:tblCellMar>
          <w:top w:w="0" w:type="dxa"/>
          <w:left w:w="0" w:type="dxa"/>
          <w:bottom w:w="0" w:type="dxa"/>
          <w:right w:w="0" w:type="dxa"/>
        </w:tblCellMar>
        <w:tblLook w:val="01E0"/>
      </w:tblPr>
      <w:tblGrid>
        <w:gridCol w:w="5067"/>
        <w:gridCol w:w="1822"/>
        <w:gridCol w:w="1364"/>
      </w:tblGrid>
      <w:tr>
        <w:trPr>
          <w:trHeight w:val="814" w:hRule="exact"/>
        </w:trPr>
        <w:tc>
          <w:tcPr>
            <w:tcW w:w="506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45" w:right="0"/>
              <w:jc w:val="left"/>
              <w:rPr>
                <w:rFonts w:ascii="宋体" w:hAnsi="宋体" w:cs="宋体" w:eastAsia="宋体" w:hint="default"/>
                <w:sz w:val="18"/>
                <w:szCs w:val="18"/>
              </w:rPr>
            </w:pPr>
            <w:r>
              <w:rPr>
                <w:rFonts w:ascii="宋体" w:hAnsi="宋体" w:cs="宋体" w:eastAsia="宋体" w:hint="default"/>
                <w:sz w:val="18"/>
                <w:szCs w:val="18"/>
              </w:rPr>
              <w:t>项    目 </w:t>
            </w: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、取得子公司及其他营业单位支付的现金净额</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45"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760" w:right="0"/>
              <w:jc w:val="left"/>
              <w:rPr>
                <w:rFonts w:ascii="Times New Roman" w:hAnsi="Times New Roman" w:cs="Times New Roman" w:eastAsia="Times New Roman" w:hint="default"/>
                <w:sz w:val="18"/>
                <w:szCs w:val="18"/>
              </w:rPr>
            </w:pPr>
            <w:r>
              <w:rPr>
                <w:rFonts w:ascii="Times New Roman"/>
                <w:sz w:val="18"/>
              </w:rPr>
              <w:t>66,982,751</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50"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668" w:right="0"/>
              <w:jc w:val="left"/>
              <w:rPr>
                <w:rFonts w:ascii="Times New Roman" w:hAnsi="Times New Roman" w:cs="Times New Roman" w:eastAsia="Times New Roman" w:hint="default"/>
                <w:sz w:val="18"/>
                <w:szCs w:val="18"/>
              </w:rPr>
            </w:pPr>
            <w:r>
              <w:rPr>
                <w:rFonts w:ascii="Times New Roman"/>
                <w:sz w:val="18"/>
              </w:rPr>
              <w:t>100,000</w:t>
            </w:r>
          </w:p>
        </w:tc>
      </w:tr>
      <w:tr>
        <w:trPr>
          <w:trHeight w:val="410" w:hRule="exact"/>
        </w:trPr>
        <w:tc>
          <w:tcPr>
            <w:tcW w:w="506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、取得子公司的净资产</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8"/>
              <w:jc w:val="right"/>
              <w:rPr>
                <w:rFonts w:ascii="Times New Roman" w:hAnsi="Times New Roman" w:cs="Times New Roman" w:eastAsia="Times New Roman" w:hint="default"/>
                <w:sz w:val="18"/>
                <w:szCs w:val="18"/>
              </w:rPr>
            </w:pPr>
            <w:r>
              <w:rPr>
                <w:rFonts w:ascii="Times New Roman"/>
                <w:w w:val="95"/>
                <w:sz w:val="18"/>
              </w:rPr>
              <w:t>-4,859,432</w:t>
            </w:r>
            <w:r>
              <w:rPr>
                <w:rFonts w:ascii="Times New Roman"/>
                <w:sz w:val="18"/>
              </w:rPr>
            </w:r>
          </w:p>
        </w:tc>
        <w:tc>
          <w:tcPr>
            <w:tcW w:w="1364" w:type="dxa"/>
            <w:tcBorders>
              <w:top w:val="nil" w:sz="6" w:space="0" w:color="auto"/>
              <w:left w:val="nil" w:sz="6" w:space="0" w:color="auto"/>
              <w:bottom w:val="nil" w:sz="6" w:space="0" w:color="auto"/>
              <w:right w:val="nil" w:sz="6" w:space="0" w:color="auto"/>
            </w:tcBorders>
          </w:tcPr>
          <w:p>
            <w:pPr/>
          </w:p>
        </w:tc>
      </w:tr>
      <w:tr>
        <w:trPr>
          <w:trHeight w:val="410" w:hRule="exact"/>
        </w:trPr>
        <w:tc>
          <w:tcPr>
            <w:tcW w:w="506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    流动资产</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8"/>
              <w:jc w:val="right"/>
              <w:rPr>
                <w:rFonts w:ascii="Times New Roman" w:hAnsi="Times New Roman" w:cs="Times New Roman" w:eastAsia="Times New Roman" w:hint="default"/>
                <w:sz w:val="18"/>
                <w:szCs w:val="18"/>
              </w:rPr>
            </w:pPr>
            <w:r>
              <w:rPr>
                <w:rFonts w:ascii="Times New Roman"/>
                <w:sz w:val="18"/>
              </w:rPr>
              <w:t>45,707,881</w:t>
            </w:r>
          </w:p>
        </w:tc>
        <w:tc>
          <w:tcPr>
            <w:tcW w:w="1364" w:type="dxa"/>
            <w:tcBorders>
              <w:top w:val="nil" w:sz="6" w:space="0" w:color="auto"/>
              <w:left w:val="nil" w:sz="6" w:space="0" w:color="auto"/>
              <w:bottom w:val="nil" w:sz="6" w:space="0" w:color="auto"/>
              <w:right w:val="nil" w:sz="6" w:space="0" w:color="auto"/>
            </w:tcBorders>
          </w:tcPr>
          <w:p>
            <w:pPr/>
          </w:p>
        </w:tc>
      </w:tr>
      <w:tr>
        <w:trPr>
          <w:trHeight w:val="410" w:hRule="exact"/>
        </w:trPr>
        <w:tc>
          <w:tcPr>
            <w:tcW w:w="506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1" w:right="0"/>
              <w:jc w:val="left"/>
              <w:rPr>
                <w:rFonts w:ascii="宋体" w:hAnsi="宋体" w:cs="宋体" w:eastAsia="宋体" w:hint="default"/>
                <w:sz w:val="18"/>
                <w:szCs w:val="18"/>
              </w:rPr>
            </w:pPr>
            <w:r>
              <w:rPr>
                <w:rFonts w:ascii="宋体" w:hAnsi="宋体" w:cs="宋体" w:eastAsia="宋体" w:hint="default"/>
                <w:sz w:val="18"/>
                <w:szCs w:val="18"/>
              </w:rPr>
              <w:t>    非流动资产</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8"/>
              <w:jc w:val="right"/>
              <w:rPr>
                <w:rFonts w:ascii="Times New Roman" w:hAnsi="Times New Roman" w:cs="Times New Roman" w:eastAsia="Times New Roman" w:hint="default"/>
                <w:sz w:val="18"/>
                <w:szCs w:val="18"/>
              </w:rPr>
            </w:pPr>
            <w:r>
              <w:rPr>
                <w:rFonts w:ascii="Times New Roman"/>
                <w:sz w:val="18"/>
              </w:rPr>
              <w:t>21,538,167</w:t>
            </w:r>
          </w:p>
        </w:tc>
        <w:tc>
          <w:tcPr>
            <w:tcW w:w="1364" w:type="dxa"/>
            <w:tcBorders>
              <w:top w:val="nil" w:sz="6" w:space="0" w:color="auto"/>
              <w:left w:val="nil" w:sz="6" w:space="0" w:color="auto"/>
              <w:bottom w:val="nil" w:sz="6" w:space="0" w:color="auto"/>
              <w:right w:val="nil" w:sz="6" w:space="0" w:color="auto"/>
            </w:tcBorders>
          </w:tcPr>
          <w:p>
            <w:pPr/>
          </w:p>
        </w:tc>
      </w:tr>
      <w:tr>
        <w:trPr>
          <w:trHeight w:val="810" w:hRule="exact"/>
        </w:trPr>
        <w:tc>
          <w:tcPr>
            <w:tcW w:w="506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    流动负债</w:t>
            </w: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21" w:right="0"/>
              <w:jc w:val="left"/>
              <w:rPr>
                <w:rFonts w:ascii="宋体" w:hAnsi="宋体" w:cs="宋体" w:eastAsia="宋体" w:hint="default"/>
                <w:sz w:val="18"/>
                <w:szCs w:val="18"/>
              </w:rPr>
            </w:pPr>
            <w:r>
              <w:rPr>
                <w:rFonts w:ascii="宋体" w:hAnsi="宋体" w:cs="宋体" w:eastAsia="宋体" w:hint="default"/>
                <w:sz w:val="18"/>
                <w:szCs w:val="18"/>
              </w:rPr>
              <w:t>    非流动负债</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8"/>
              <w:jc w:val="right"/>
              <w:rPr>
                <w:rFonts w:ascii="Times New Roman" w:hAnsi="Times New Roman" w:cs="Times New Roman" w:eastAsia="Times New Roman" w:hint="default"/>
                <w:sz w:val="18"/>
                <w:szCs w:val="18"/>
              </w:rPr>
            </w:pPr>
            <w:r>
              <w:rPr>
                <w:rFonts w:ascii="Times New Roman"/>
                <w:sz w:val="18"/>
              </w:rPr>
              <w:t>72,105,480</w:t>
            </w:r>
          </w:p>
        </w:tc>
        <w:tc>
          <w:tcPr>
            <w:tcW w:w="1364" w:type="dxa"/>
            <w:tcBorders>
              <w:top w:val="nil" w:sz="6" w:space="0" w:color="auto"/>
              <w:left w:val="nil" w:sz="6" w:space="0" w:color="auto"/>
              <w:bottom w:val="nil" w:sz="6" w:space="0" w:color="auto"/>
              <w:right w:val="nil" w:sz="6" w:space="0" w:color="auto"/>
            </w:tcBorders>
          </w:tcPr>
          <w:p>
            <w:pPr/>
          </w:p>
        </w:tc>
      </w:tr>
      <w:tr>
        <w:trPr>
          <w:trHeight w:val="410" w:hRule="exact"/>
        </w:trPr>
        <w:tc>
          <w:tcPr>
            <w:tcW w:w="5067"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1" w:right="0"/>
              <w:jc w:val="left"/>
              <w:rPr>
                <w:rFonts w:ascii="宋体" w:hAnsi="宋体" w:cs="宋体" w:eastAsia="宋体" w:hint="default"/>
                <w:sz w:val="18"/>
                <w:szCs w:val="18"/>
              </w:rPr>
            </w:pPr>
            <w:r>
              <w:rPr>
                <w:rFonts w:ascii="宋体" w:hAnsi="宋体" w:cs="宋体" w:eastAsia="宋体" w:hint="default"/>
                <w:sz w:val="18"/>
                <w:szCs w:val="18"/>
              </w:rPr>
              <w:t>二、处置子公司及其他营业单位的有关信息：</w:t>
            </w:r>
          </w:p>
        </w:tc>
        <w:tc>
          <w:tcPr>
            <w:tcW w:w="1822" w:type="dxa"/>
            <w:tcBorders>
              <w:top w:val="nil" w:sz="6" w:space="0" w:color="auto"/>
              <w:left w:val="nil" w:sz="6" w:space="0" w:color="auto"/>
              <w:bottom w:val="nil" w:sz="6" w:space="0" w:color="auto"/>
              <w:right w:val="nil" w:sz="6" w:space="0" w:color="auto"/>
            </w:tcBorders>
          </w:tcPr>
          <w:p>
            <w:pPr/>
          </w:p>
        </w:tc>
        <w:tc>
          <w:tcPr>
            <w:tcW w:w="1364" w:type="dxa"/>
            <w:tcBorders>
              <w:top w:val="nil" w:sz="6" w:space="0" w:color="auto"/>
              <w:left w:val="nil" w:sz="6" w:space="0" w:color="auto"/>
              <w:bottom w:val="nil" w:sz="6" w:space="0" w:color="auto"/>
              <w:right w:val="nil" w:sz="6" w:space="0" w:color="auto"/>
            </w:tcBorders>
          </w:tcPr>
          <w:p>
            <w:pPr/>
          </w:p>
        </w:tc>
      </w:tr>
      <w:tr>
        <w:trPr>
          <w:trHeight w:val="436" w:hRule="exact"/>
        </w:trPr>
        <w:tc>
          <w:tcPr>
            <w:tcW w:w="5067"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、处置子公司及其他营业单位的价格</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48"/>
              <w:jc w:val="right"/>
              <w:rPr>
                <w:rFonts w:ascii="Times New Roman" w:hAnsi="Times New Roman" w:cs="Times New Roman" w:eastAsia="Times New Roman" w:hint="default"/>
                <w:sz w:val="18"/>
                <w:szCs w:val="18"/>
              </w:rPr>
            </w:pPr>
            <w:r>
              <w:rPr>
                <w:rFonts w:ascii="Times New Roman"/>
                <w:sz w:val="18"/>
              </w:rPr>
              <w:t>390,000</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7"/>
              <w:jc w:val="right"/>
              <w:rPr>
                <w:rFonts w:ascii="Times New Roman" w:hAnsi="Times New Roman" w:cs="Times New Roman" w:eastAsia="Times New Roman" w:hint="default"/>
                <w:sz w:val="18"/>
                <w:szCs w:val="18"/>
              </w:rPr>
            </w:pPr>
            <w:r>
              <w:rPr>
                <w:rFonts w:ascii="Times New Roman"/>
                <w:sz w:val="18"/>
              </w:rPr>
              <w:t>40,728,400</w:t>
            </w:r>
          </w:p>
        </w:tc>
      </w:tr>
      <w:tr>
        <w:trPr>
          <w:trHeight w:val="455" w:hRule="exact"/>
        </w:trPr>
        <w:tc>
          <w:tcPr>
            <w:tcW w:w="5067"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、处置子公司及其他营业单位收到的现金和现金等价物</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248"/>
              <w:jc w:val="right"/>
              <w:rPr>
                <w:rFonts w:ascii="Times New Roman" w:hAnsi="Times New Roman" w:cs="Times New Roman" w:eastAsia="Times New Roman" w:hint="default"/>
                <w:sz w:val="18"/>
                <w:szCs w:val="18"/>
              </w:rPr>
            </w:pPr>
            <w:r>
              <w:rPr>
                <w:rFonts w:ascii="Times New Roman"/>
                <w:sz w:val="18"/>
              </w:rPr>
              <w:t>10,627,543</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07"/>
              <w:jc w:val="right"/>
              <w:rPr>
                <w:rFonts w:ascii="Times New Roman" w:hAnsi="Times New Roman" w:cs="Times New Roman" w:eastAsia="Times New Roman" w:hint="default"/>
                <w:sz w:val="18"/>
                <w:szCs w:val="18"/>
              </w:rPr>
            </w:pPr>
            <w:r>
              <w:rPr>
                <w:rFonts w:ascii="Times New Roman"/>
                <w:sz w:val="18"/>
              </w:rPr>
              <w:t>8,869,713</w:t>
            </w:r>
          </w:p>
        </w:tc>
      </w:tr>
      <w:tr>
        <w:trPr>
          <w:trHeight w:val="451" w:hRule="exact"/>
        </w:trPr>
        <w:tc>
          <w:tcPr>
            <w:tcW w:w="5067"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21" w:right="0"/>
              <w:jc w:val="left"/>
              <w:rPr>
                <w:rFonts w:ascii="宋体" w:hAnsi="宋体" w:cs="宋体" w:eastAsia="宋体" w:hint="default"/>
                <w:sz w:val="18"/>
                <w:szCs w:val="18"/>
              </w:rPr>
            </w:pPr>
            <w:r>
              <w:rPr>
                <w:rFonts w:ascii="宋体" w:hAnsi="宋体" w:cs="宋体" w:eastAsia="宋体" w:hint="default"/>
                <w:sz w:val="18"/>
                <w:szCs w:val="18"/>
              </w:rPr>
              <w:t>    减：子公司及其他营业单位持有的现金和现金等价物</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248"/>
              <w:jc w:val="right"/>
              <w:rPr>
                <w:rFonts w:ascii="Times New Roman" w:hAnsi="Times New Roman" w:cs="Times New Roman" w:eastAsia="Times New Roman" w:hint="default"/>
                <w:sz w:val="18"/>
                <w:szCs w:val="18"/>
              </w:rPr>
            </w:pPr>
            <w:r>
              <w:rPr>
                <w:rFonts w:ascii="Times New Roman"/>
                <w:sz w:val="18"/>
              </w:rPr>
              <w:t>237,543</w:t>
            </w:r>
          </w:p>
        </w:tc>
        <w:tc>
          <w:tcPr>
            <w:tcW w:w="1364" w:type="dxa"/>
            <w:tcBorders>
              <w:top w:val="nil" w:sz="6" w:space="0" w:color="auto"/>
              <w:left w:val="nil" w:sz="6" w:space="0" w:color="auto"/>
              <w:bottom w:val="nil" w:sz="6" w:space="0" w:color="auto"/>
              <w:right w:val="nil" w:sz="6" w:space="0" w:color="auto"/>
            </w:tcBorders>
          </w:tcPr>
          <w:p>
            <w:pPr/>
          </w:p>
        </w:tc>
      </w:tr>
      <w:tr>
        <w:trPr>
          <w:trHeight w:val="422" w:hRule="exact"/>
        </w:trPr>
        <w:tc>
          <w:tcPr>
            <w:tcW w:w="5067"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、处置子公司及其他营业单位收到的现金净额</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248"/>
              <w:jc w:val="right"/>
              <w:rPr>
                <w:rFonts w:ascii="Times New Roman" w:hAnsi="Times New Roman" w:cs="Times New Roman" w:eastAsia="Times New Roman" w:hint="default"/>
                <w:sz w:val="18"/>
                <w:szCs w:val="18"/>
              </w:rPr>
            </w:pPr>
            <w:r>
              <w:rPr>
                <w:rFonts w:ascii="Times New Roman"/>
                <w:sz w:val="18"/>
              </w:rPr>
              <w:t>10,390,000</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7"/>
              <w:jc w:val="right"/>
              <w:rPr>
                <w:rFonts w:ascii="Times New Roman" w:hAnsi="Times New Roman" w:cs="Times New Roman" w:eastAsia="Times New Roman" w:hint="default"/>
                <w:sz w:val="18"/>
                <w:szCs w:val="18"/>
              </w:rPr>
            </w:pPr>
            <w:r>
              <w:rPr>
                <w:rFonts w:ascii="Times New Roman"/>
                <w:sz w:val="18"/>
              </w:rPr>
              <w:t>8,869,713</w:t>
            </w:r>
          </w:p>
        </w:tc>
      </w:tr>
      <w:tr>
        <w:trPr>
          <w:trHeight w:val="410" w:hRule="exact"/>
        </w:trPr>
        <w:tc>
          <w:tcPr>
            <w:tcW w:w="506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、处置子公司的净资产</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8"/>
              <w:jc w:val="right"/>
              <w:rPr>
                <w:rFonts w:ascii="Times New Roman" w:hAnsi="Times New Roman" w:cs="Times New Roman" w:eastAsia="Times New Roman" w:hint="default"/>
                <w:sz w:val="18"/>
                <w:szCs w:val="18"/>
              </w:rPr>
            </w:pPr>
            <w:r>
              <w:rPr>
                <w:rFonts w:ascii="Times New Roman"/>
                <w:sz w:val="18"/>
              </w:rPr>
              <w:t>422,409</w:t>
            </w:r>
          </w:p>
        </w:tc>
        <w:tc>
          <w:tcPr>
            <w:tcW w:w="1364" w:type="dxa"/>
            <w:tcBorders>
              <w:top w:val="nil" w:sz="6" w:space="0" w:color="auto"/>
              <w:left w:val="nil" w:sz="6" w:space="0" w:color="auto"/>
              <w:bottom w:val="nil" w:sz="6" w:space="0" w:color="auto"/>
              <w:right w:val="nil" w:sz="6" w:space="0" w:color="auto"/>
            </w:tcBorders>
          </w:tcPr>
          <w:p>
            <w:pPr/>
          </w:p>
        </w:tc>
      </w:tr>
      <w:tr>
        <w:trPr>
          <w:trHeight w:val="410" w:hRule="exact"/>
        </w:trPr>
        <w:tc>
          <w:tcPr>
            <w:tcW w:w="506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    流动资产</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8"/>
              <w:jc w:val="right"/>
              <w:rPr>
                <w:rFonts w:ascii="Times New Roman" w:hAnsi="Times New Roman" w:cs="Times New Roman" w:eastAsia="Times New Roman" w:hint="default"/>
                <w:sz w:val="18"/>
                <w:szCs w:val="18"/>
              </w:rPr>
            </w:pPr>
            <w:r>
              <w:rPr>
                <w:rFonts w:ascii="Times New Roman"/>
                <w:sz w:val="18"/>
              </w:rPr>
              <w:t>353,728</w:t>
            </w:r>
          </w:p>
        </w:tc>
        <w:tc>
          <w:tcPr>
            <w:tcW w:w="1364" w:type="dxa"/>
            <w:tcBorders>
              <w:top w:val="nil" w:sz="6" w:space="0" w:color="auto"/>
              <w:left w:val="nil" w:sz="6" w:space="0" w:color="auto"/>
              <w:bottom w:val="nil" w:sz="6" w:space="0" w:color="auto"/>
              <w:right w:val="nil" w:sz="6" w:space="0" w:color="auto"/>
            </w:tcBorders>
          </w:tcPr>
          <w:p>
            <w:pPr/>
          </w:p>
        </w:tc>
      </w:tr>
      <w:tr>
        <w:trPr>
          <w:trHeight w:val="410" w:hRule="exact"/>
        </w:trPr>
        <w:tc>
          <w:tcPr>
            <w:tcW w:w="506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    非流动资产</w:t>
            </w:r>
          </w:p>
        </w:tc>
        <w:tc>
          <w:tcPr>
            <w:tcW w:w="18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8"/>
              <w:jc w:val="right"/>
              <w:rPr>
                <w:rFonts w:ascii="Times New Roman" w:hAnsi="Times New Roman" w:cs="Times New Roman" w:eastAsia="Times New Roman" w:hint="default"/>
                <w:sz w:val="18"/>
                <w:szCs w:val="18"/>
              </w:rPr>
            </w:pPr>
            <w:r>
              <w:rPr>
                <w:rFonts w:ascii="Times New Roman"/>
                <w:sz w:val="18"/>
              </w:rPr>
              <w:t>226,799</w:t>
            </w:r>
          </w:p>
        </w:tc>
        <w:tc>
          <w:tcPr>
            <w:tcW w:w="1364" w:type="dxa"/>
            <w:tcBorders>
              <w:top w:val="nil" w:sz="6" w:space="0" w:color="auto"/>
              <w:left w:val="nil" w:sz="6" w:space="0" w:color="auto"/>
              <w:bottom w:val="nil" w:sz="6" w:space="0" w:color="auto"/>
              <w:right w:val="nil" w:sz="6" w:space="0" w:color="auto"/>
            </w:tcBorders>
          </w:tcPr>
          <w:p>
            <w:pPr/>
          </w:p>
        </w:tc>
      </w:tr>
      <w:tr>
        <w:trPr>
          <w:trHeight w:val="734" w:hRule="exact"/>
        </w:trPr>
        <w:tc>
          <w:tcPr>
            <w:tcW w:w="5067" w:type="dxa"/>
            <w:tcBorders>
              <w:top w:val="nil" w:sz="6" w:space="0" w:color="auto"/>
              <w:left w:val="nil" w:sz="6" w:space="0" w:color="auto"/>
              <w:bottom w:val="single" w:sz="8" w:space="0" w:color="000000"/>
              <w:right w:val="nil" w:sz="6" w:space="0" w:color="auto"/>
            </w:tcBorders>
          </w:tcPr>
          <w:p>
            <w:pPr>
              <w:pStyle w:val="TableParagraph"/>
              <w:spacing w:line="240" w:lineRule="auto" w:before="49"/>
              <w:ind w:left="121" w:right="0"/>
              <w:jc w:val="left"/>
              <w:rPr>
                <w:rFonts w:ascii="宋体" w:hAnsi="宋体" w:cs="宋体" w:eastAsia="宋体" w:hint="default"/>
                <w:sz w:val="18"/>
                <w:szCs w:val="18"/>
              </w:rPr>
            </w:pPr>
            <w:r>
              <w:rPr>
                <w:rFonts w:ascii="宋体" w:hAnsi="宋体" w:cs="宋体" w:eastAsia="宋体" w:hint="default"/>
                <w:sz w:val="18"/>
                <w:szCs w:val="18"/>
              </w:rPr>
              <w:t>    流动负债</w:t>
            </w: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21" w:right="0"/>
              <w:jc w:val="left"/>
              <w:rPr>
                <w:rFonts w:ascii="宋体" w:hAnsi="宋体" w:cs="宋体" w:eastAsia="宋体" w:hint="default"/>
                <w:sz w:val="18"/>
                <w:szCs w:val="18"/>
              </w:rPr>
            </w:pPr>
            <w:r>
              <w:rPr>
                <w:rFonts w:ascii="宋体" w:hAnsi="宋体" w:cs="宋体" w:eastAsia="宋体" w:hint="default"/>
                <w:sz w:val="18"/>
                <w:szCs w:val="18"/>
              </w:rPr>
              <w:t>    非流动负债</w:t>
            </w:r>
          </w:p>
        </w:tc>
        <w:tc>
          <w:tcPr>
            <w:tcW w:w="1822"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248"/>
              <w:jc w:val="right"/>
              <w:rPr>
                <w:rFonts w:ascii="Times New Roman" w:hAnsi="Times New Roman" w:cs="Times New Roman" w:eastAsia="Times New Roman" w:hint="default"/>
                <w:sz w:val="18"/>
                <w:szCs w:val="18"/>
              </w:rPr>
            </w:pPr>
            <w:r>
              <w:rPr>
                <w:rFonts w:ascii="Times New Roman"/>
                <w:spacing w:val="-2"/>
                <w:sz w:val="18"/>
              </w:rPr>
              <w:t>158,118</w:t>
            </w:r>
          </w:p>
        </w:tc>
        <w:tc>
          <w:tcPr>
            <w:tcW w:w="1364" w:type="dxa"/>
            <w:tcBorders>
              <w:top w:val="nil" w:sz="6" w:space="0" w:color="auto"/>
              <w:left w:val="nil" w:sz="6" w:space="0" w:color="auto"/>
              <w:bottom w:val="single" w:sz="8"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tabs>
          <w:tab w:pos="1393" w:val="left" w:leader="none"/>
        </w:tabs>
        <w:spacing w:before="35"/>
        <w:ind w:left="855" w:right="0" w:firstLine="0"/>
        <w:jc w:val="left"/>
        <w:rPr>
          <w:rFonts w:ascii="宋体" w:hAnsi="宋体" w:cs="宋体" w:eastAsia="宋体" w:hint="default"/>
          <w:sz w:val="21"/>
          <w:szCs w:val="21"/>
        </w:rPr>
      </w:pPr>
      <w:r>
        <w:rPr/>
        <w:pict>
          <v:group style="position:absolute;margin-left:88.140007pt;margin-top:-379.166138pt;width:444.45pt;height:355.3pt;mso-position-horizontal-relative:page;mso-position-vertical-relative:paragraph;z-index:-977824" coordorigin="1763,-7583" coordsize="8889,7106">
            <v:group style="position:absolute;left:1768;top:-7579;width:8877;height:2" coordorigin="1768,-7579" coordsize="8877,2">
              <v:shape style="position:absolute;left:1768;top:-7579;width:8877;height:2" coordorigin="1768,-7579" coordsize="8877,0" path="m1768,-7579l10644,-7579e" filled="false" stroked="true" strokeweight=".47998pt" strokecolor="#000000">
                <v:path arrowok="t"/>
              </v:shape>
            </v:group>
            <v:group style="position:absolute;left:2407;top:-7564;width:4982;height:2" coordorigin="2407,-7564" coordsize="4982,2">
              <v:shape style="position:absolute;left:2407;top:-7564;width:4982;height:2" coordorigin="2407,-7564" coordsize="4982,0" path="m2407,-7564l7388,-7564e" filled="false" stroked="true" strokeweight=".96002pt" strokecolor="#000000">
                <v:path arrowok="t"/>
              </v:shape>
            </v:group>
            <v:group style="position:absolute;left:7388;top:-7564;width:20;height:2" coordorigin="7388,-7564" coordsize="20,2">
              <v:shape style="position:absolute;left:7388;top:-7564;width:20;height:2" coordorigin="7388,-7564" coordsize="20,0" path="m7388,-7564l7408,-7564e" filled="false" stroked="true" strokeweight=".96002pt" strokecolor="#000000">
                <v:path arrowok="t"/>
              </v:shape>
            </v:group>
            <v:group style="position:absolute;left:7408;top:-7564;width:1727;height:2" coordorigin="7408,-7564" coordsize="1727,2">
              <v:shape style="position:absolute;left:7408;top:-7564;width:1727;height:2" coordorigin="7408,-7564" coordsize="1727,0" path="m7408,-7564l9134,-7564e" filled="false" stroked="true" strokeweight=".96pt" strokecolor="#000000">
                <v:path arrowok="t"/>
              </v:shape>
            </v:group>
            <v:group style="position:absolute;left:9134;top:-7564;width:1504;height:2" coordorigin="9134,-7564" coordsize="1504,2">
              <v:shape style="position:absolute;left:9134;top:-7564;width:1504;height:2" coordorigin="9134,-7564" coordsize="1504,0" path="m9134,-7564l10638,-7564e" filled="false" stroked="true" strokeweight=".96002pt" strokecolor="#000000">
                <v:path arrowok="t"/>
              </v:shape>
              <v:shape style="position:absolute;left:2407;top:-7555;width:8244;height:7076" type="#_x0000_t75" stroked="false">
                <v:imagedata r:id="rId141" o:title=""/>
              </v:shape>
            </v:group>
            <w10:wrap type="none"/>
          </v:group>
        </w:pict>
      </w:r>
      <w:r>
        <w:rPr/>
        <w:pict>
          <v:group style="position:absolute;margin-left:119.880005pt;margin-top:17.073833pt;width:412.65pt;height:164.55pt;mso-position-horizontal-relative:page;mso-position-vertical-relative:paragraph;z-index:-977800" coordorigin="2398,341" coordsize="8253,3291">
            <v:group style="position:absolute;left:2407;top:351;width:5000;height:2" coordorigin="2407,351" coordsize="5000,2">
              <v:shape style="position:absolute;left:2407;top:351;width:5000;height:2" coordorigin="2407,351" coordsize="5000,0" path="m2407,351l7406,351e" filled="false" stroked="true" strokeweight=".95999pt" strokecolor="#000000">
                <v:path arrowok="t"/>
              </v:shape>
            </v:group>
            <v:group style="position:absolute;left:7406;top:351;width:20;height:2" coordorigin="7406,351" coordsize="20,2">
              <v:shape style="position:absolute;left:7406;top:351;width:20;height:2" coordorigin="7406,351" coordsize="20,0" path="m7406,351l7426,351e" filled="false" stroked="true" strokeweight=".95999pt" strokecolor="#000000">
                <v:path arrowok="t"/>
              </v:shape>
            </v:group>
            <v:group style="position:absolute;left:7426;top:351;width:1703;height:2" coordorigin="7426,351" coordsize="1703,2">
              <v:shape style="position:absolute;left:7426;top:351;width:1703;height:2" coordorigin="7426,351" coordsize="1703,0" path="m7426,351l9128,351e" filled="false" stroked="true" strokeweight=".96pt" strokecolor="#000000">
                <v:path arrowok="t"/>
              </v:shape>
            </v:group>
            <v:group style="position:absolute;left:9128;top:351;width:1510;height:2" coordorigin="9128,351" coordsize="1510,2">
              <v:shape style="position:absolute;left:9128;top:351;width:1510;height:2" coordorigin="9128,351" coordsize="1510,0" path="m9128,351l10638,351e" filled="false" stroked="true" strokeweight=".95999pt" strokecolor="#000000">
                <v:path arrowok="t"/>
              </v:shape>
              <v:shape style="position:absolute;left:2407;top:361;width:8243;height:3271" type="#_x0000_t75" stroked="false">
                <v:imagedata r:id="rId142" o:title=""/>
              </v:shape>
            </v:group>
            <w10:wrap type="none"/>
          </v:group>
        </w:pict>
      </w: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现金和现金等价物的构成：</w:t>
      </w:r>
    </w:p>
    <w:p>
      <w:pPr>
        <w:spacing w:line="240" w:lineRule="auto" w:before="11"/>
        <w:rPr>
          <w:rFonts w:ascii="宋体" w:hAnsi="宋体" w:cs="宋体" w:eastAsia="宋体" w:hint="default"/>
          <w:sz w:val="9"/>
          <w:szCs w:val="9"/>
        </w:rPr>
      </w:pPr>
    </w:p>
    <w:tbl>
      <w:tblPr>
        <w:tblW w:w="0" w:type="auto"/>
        <w:jc w:val="left"/>
        <w:tblInd w:w="732" w:type="dxa"/>
        <w:tblLayout w:type="fixed"/>
        <w:tblCellMar>
          <w:top w:w="0" w:type="dxa"/>
          <w:left w:w="0" w:type="dxa"/>
          <w:bottom w:w="0" w:type="dxa"/>
          <w:right w:w="0" w:type="dxa"/>
        </w:tblCellMar>
        <w:tblLook w:val="01E0"/>
      </w:tblPr>
      <w:tblGrid>
        <w:gridCol w:w="4351"/>
        <w:gridCol w:w="2520"/>
        <w:gridCol w:w="1382"/>
      </w:tblGrid>
      <w:tr>
        <w:trPr>
          <w:trHeight w:val="814" w:hRule="exact"/>
        </w:trPr>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54" w:right="0"/>
              <w:jc w:val="left"/>
              <w:rPr>
                <w:rFonts w:ascii="宋体" w:hAnsi="宋体" w:cs="宋体" w:eastAsia="宋体" w:hint="default"/>
                <w:sz w:val="18"/>
                <w:szCs w:val="18"/>
              </w:rPr>
            </w:pPr>
            <w:r>
              <w:rPr>
                <w:rFonts w:ascii="宋体" w:hAnsi="宋体" w:cs="宋体" w:eastAsia="宋体" w:hint="default"/>
                <w:sz w:val="18"/>
                <w:szCs w:val="18"/>
              </w:rPr>
              <w:t>项    目 </w:t>
            </w: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1" w:right="0"/>
              <w:jc w:val="left"/>
              <w:rPr>
                <w:rFonts w:ascii="宋体" w:hAnsi="宋体" w:cs="宋体" w:eastAsia="宋体" w:hint="default"/>
                <w:sz w:val="18"/>
                <w:szCs w:val="18"/>
              </w:rPr>
            </w:pPr>
            <w:r>
              <w:rPr>
                <w:rFonts w:ascii="宋体" w:hAnsi="宋体" w:cs="宋体" w:eastAsia="宋体" w:hint="default"/>
                <w:sz w:val="18"/>
                <w:szCs w:val="18"/>
              </w:rPr>
              <w:t>一、现    金</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69" w:right="0"/>
              <w:jc w:val="left"/>
              <w:rPr>
                <w:rFonts w:ascii="宋体" w:hAnsi="宋体" w:cs="宋体" w:eastAsia="宋体" w:hint="default"/>
                <w:sz w:val="18"/>
                <w:szCs w:val="18"/>
              </w:rPr>
            </w:pPr>
            <w:r>
              <w:rPr>
                <w:rFonts w:ascii="宋体" w:hAnsi="宋体" w:cs="宋体" w:eastAsia="宋体" w:hint="default"/>
                <w:sz w:val="18"/>
                <w:szCs w:val="18"/>
              </w:rPr>
              <w:t>期末金额</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247" w:right="0"/>
              <w:jc w:val="left"/>
              <w:rPr>
                <w:rFonts w:ascii="Times New Roman" w:hAnsi="Times New Roman" w:cs="Times New Roman" w:eastAsia="Times New Roman" w:hint="default"/>
                <w:sz w:val="18"/>
                <w:szCs w:val="18"/>
              </w:rPr>
            </w:pPr>
            <w:r>
              <w:rPr>
                <w:rFonts w:ascii="Times New Roman"/>
                <w:sz w:val="18"/>
              </w:rPr>
              <w:t>1,615,989,046</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4" w:right="0"/>
              <w:jc w:val="left"/>
              <w:rPr>
                <w:rFonts w:ascii="宋体" w:hAnsi="宋体" w:cs="宋体" w:eastAsia="宋体" w:hint="default"/>
                <w:sz w:val="18"/>
                <w:szCs w:val="18"/>
              </w:rPr>
            </w:pPr>
            <w:r>
              <w:rPr>
                <w:rFonts w:ascii="宋体" w:hAnsi="宋体" w:cs="宋体" w:eastAsia="宋体" w:hint="default"/>
                <w:sz w:val="18"/>
                <w:szCs w:val="18"/>
              </w:rPr>
              <w:t>期初金额</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1,155,168,032</w:t>
            </w:r>
          </w:p>
        </w:tc>
      </w:tr>
      <w:tr>
        <w:trPr>
          <w:trHeight w:val="410" w:hRule="exact"/>
        </w:trPr>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1"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5"/>
              <w:jc w:val="right"/>
              <w:rPr>
                <w:rFonts w:ascii="Times New Roman" w:hAnsi="Times New Roman" w:cs="Times New Roman" w:eastAsia="Times New Roman" w:hint="default"/>
                <w:sz w:val="18"/>
                <w:szCs w:val="18"/>
              </w:rPr>
            </w:pPr>
            <w:r>
              <w:rPr>
                <w:rFonts w:ascii="Times New Roman"/>
                <w:sz w:val="18"/>
              </w:rPr>
              <w:t>155,016</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496,480</w:t>
            </w:r>
          </w:p>
        </w:tc>
      </w:tr>
      <w:tr>
        <w:trPr>
          <w:trHeight w:val="410" w:hRule="exact"/>
        </w:trPr>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661"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5"/>
              <w:jc w:val="right"/>
              <w:rPr>
                <w:rFonts w:ascii="Times New Roman" w:hAnsi="Times New Roman" w:cs="Times New Roman" w:eastAsia="Times New Roman" w:hint="default"/>
                <w:sz w:val="18"/>
                <w:szCs w:val="18"/>
              </w:rPr>
            </w:pPr>
            <w:r>
              <w:rPr>
                <w:rFonts w:ascii="Times New Roman"/>
                <w:spacing w:val="-1"/>
                <w:sz w:val="18"/>
              </w:rPr>
              <w:t>1,615,833,566</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pacing w:val="-1"/>
                <w:sz w:val="18"/>
              </w:rPr>
              <w:t>1,154,355,300</w:t>
            </w:r>
          </w:p>
        </w:tc>
      </w:tr>
      <w:tr>
        <w:trPr>
          <w:trHeight w:val="810" w:hRule="exact"/>
        </w:trPr>
        <w:tc>
          <w:tcPr>
            <w:tcW w:w="4351" w:type="dxa"/>
            <w:tcBorders>
              <w:top w:val="nil" w:sz="6" w:space="0" w:color="auto"/>
              <w:left w:val="nil" w:sz="6" w:space="0" w:color="auto"/>
              <w:bottom w:val="nil" w:sz="6" w:space="0" w:color="auto"/>
              <w:right w:val="nil" w:sz="6" w:space="0" w:color="auto"/>
            </w:tcBorders>
          </w:tcPr>
          <w:p>
            <w:pPr>
              <w:pStyle w:val="TableParagraph"/>
              <w:spacing w:line="417" w:lineRule="auto" w:before="50"/>
              <w:ind w:left="121" w:right="1167" w:firstLine="54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 二、现金等价物</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4"/>
              <w:jc w:val="right"/>
              <w:rPr>
                <w:rFonts w:ascii="Times New Roman" w:hAnsi="Times New Roman" w:cs="Times New Roman" w:eastAsia="Times New Roman" w:hint="default"/>
                <w:sz w:val="18"/>
                <w:szCs w:val="18"/>
              </w:rPr>
            </w:pPr>
            <w:r>
              <w:rPr>
                <w:rFonts w:ascii="Times New Roman"/>
                <w:sz w:val="18"/>
              </w:rPr>
              <w:t>464</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316,252</w:t>
            </w:r>
          </w:p>
        </w:tc>
      </w:tr>
      <w:tr>
        <w:trPr>
          <w:trHeight w:val="410" w:hRule="exact"/>
        </w:trPr>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1"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2520" w:type="dxa"/>
            <w:tcBorders>
              <w:top w:val="nil" w:sz="6" w:space="0" w:color="auto"/>
              <w:left w:val="nil" w:sz="6" w:space="0" w:color="auto"/>
              <w:bottom w:val="nil" w:sz="6" w:space="0" w:color="auto"/>
              <w:right w:val="nil" w:sz="6" w:space="0" w:color="auto"/>
            </w:tcBorders>
          </w:tcPr>
          <w:p>
            <w:pPr/>
          </w:p>
        </w:tc>
        <w:tc>
          <w:tcPr>
            <w:tcW w:w="1382" w:type="dxa"/>
            <w:tcBorders>
              <w:top w:val="nil" w:sz="6" w:space="0" w:color="auto"/>
              <w:left w:val="nil" w:sz="6" w:space="0" w:color="auto"/>
              <w:bottom w:val="nil" w:sz="6" w:space="0" w:color="auto"/>
              <w:right w:val="nil" w:sz="6" w:space="0" w:color="auto"/>
            </w:tcBorders>
          </w:tcPr>
          <w:p>
            <w:pPr/>
          </w:p>
        </w:tc>
      </w:tr>
      <w:tr>
        <w:trPr>
          <w:trHeight w:val="333" w:hRule="exact"/>
        </w:trPr>
        <w:tc>
          <w:tcPr>
            <w:tcW w:w="4351" w:type="dxa"/>
            <w:tcBorders>
              <w:top w:val="nil" w:sz="6" w:space="0" w:color="auto"/>
              <w:left w:val="nil" w:sz="6" w:space="0" w:color="auto"/>
              <w:bottom w:val="single" w:sz="8" w:space="0" w:color="000000"/>
              <w:right w:val="nil" w:sz="6" w:space="0" w:color="auto"/>
            </w:tcBorders>
          </w:tcPr>
          <w:p>
            <w:pPr>
              <w:pStyle w:val="TableParagraph"/>
              <w:spacing w:line="240" w:lineRule="auto" w:before="59"/>
              <w:ind w:left="121"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2520"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right="235"/>
              <w:jc w:val="right"/>
              <w:rPr>
                <w:rFonts w:ascii="Times New Roman" w:hAnsi="Times New Roman" w:cs="Times New Roman" w:eastAsia="Times New Roman" w:hint="default"/>
                <w:sz w:val="18"/>
                <w:szCs w:val="18"/>
              </w:rPr>
            </w:pPr>
            <w:r>
              <w:rPr>
                <w:rFonts w:ascii="Times New Roman"/>
                <w:spacing w:val="-1"/>
                <w:sz w:val="18"/>
              </w:rPr>
              <w:t>1,615,989,046</w:t>
            </w:r>
          </w:p>
        </w:tc>
        <w:tc>
          <w:tcPr>
            <w:tcW w:w="1382"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right="107"/>
              <w:jc w:val="right"/>
              <w:rPr>
                <w:rFonts w:ascii="Times New Roman" w:hAnsi="Times New Roman" w:cs="Times New Roman" w:eastAsia="Times New Roman" w:hint="default"/>
                <w:sz w:val="18"/>
                <w:szCs w:val="18"/>
              </w:rPr>
            </w:pPr>
            <w:r>
              <w:rPr>
                <w:rFonts w:ascii="Times New Roman"/>
                <w:spacing w:val="-1"/>
                <w:sz w:val="18"/>
              </w:rPr>
              <w:t>1,155,168,032</w:t>
            </w:r>
          </w:p>
        </w:tc>
      </w:tr>
    </w:tbl>
    <w:p>
      <w:pPr>
        <w:tabs>
          <w:tab w:pos="851" w:val="left" w:leader="none"/>
        </w:tabs>
        <w:spacing w:line="698" w:lineRule="auto" w:before="83"/>
        <w:ind w:left="123" w:right="472" w:firstLine="732"/>
        <w:jc w:val="left"/>
        <w:rPr>
          <w:rFonts w:ascii="宋体" w:hAnsi="宋体" w:cs="宋体" w:eastAsia="宋体" w:hint="default"/>
          <w:sz w:val="21"/>
          <w:szCs w:val="21"/>
        </w:rPr>
      </w:pPr>
      <w:r>
        <w:rPr>
          <w:rFonts w:ascii="宋体" w:hAnsi="宋体" w:cs="宋体" w:eastAsia="宋体" w:hint="default"/>
          <w:sz w:val="21"/>
          <w:szCs w:val="21"/>
        </w:rPr>
        <w:t>注：现金和现金等价物不含母公司或集团内子公司使用受限制的现金和现金等价物。 六、</w:t>
        <w:tab/>
        <w:t>本期无资产证券化业务的会计处理</w:t>
      </w:r>
    </w:p>
    <w:p>
      <w:pPr>
        <w:spacing w:after="0" w:line="698" w:lineRule="auto"/>
        <w:jc w:val="left"/>
        <w:rPr>
          <w:rFonts w:ascii="宋体" w:hAnsi="宋体" w:cs="宋体" w:eastAsia="宋体" w:hint="default"/>
          <w:sz w:val="21"/>
          <w:szCs w:val="21"/>
        </w:rPr>
        <w:sectPr>
          <w:pgSz w:w="11900" w:h="16840"/>
          <w:pgMar w:header="0" w:footer="1003" w:top="1540" w:bottom="1200" w:left="1660" w:right="1140"/>
        </w:sectPr>
      </w:pPr>
    </w:p>
    <w:p>
      <w:pPr>
        <w:spacing w:line="240" w:lineRule="auto" w:before="6"/>
        <w:rPr>
          <w:rFonts w:ascii="宋体" w:hAnsi="宋体" w:cs="宋体" w:eastAsia="宋体" w:hint="default"/>
          <w:sz w:val="16"/>
          <w:szCs w:val="16"/>
        </w:rPr>
      </w:pPr>
    </w:p>
    <w:p>
      <w:pPr>
        <w:tabs>
          <w:tab w:pos="853" w:val="left" w:leader="none"/>
        </w:tabs>
        <w:spacing w:before="35"/>
        <w:ind w:left="125" w:right="0" w:firstLine="0"/>
        <w:jc w:val="left"/>
        <w:rPr>
          <w:rFonts w:ascii="宋体" w:hAnsi="宋体" w:cs="宋体" w:eastAsia="宋体" w:hint="default"/>
          <w:sz w:val="21"/>
          <w:szCs w:val="21"/>
        </w:rPr>
      </w:pPr>
      <w:r>
        <w:rPr>
          <w:rFonts w:ascii="宋体" w:hAnsi="宋体" w:cs="宋体" w:eastAsia="宋体" w:hint="default"/>
          <w:sz w:val="21"/>
          <w:szCs w:val="21"/>
        </w:rPr>
        <w:t>七、</w:t>
        <w:tab/>
        <w:t>关联方及关联交易</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4"/>
          <w:szCs w:val="14"/>
        </w:rPr>
      </w:pPr>
    </w:p>
    <w:p>
      <w:pPr>
        <w:tabs>
          <w:tab w:pos="853" w:val="left" w:leader="none"/>
          <w:tab w:pos="12445" w:val="left" w:leader="none"/>
        </w:tabs>
        <w:spacing w:before="0"/>
        <w:ind w:left="125" w:right="0" w:firstLine="0"/>
        <w:jc w:val="left"/>
        <w:rPr>
          <w:rFonts w:ascii="宋体" w:hAnsi="宋体" w:cs="宋体" w:eastAsia="宋体" w:hint="default"/>
          <w:sz w:val="18"/>
          <w:szCs w:val="18"/>
        </w:rPr>
      </w:pPr>
      <w:r>
        <w:rPr/>
        <w:pict>
          <v:group style="position:absolute;margin-left:101.990997pt;margin-top:15.323359pt;width:669.4pt;height:371.8pt;mso-position-horizontal-relative:page;mso-position-vertical-relative:paragraph;z-index:-977776" coordorigin="2040,306" coordsize="13388,7436">
            <v:group style="position:absolute;left:2049;top:316;width:2391;height:2" coordorigin="2049,316" coordsize="2391,2">
              <v:shape style="position:absolute;left:2049;top:316;width:2391;height:2" coordorigin="2049,316" coordsize="2391,0" path="m2049,316l4440,316e" filled="false" stroked="true" strokeweight=".96001pt" strokecolor="#000000">
                <v:path arrowok="t"/>
              </v:shape>
            </v:group>
            <v:group style="position:absolute;left:4440;top:316;width:764;height:2" coordorigin="4440,316" coordsize="764,2">
              <v:shape style="position:absolute;left:4440;top:316;width:764;height:2" coordorigin="4440,316" coordsize="764,0" path="m4440,316l5203,316e" filled="false" stroked="true" strokeweight=".96001pt" strokecolor="#000000">
                <v:path arrowok="t"/>
              </v:shape>
            </v:group>
            <v:group style="position:absolute;left:5203;top:316;width:1348;height:2" coordorigin="5203,316" coordsize="1348,2">
              <v:shape style="position:absolute;left:5203;top:316;width:1348;height:2" coordorigin="5203,316" coordsize="1348,0" path="m5203,316l6551,316e" filled="false" stroked="true" strokeweight=".96001pt" strokecolor="#000000">
                <v:path arrowok="t"/>
              </v:shape>
            </v:group>
            <v:group style="position:absolute;left:6551;top:316;width:1175;height:2" coordorigin="6551,316" coordsize="1175,2">
              <v:shape style="position:absolute;left:6551;top:316;width:1175;height:2" coordorigin="6551,316" coordsize="1175,0" path="m6551,316l7725,316e" filled="false" stroked="true" strokeweight=".96001pt" strokecolor="#000000">
                <v:path arrowok="t"/>
              </v:shape>
            </v:group>
            <v:group style="position:absolute;left:7725;top:316;width:976;height:2" coordorigin="7725,316" coordsize="976,2">
              <v:shape style="position:absolute;left:7725;top:316;width:976;height:2" coordorigin="7725,316" coordsize="976,0" path="m7725,316l8701,316e" filled="false" stroked="true" strokeweight=".96001pt" strokecolor="#000000">
                <v:path arrowok="t"/>
              </v:shape>
            </v:group>
            <v:group style="position:absolute;left:8701;top:316;width:2414;height:2" coordorigin="8701,316" coordsize="2414,2">
              <v:shape style="position:absolute;left:8701;top:316;width:2414;height:2" coordorigin="8701,316" coordsize="2414,0" path="m8701,316l11114,316e" filled="false" stroked="true" strokeweight=".96001pt" strokecolor="#000000">
                <v:path arrowok="t"/>
              </v:shape>
            </v:group>
            <v:group style="position:absolute;left:11114;top:316;width:1241;height:2" coordorigin="11114,316" coordsize="1241,2">
              <v:shape style="position:absolute;left:11114;top:316;width:1241;height:2" coordorigin="11114,316" coordsize="1241,0" path="m11114,316l12355,316e" filled="false" stroked="true" strokeweight=".96001pt" strokecolor="#000000">
                <v:path arrowok="t"/>
              </v:shape>
            </v:group>
            <v:group style="position:absolute;left:12355;top:316;width:1052;height:2" coordorigin="12355,316" coordsize="1052,2">
              <v:shape style="position:absolute;left:12355;top:316;width:1052;height:2" coordorigin="12355,316" coordsize="1052,0" path="m12355,316l13406,316e" filled="false" stroked="true" strokeweight=".96001pt" strokecolor="#000000">
                <v:path arrowok="t"/>
              </v:shape>
            </v:group>
            <v:group style="position:absolute;left:13406;top:316;width:980;height:2" coordorigin="13406,316" coordsize="980,2">
              <v:shape style="position:absolute;left:13406;top:316;width:980;height:2" coordorigin="13406,316" coordsize="980,0" path="m13406,316l14385,316e" filled="false" stroked="true" strokeweight=".96001pt" strokecolor="#000000">
                <v:path arrowok="t"/>
              </v:shape>
            </v:group>
            <v:group style="position:absolute;left:14385;top:316;width:1032;height:2" coordorigin="14385,316" coordsize="1032,2">
              <v:shape style="position:absolute;left:14385;top:316;width:1032;height:2" coordorigin="14385,316" coordsize="1032,0" path="m14385,316l15417,316e" filled="false" stroked="true" strokeweight=".96001pt" strokecolor="#000000">
                <v:path arrowok="t"/>
              </v:shape>
              <v:shape style="position:absolute;left:2049;top:326;width:13378;height:7416" type="#_x0000_t75" stroked="false">
                <v:imagedata r:id="rId145" o:titl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本企业的子公司情况：</w:t>
        <w:tab/>
      </w:r>
      <w:r>
        <w:rPr>
          <w:rFonts w:ascii="宋体" w:hAnsi="宋体" w:cs="宋体" w:eastAsia="宋体" w:hint="default"/>
          <w:sz w:val="18"/>
          <w:szCs w:val="18"/>
        </w:rPr>
        <w:t>（金额单位：万元）</w:t>
      </w:r>
    </w:p>
    <w:p>
      <w:pPr>
        <w:spacing w:line="240" w:lineRule="auto" w:before="0"/>
        <w:rPr>
          <w:rFonts w:ascii="宋体" w:hAnsi="宋体" w:cs="宋体" w:eastAsia="宋体" w:hint="default"/>
          <w:sz w:val="12"/>
          <w:szCs w:val="12"/>
        </w:rPr>
      </w:pPr>
    </w:p>
    <w:tbl>
      <w:tblPr>
        <w:tblW w:w="0" w:type="auto"/>
        <w:jc w:val="left"/>
        <w:tblInd w:w="735" w:type="dxa"/>
        <w:tblLayout w:type="fixed"/>
        <w:tblCellMar>
          <w:top w:w="0" w:type="dxa"/>
          <w:left w:w="0" w:type="dxa"/>
          <w:bottom w:w="0" w:type="dxa"/>
          <w:right w:w="0" w:type="dxa"/>
        </w:tblCellMar>
        <w:tblLook w:val="01E0"/>
      </w:tblPr>
      <w:tblGrid>
        <w:gridCol w:w="2318"/>
        <w:gridCol w:w="865"/>
        <w:gridCol w:w="1169"/>
        <w:gridCol w:w="533"/>
        <w:gridCol w:w="652"/>
        <w:gridCol w:w="1091"/>
        <w:gridCol w:w="2508"/>
        <w:gridCol w:w="1271"/>
        <w:gridCol w:w="973"/>
        <w:gridCol w:w="1009"/>
        <w:gridCol w:w="1001"/>
      </w:tblGrid>
      <w:tr>
        <w:trPr>
          <w:trHeight w:val="739"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86" w:right="0"/>
              <w:jc w:val="left"/>
              <w:rPr>
                <w:rFonts w:ascii="宋体" w:hAnsi="宋体" w:cs="宋体" w:eastAsia="宋体" w:hint="default"/>
                <w:sz w:val="13"/>
                <w:szCs w:val="13"/>
              </w:rPr>
            </w:pPr>
            <w:r>
              <w:rPr>
                <w:rFonts w:ascii="宋体" w:hAnsi="宋体" w:cs="宋体" w:eastAsia="宋体" w:hint="default"/>
                <w:sz w:val="13"/>
                <w:szCs w:val="13"/>
              </w:rPr>
              <w:t>子公司全称</w:t>
            </w: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91" w:right="0"/>
              <w:jc w:val="left"/>
              <w:rPr>
                <w:rFonts w:ascii="宋体" w:hAnsi="宋体" w:cs="宋体" w:eastAsia="宋体" w:hint="default"/>
                <w:sz w:val="13"/>
                <w:szCs w:val="13"/>
              </w:rPr>
            </w:pPr>
            <w:r>
              <w:rPr>
                <w:rFonts w:ascii="宋体" w:hAnsi="宋体" w:cs="宋体" w:eastAsia="宋体" w:hint="default"/>
                <w:sz w:val="13"/>
                <w:szCs w:val="13"/>
              </w:rPr>
              <w:t>东软集团（成都）有限公司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48" w:right="0"/>
              <w:jc w:val="left"/>
              <w:rPr>
                <w:rFonts w:ascii="宋体" w:hAnsi="宋体" w:cs="宋体" w:eastAsia="宋体" w:hint="default"/>
                <w:sz w:val="13"/>
                <w:szCs w:val="13"/>
              </w:rPr>
            </w:pPr>
            <w:r>
              <w:rPr>
                <w:rFonts w:ascii="宋体" w:hAnsi="宋体" w:cs="宋体" w:eastAsia="宋体" w:hint="default"/>
                <w:sz w:val="13"/>
                <w:szCs w:val="13"/>
              </w:rPr>
              <w:t>子公司类型</w:t>
            </w: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04" w:right="0"/>
              <w:jc w:val="left"/>
              <w:rPr>
                <w:rFonts w:ascii="宋体" w:hAnsi="宋体" w:cs="宋体" w:eastAsia="宋体" w:hint="default"/>
                <w:sz w:val="13"/>
                <w:szCs w:val="13"/>
              </w:rPr>
            </w:pPr>
            <w:r>
              <w:rPr>
                <w:rFonts w:ascii="宋体" w:hAnsi="宋体" w:cs="宋体" w:eastAsia="宋体" w:hint="default"/>
                <w:sz w:val="13"/>
                <w:szCs w:val="13"/>
              </w:rPr>
              <w:t>企业类型</w:t>
            </w: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right="26"/>
              <w:jc w:val="right"/>
              <w:rPr>
                <w:rFonts w:ascii="宋体" w:hAnsi="宋体" w:cs="宋体" w:eastAsia="宋体" w:hint="default"/>
                <w:sz w:val="13"/>
                <w:szCs w:val="13"/>
              </w:rPr>
            </w:pPr>
            <w:r>
              <w:rPr>
                <w:rFonts w:ascii="宋体" w:hAnsi="宋体" w:cs="宋体" w:eastAsia="宋体" w:hint="default"/>
                <w:w w:val="95"/>
                <w:sz w:val="13"/>
                <w:szCs w:val="13"/>
              </w:rPr>
              <w:t>成都</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8" w:right="0"/>
              <w:jc w:val="left"/>
              <w:rPr>
                <w:rFonts w:ascii="宋体" w:hAnsi="宋体" w:cs="宋体" w:eastAsia="宋体" w:hint="default"/>
                <w:sz w:val="13"/>
                <w:szCs w:val="13"/>
              </w:rPr>
            </w:pPr>
            <w:r>
              <w:rPr>
                <w:rFonts w:ascii="宋体" w:hAnsi="宋体" w:cs="宋体" w:eastAsia="宋体" w:hint="default"/>
                <w:sz w:val="13"/>
                <w:szCs w:val="13"/>
              </w:rPr>
              <w:t>注册地</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21" w:right="0"/>
              <w:jc w:val="left"/>
              <w:rPr>
                <w:rFonts w:ascii="宋体" w:hAnsi="宋体" w:cs="宋体" w:eastAsia="宋体" w:hint="default"/>
                <w:sz w:val="13"/>
                <w:szCs w:val="13"/>
              </w:rPr>
            </w:pPr>
            <w:r>
              <w:rPr>
                <w:rFonts w:ascii="宋体" w:hAnsi="宋体" w:cs="宋体" w:eastAsia="宋体" w:hint="default"/>
                <w:sz w:val="13"/>
                <w:szCs w:val="13"/>
              </w:rPr>
              <w:t>法定代表人</w:t>
            </w: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35" w:right="0"/>
              <w:jc w:val="left"/>
              <w:rPr>
                <w:rFonts w:ascii="宋体" w:hAnsi="宋体" w:cs="宋体" w:eastAsia="宋体" w:hint="default"/>
                <w:sz w:val="13"/>
                <w:szCs w:val="13"/>
              </w:rPr>
            </w:pPr>
            <w:r>
              <w:rPr>
                <w:rFonts w:ascii="宋体" w:hAnsi="宋体" w:cs="宋体" w:eastAsia="宋体" w:hint="default"/>
                <w:sz w:val="13"/>
                <w:szCs w:val="13"/>
              </w:rPr>
              <w:t>刘积仁</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990" w:right="0"/>
              <w:jc w:val="left"/>
              <w:rPr>
                <w:rFonts w:ascii="宋体" w:hAnsi="宋体" w:cs="宋体" w:eastAsia="宋体" w:hint="default"/>
                <w:sz w:val="13"/>
                <w:szCs w:val="13"/>
              </w:rPr>
            </w:pPr>
            <w:r>
              <w:rPr>
                <w:rFonts w:ascii="宋体" w:hAnsi="宋体" w:cs="宋体" w:eastAsia="宋体" w:hint="default"/>
                <w:sz w:val="13"/>
                <w:szCs w:val="13"/>
              </w:rPr>
              <w:t>业务性质</w:t>
            </w: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120"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09" w:right="0"/>
              <w:jc w:val="left"/>
              <w:rPr>
                <w:rFonts w:ascii="宋体" w:hAnsi="宋体" w:cs="宋体" w:eastAsia="宋体" w:hint="default"/>
                <w:sz w:val="13"/>
                <w:szCs w:val="13"/>
              </w:rPr>
            </w:pPr>
            <w:r>
              <w:rPr>
                <w:rFonts w:ascii="宋体" w:hAnsi="宋体" w:cs="宋体" w:eastAsia="宋体" w:hint="default"/>
                <w:sz w:val="13"/>
                <w:szCs w:val="13"/>
              </w:rPr>
              <w:t>注册资本</w:t>
            </w: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3"/>
              <w:ind w:right="139"/>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15"/>
              <w:jc w:val="right"/>
              <w:rPr>
                <w:rFonts w:ascii="Times New Roman" w:hAnsi="Times New Roman" w:cs="Times New Roman" w:eastAsia="Times New Roman" w:hint="default"/>
                <w:sz w:val="13"/>
                <w:szCs w:val="13"/>
              </w:rPr>
            </w:pPr>
            <w:r>
              <w:rPr>
                <w:rFonts w:ascii="宋体" w:hAnsi="宋体" w:cs="宋体" w:eastAsia="宋体" w:hint="default"/>
                <w:w w:val="95"/>
                <w:sz w:val="13"/>
                <w:szCs w:val="13"/>
              </w:rPr>
              <w:t>持股比例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00"/>
              <w:jc w:val="right"/>
              <w:rPr>
                <w:rFonts w:ascii="Times New Roman" w:hAnsi="Times New Roman" w:cs="Times New Roman" w:eastAsia="Times New Roman" w:hint="default"/>
                <w:sz w:val="13"/>
                <w:szCs w:val="13"/>
              </w:rPr>
            </w:pPr>
            <w:r>
              <w:rPr>
                <w:rFonts w:ascii="宋体" w:hAnsi="宋体" w:cs="宋体" w:eastAsia="宋体" w:hint="default"/>
                <w:w w:val="95"/>
                <w:sz w:val="13"/>
                <w:szCs w:val="13"/>
              </w:rPr>
              <w:t>表决权比例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93" w:right="0"/>
              <w:jc w:val="left"/>
              <w:rPr>
                <w:rFonts w:ascii="宋体" w:hAnsi="宋体" w:cs="宋体" w:eastAsia="宋体" w:hint="default"/>
                <w:sz w:val="13"/>
                <w:szCs w:val="13"/>
              </w:rPr>
            </w:pPr>
            <w:r>
              <w:rPr>
                <w:rFonts w:ascii="宋体" w:hAnsi="宋体" w:cs="宋体" w:eastAsia="宋体" w:hint="default"/>
                <w:sz w:val="13"/>
                <w:szCs w:val="13"/>
              </w:rPr>
              <w:t>组织机构代码</w:t>
            </w: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3"/>
              <w:ind w:left="314" w:right="0"/>
              <w:jc w:val="left"/>
              <w:rPr>
                <w:rFonts w:ascii="Times New Roman" w:hAnsi="Times New Roman" w:cs="Times New Roman" w:eastAsia="Times New Roman" w:hint="default"/>
                <w:sz w:val="13"/>
                <w:szCs w:val="13"/>
              </w:rPr>
            </w:pPr>
            <w:r>
              <w:rPr>
                <w:rFonts w:ascii="Times New Roman"/>
                <w:sz w:val="13"/>
              </w:rPr>
              <w:t>78812157-9</w:t>
            </w: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东软集团（大连）有限公司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
              <w:jc w:val="right"/>
              <w:rPr>
                <w:rFonts w:ascii="宋体" w:hAnsi="宋体" w:cs="宋体" w:eastAsia="宋体" w:hint="default"/>
                <w:sz w:val="13"/>
                <w:szCs w:val="13"/>
              </w:rPr>
            </w:pPr>
            <w:r>
              <w:rPr>
                <w:rFonts w:ascii="宋体" w:hAnsi="宋体" w:cs="宋体" w:eastAsia="宋体" w:hint="default"/>
                <w:w w:val="95"/>
                <w:sz w:val="13"/>
                <w:szCs w:val="13"/>
              </w:rPr>
              <w:t>大连</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20"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79202132-7</w:t>
            </w:r>
            <w:r>
              <w:rPr>
                <w:rFonts w:ascii="Times New Roman"/>
                <w:sz w:val="13"/>
              </w:rPr>
            </w: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91" w:right="0"/>
              <w:jc w:val="left"/>
              <w:rPr>
                <w:rFonts w:ascii="宋体" w:hAnsi="宋体" w:cs="宋体" w:eastAsia="宋体" w:hint="default"/>
                <w:sz w:val="13"/>
                <w:szCs w:val="13"/>
              </w:rPr>
            </w:pPr>
            <w:r>
              <w:rPr>
                <w:rFonts w:ascii="宋体" w:hAnsi="宋体" w:cs="宋体" w:eastAsia="宋体" w:hint="default"/>
                <w:sz w:val="13"/>
                <w:szCs w:val="13"/>
              </w:rPr>
              <w:t>沈阳东软信息技术服务有限公司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6"/>
              <w:jc w:val="right"/>
              <w:rPr>
                <w:rFonts w:ascii="宋体" w:hAnsi="宋体" w:cs="宋体" w:eastAsia="宋体" w:hint="default"/>
                <w:sz w:val="13"/>
                <w:szCs w:val="13"/>
              </w:rPr>
            </w:pPr>
            <w:r>
              <w:rPr>
                <w:rFonts w:ascii="宋体" w:hAnsi="宋体" w:cs="宋体" w:eastAsia="宋体" w:hint="default"/>
                <w:w w:val="95"/>
                <w:sz w:val="13"/>
                <w:szCs w:val="13"/>
              </w:rPr>
              <w:t>沈阳</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5" w:right="0"/>
              <w:jc w:val="left"/>
              <w:rPr>
                <w:rFonts w:ascii="宋体" w:hAnsi="宋体" w:cs="宋体" w:eastAsia="宋体" w:hint="default"/>
                <w:sz w:val="13"/>
                <w:szCs w:val="13"/>
              </w:rPr>
            </w:pPr>
            <w:r>
              <w:rPr>
                <w:rFonts w:ascii="宋体" w:hAnsi="宋体" w:cs="宋体" w:eastAsia="宋体" w:hint="default"/>
                <w:sz w:val="13"/>
                <w:szCs w:val="13"/>
              </w:rPr>
              <w:t>刘积仁</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9"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31,000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78872654-3</w:t>
            </w:r>
            <w:r>
              <w:rPr>
                <w:rFonts w:ascii="Times New Roman"/>
                <w:sz w:val="13"/>
              </w:rPr>
            </w: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沈阳东软物业管理有限公司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
              <w:jc w:val="right"/>
              <w:rPr>
                <w:rFonts w:ascii="宋体" w:hAnsi="宋体" w:cs="宋体" w:eastAsia="宋体" w:hint="default"/>
                <w:sz w:val="13"/>
                <w:szCs w:val="13"/>
              </w:rPr>
            </w:pPr>
            <w:r>
              <w:rPr>
                <w:rFonts w:ascii="宋体" w:hAnsi="宋体" w:cs="宋体" w:eastAsia="宋体" w:hint="default"/>
                <w:w w:val="95"/>
                <w:sz w:val="13"/>
                <w:szCs w:val="13"/>
              </w:rPr>
              <w:t>沈阳</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王经锡</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20" w:right="0"/>
              <w:jc w:val="left"/>
              <w:rPr>
                <w:rFonts w:ascii="宋体" w:hAnsi="宋体" w:cs="宋体" w:eastAsia="宋体" w:hint="default"/>
                <w:sz w:val="13"/>
                <w:szCs w:val="13"/>
              </w:rPr>
            </w:pPr>
            <w:r>
              <w:rPr>
                <w:rFonts w:ascii="宋体" w:hAnsi="宋体" w:cs="宋体" w:eastAsia="宋体" w:hint="default"/>
                <w:sz w:val="13"/>
                <w:szCs w:val="13"/>
              </w:rPr>
              <w:t>物业管理及服务</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72091468-7</w:t>
            </w:r>
            <w:r>
              <w:rPr>
                <w:rFonts w:ascii="Times New Roman"/>
                <w:sz w:val="13"/>
              </w:rPr>
            </w: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东软科技有限公司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
              <w:jc w:val="right"/>
              <w:rPr>
                <w:rFonts w:ascii="宋体" w:hAnsi="宋体" w:cs="宋体" w:eastAsia="宋体" w:hint="default"/>
                <w:sz w:val="13"/>
                <w:szCs w:val="13"/>
              </w:rPr>
            </w:pPr>
            <w:r>
              <w:rPr>
                <w:rFonts w:ascii="宋体" w:hAnsi="宋体" w:cs="宋体" w:eastAsia="宋体" w:hint="default"/>
                <w:w w:val="95"/>
                <w:sz w:val="13"/>
                <w:szCs w:val="13"/>
              </w:rPr>
              <w:t>美国</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刘积仁</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20" w:right="0"/>
              <w:jc w:val="left"/>
              <w:rPr>
                <w:rFonts w:ascii="宋体" w:hAnsi="宋体" w:cs="宋体" w:eastAsia="宋体" w:hint="default"/>
                <w:sz w:val="13"/>
                <w:szCs w:val="13"/>
              </w:rPr>
            </w:pPr>
            <w:r>
              <w:rPr>
                <w:rFonts w:ascii="宋体" w:hAnsi="宋体" w:cs="宋体" w:eastAsia="宋体" w:hint="default"/>
                <w:sz w:val="13"/>
                <w:szCs w:val="13"/>
              </w:rPr>
              <w:t>经营计算机软硬件，技术咨询、服务</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39"/>
              <w:jc w:val="right"/>
              <w:rPr>
                <w:rFonts w:ascii="宋体" w:hAnsi="宋体" w:cs="宋体" w:eastAsia="宋体" w:hint="default"/>
                <w:sz w:val="13"/>
                <w:szCs w:val="13"/>
              </w:rPr>
            </w:pPr>
            <w:r>
              <w:rPr>
                <w:rFonts w:ascii="Times New Roman" w:hAnsi="Times New Roman" w:cs="Times New Roman" w:eastAsia="Times New Roman" w:hint="default"/>
                <w:sz w:val="13"/>
                <w:szCs w:val="13"/>
              </w:rPr>
              <w:t>0.1</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万美元</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91" w:right="0"/>
              <w:jc w:val="left"/>
              <w:rPr>
                <w:rFonts w:ascii="宋体" w:hAnsi="宋体" w:cs="宋体" w:eastAsia="宋体" w:hint="default"/>
                <w:sz w:val="13"/>
                <w:szCs w:val="13"/>
              </w:rPr>
            </w:pPr>
            <w:r>
              <w:rPr>
                <w:rFonts w:ascii="宋体" w:hAnsi="宋体" w:cs="宋体" w:eastAsia="宋体" w:hint="default"/>
                <w:sz w:val="13"/>
                <w:szCs w:val="13"/>
              </w:rPr>
              <w:t>沈阳东软医疗系统有限公司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6"/>
              <w:jc w:val="right"/>
              <w:rPr>
                <w:rFonts w:ascii="宋体" w:hAnsi="宋体" w:cs="宋体" w:eastAsia="宋体" w:hint="default"/>
                <w:sz w:val="13"/>
                <w:szCs w:val="13"/>
              </w:rPr>
            </w:pPr>
            <w:r>
              <w:rPr>
                <w:rFonts w:ascii="宋体" w:hAnsi="宋体" w:cs="宋体" w:eastAsia="宋体" w:hint="default"/>
                <w:w w:val="95"/>
                <w:sz w:val="13"/>
                <w:szCs w:val="13"/>
              </w:rPr>
              <w:t>沈阳</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5" w:right="0"/>
              <w:jc w:val="left"/>
              <w:rPr>
                <w:rFonts w:ascii="宋体" w:hAnsi="宋体" w:cs="宋体" w:eastAsia="宋体" w:hint="default"/>
                <w:sz w:val="13"/>
                <w:szCs w:val="13"/>
              </w:rPr>
            </w:pPr>
            <w:r>
              <w:rPr>
                <w:rFonts w:ascii="宋体" w:hAnsi="宋体" w:cs="宋体" w:eastAsia="宋体" w:hint="default"/>
                <w:sz w:val="13"/>
                <w:szCs w:val="13"/>
              </w:rPr>
              <w:t>刘积仁</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0" w:right="0"/>
              <w:jc w:val="left"/>
              <w:rPr>
                <w:rFonts w:ascii="宋体" w:hAnsi="宋体" w:cs="宋体" w:eastAsia="宋体" w:hint="default"/>
                <w:sz w:val="13"/>
                <w:szCs w:val="13"/>
              </w:rPr>
            </w:pPr>
            <w:r>
              <w:rPr>
                <w:rFonts w:ascii="宋体" w:hAnsi="宋体" w:cs="宋体" w:eastAsia="宋体" w:hint="default"/>
                <w:sz w:val="13"/>
                <w:szCs w:val="13"/>
              </w:rPr>
              <w:t>经营医疗系统</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7,800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70208754-2</w:t>
            </w:r>
            <w:r>
              <w:rPr>
                <w:rFonts w:ascii="Times New Roman"/>
                <w:sz w:val="13"/>
              </w:rPr>
            </w: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沈阳逐日数码广告传播有限公司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
              <w:jc w:val="right"/>
              <w:rPr>
                <w:rFonts w:ascii="宋体" w:hAnsi="宋体" w:cs="宋体" w:eastAsia="宋体" w:hint="default"/>
                <w:sz w:val="13"/>
                <w:szCs w:val="13"/>
              </w:rPr>
            </w:pPr>
            <w:r>
              <w:rPr>
                <w:rFonts w:ascii="宋体" w:hAnsi="宋体" w:cs="宋体" w:eastAsia="宋体" w:hint="default"/>
                <w:w w:val="95"/>
                <w:sz w:val="13"/>
                <w:szCs w:val="13"/>
              </w:rPr>
              <w:t>沈阳</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赵宏</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9" w:right="0"/>
              <w:jc w:val="left"/>
              <w:rPr>
                <w:rFonts w:ascii="宋体" w:hAnsi="宋体" w:cs="宋体" w:eastAsia="宋体" w:hint="default"/>
                <w:sz w:val="13"/>
                <w:szCs w:val="13"/>
              </w:rPr>
            </w:pPr>
            <w:r>
              <w:rPr>
                <w:rFonts w:ascii="宋体" w:hAnsi="宋体" w:cs="宋体" w:eastAsia="宋体" w:hint="default"/>
                <w:sz w:val="13"/>
                <w:szCs w:val="13"/>
              </w:rPr>
              <w:t>广告制作、发布</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24376645-7</w:t>
            </w:r>
            <w:r>
              <w:rPr>
                <w:rFonts w:ascii="Times New Roman"/>
                <w:sz w:val="13"/>
              </w:rPr>
            </w: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西安东软系统集成有限公司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
              <w:jc w:val="right"/>
              <w:rPr>
                <w:rFonts w:ascii="宋体" w:hAnsi="宋体" w:cs="宋体" w:eastAsia="宋体" w:hint="default"/>
                <w:sz w:val="13"/>
                <w:szCs w:val="13"/>
              </w:rPr>
            </w:pPr>
            <w:r>
              <w:rPr>
                <w:rFonts w:ascii="宋体" w:hAnsi="宋体" w:cs="宋体" w:eastAsia="宋体" w:hint="default"/>
                <w:w w:val="95"/>
                <w:sz w:val="13"/>
                <w:szCs w:val="13"/>
              </w:rPr>
              <w:t>西安</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20"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2,500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72628571-1</w:t>
            </w:r>
            <w:r>
              <w:rPr>
                <w:rFonts w:ascii="Times New Roman"/>
                <w:sz w:val="13"/>
              </w:rPr>
            </w: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91" w:right="0"/>
              <w:jc w:val="left"/>
              <w:rPr>
                <w:rFonts w:ascii="宋体" w:hAnsi="宋体" w:cs="宋体" w:eastAsia="宋体" w:hint="default"/>
                <w:sz w:val="13"/>
                <w:szCs w:val="13"/>
              </w:rPr>
            </w:pPr>
            <w:r>
              <w:rPr>
                <w:rFonts w:ascii="宋体" w:hAnsi="宋体" w:cs="宋体" w:eastAsia="宋体" w:hint="default"/>
                <w:sz w:val="13"/>
                <w:szCs w:val="13"/>
              </w:rPr>
              <w:t>上海东软时代信息集成技术有限公司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6"/>
              <w:jc w:val="right"/>
              <w:rPr>
                <w:rFonts w:ascii="宋体" w:hAnsi="宋体" w:cs="宋体" w:eastAsia="宋体" w:hint="default"/>
                <w:sz w:val="13"/>
                <w:szCs w:val="13"/>
              </w:rPr>
            </w:pPr>
            <w:r>
              <w:rPr>
                <w:rFonts w:ascii="宋体" w:hAnsi="宋体" w:cs="宋体" w:eastAsia="宋体" w:hint="default"/>
                <w:w w:val="95"/>
                <w:sz w:val="13"/>
                <w:szCs w:val="13"/>
              </w:rPr>
              <w:t>上海</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9"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2,000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13454279-6</w:t>
            </w:r>
            <w:r>
              <w:rPr>
                <w:rFonts w:ascii="Times New Roman"/>
                <w:sz w:val="13"/>
              </w:rPr>
            </w: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南京东软系统集成有限公司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
              <w:jc w:val="right"/>
              <w:rPr>
                <w:rFonts w:ascii="宋体" w:hAnsi="宋体" w:cs="宋体" w:eastAsia="宋体" w:hint="default"/>
                <w:sz w:val="13"/>
                <w:szCs w:val="13"/>
              </w:rPr>
            </w:pPr>
            <w:r>
              <w:rPr>
                <w:rFonts w:ascii="宋体" w:hAnsi="宋体" w:cs="宋体" w:eastAsia="宋体" w:hint="default"/>
                <w:w w:val="95"/>
                <w:sz w:val="13"/>
                <w:szCs w:val="13"/>
              </w:rPr>
              <w:t>南京</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20"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1,200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72173264-x</w:t>
            </w:r>
            <w:r>
              <w:rPr>
                <w:rFonts w:ascii="Times New Roman"/>
                <w:sz w:val="13"/>
              </w:rPr>
            </w: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上海东软时代数码技术有限公司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
              <w:jc w:val="right"/>
              <w:rPr>
                <w:rFonts w:ascii="宋体" w:hAnsi="宋体" w:cs="宋体" w:eastAsia="宋体" w:hint="default"/>
                <w:sz w:val="13"/>
                <w:szCs w:val="13"/>
              </w:rPr>
            </w:pPr>
            <w:r>
              <w:rPr>
                <w:rFonts w:ascii="宋体" w:hAnsi="宋体" w:cs="宋体" w:eastAsia="宋体" w:hint="default"/>
                <w:w w:val="95"/>
                <w:sz w:val="13"/>
                <w:szCs w:val="13"/>
              </w:rPr>
              <w:t>上海</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9"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2,000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70333930-x</w:t>
            </w:r>
            <w:r>
              <w:rPr>
                <w:rFonts w:ascii="Times New Roman"/>
                <w:sz w:val="13"/>
              </w:rPr>
            </w: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91" w:right="0"/>
              <w:jc w:val="left"/>
              <w:rPr>
                <w:rFonts w:ascii="宋体" w:hAnsi="宋体" w:cs="宋体" w:eastAsia="宋体" w:hint="default"/>
                <w:sz w:val="13"/>
                <w:szCs w:val="13"/>
              </w:rPr>
            </w:pPr>
            <w:r>
              <w:rPr>
                <w:rFonts w:ascii="宋体" w:hAnsi="宋体" w:cs="宋体" w:eastAsia="宋体" w:hint="default"/>
                <w:sz w:val="13"/>
                <w:szCs w:val="13"/>
              </w:rPr>
              <w:t>东软集团（上海）有限公司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6"/>
              <w:jc w:val="right"/>
              <w:rPr>
                <w:rFonts w:ascii="宋体" w:hAnsi="宋体" w:cs="宋体" w:eastAsia="宋体" w:hint="default"/>
                <w:sz w:val="13"/>
                <w:szCs w:val="13"/>
              </w:rPr>
            </w:pPr>
            <w:r>
              <w:rPr>
                <w:rFonts w:ascii="宋体" w:hAnsi="宋体" w:cs="宋体" w:eastAsia="宋体" w:hint="default"/>
                <w:w w:val="95"/>
                <w:sz w:val="13"/>
                <w:szCs w:val="13"/>
              </w:rPr>
              <w:t>上海</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0" w:right="0"/>
              <w:jc w:val="left"/>
              <w:rPr>
                <w:rFonts w:ascii="宋体" w:hAnsi="宋体" w:cs="宋体" w:eastAsia="宋体" w:hint="default"/>
                <w:sz w:val="13"/>
                <w:szCs w:val="13"/>
              </w:rPr>
            </w:pPr>
            <w:r>
              <w:rPr>
                <w:rFonts w:ascii="宋体" w:hAnsi="宋体" w:cs="宋体" w:eastAsia="宋体" w:hint="default"/>
                <w:sz w:val="13"/>
                <w:szCs w:val="13"/>
              </w:rPr>
              <w:t>经营计算机软硬件、技术咨询、服务</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68095364-8</w:t>
            </w:r>
            <w:r>
              <w:rPr>
                <w:rFonts w:ascii="Times New Roman"/>
                <w:sz w:val="13"/>
              </w:rPr>
            </w: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杭州东软软件有限公司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
              <w:jc w:val="right"/>
              <w:rPr>
                <w:rFonts w:ascii="宋体" w:hAnsi="宋体" w:cs="宋体" w:eastAsia="宋体" w:hint="default"/>
                <w:sz w:val="13"/>
                <w:szCs w:val="13"/>
              </w:rPr>
            </w:pPr>
            <w:r>
              <w:rPr>
                <w:rFonts w:ascii="宋体" w:hAnsi="宋体" w:cs="宋体" w:eastAsia="宋体" w:hint="default"/>
                <w:w w:val="95"/>
                <w:sz w:val="13"/>
                <w:szCs w:val="13"/>
              </w:rPr>
              <w:t>杭州</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20" w:right="0"/>
              <w:jc w:val="left"/>
              <w:rPr>
                <w:rFonts w:ascii="宋体" w:hAnsi="宋体" w:cs="宋体" w:eastAsia="宋体" w:hint="default"/>
                <w:sz w:val="13"/>
                <w:szCs w:val="13"/>
              </w:rPr>
            </w:pPr>
            <w:r>
              <w:rPr>
                <w:rFonts w:ascii="宋体" w:hAnsi="宋体" w:cs="宋体" w:eastAsia="宋体" w:hint="default"/>
                <w:sz w:val="13"/>
                <w:szCs w:val="13"/>
              </w:rPr>
              <w:t>经营计算机软硬件、技术咨询、服务</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50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68908449-3</w:t>
            </w:r>
            <w:r>
              <w:rPr>
                <w:rFonts w:ascii="Times New Roman"/>
                <w:sz w:val="13"/>
              </w:rPr>
            </w: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北京东软时代信息技术有限公司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
              <w:jc w:val="right"/>
              <w:rPr>
                <w:rFonts w:ascii="宋体" w:hAnsi="宋体" w:cs="宋体" w:eastAsia="宋体" w:hint="default"/>
                <w:sz w:val="13"/>
                <w:szCs w:val="13"/>
              </w:rPr>
            </w:pPr>
            <w:r>
              <w:rPr>
                <w:rFonts w:ascii="宋体" w:hAnsi="宋体" w:cs="宋体" w:eastAsia="宋体" w:hint="default"/>
                <w:w w:val="95"/>
                <w:sz w:val="13"/>
                <w:szCs w:val="13"/>
              </w:rPr>
              <w:t>北京</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9"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700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spacing w:val="-1"/>
                <w:sz w:val="13"/>
              </w:rPr>
              <w:t>10117393-9</w:t>
            </w: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91" w:right="0"/>
              <w:jc w:val="left"/>
              <w:rPr>
                <w:rFonts w:ascii="宋体" w:hAnsi="宋体" w:cs="宋体" w:eastAsia="宋体" w:hint="default"/>
                <w:sz w:val="13"/>
                <w:szCs w:val="13"/>
              </w:rPr>
            </w:pPr>
            <w:r>
              <w:rPr>
                <w:rFonts w:ascii="宋体" w:hAnsi="宋体" w:cs="宋体" w:eastAsia="宋体" w:hint="default"/>
                <w:sz w:val="13"/>
                <w:szCs w:val="13"/>
              </w:rPr>
              <w:t>北京东软超越软件技术有限公司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6"/>
              <w:jc w:val="right"/>
              <w:rPr>
                <w:rFonts w:ascii="宋体" w:hAnsi="宋体" w:cs="宋体" w:eastAsia="宋体" w:hint="default"/>
                <w:sz w:val="13"/>
                <w:szCs w:val="13"/>
              </w:rPr>
            </w:pPr>
            <w:r>
              <w:rPr>
                <w:rFonts w:ascii="宋体" w:hAnsi="宋体" w:cs="宋体" w:eastAsia="宋体" w:hint="default"/>
                <w:w w:val="95"/>
                <w:sz w:val="13"/>
                <w:szCs w:val="13"/>
              </w:rPr>
              <w:t>北京</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9" w:right="0"/>
              <w:jc w:val="left"/>
              <w:rPr>
                <w:rFonts w:ascii="宋体" w:hAnsi="宋体" w:cs="宋体" w:eastAsia="宋体" w:hint="default"/>
                <w:sz w:val="13"/>
                <w:szCs w:val="13"/>
              </w:rPr>
            </w:pPr>
            <w:r>
              <w:rPr>
                <w:rFonts w:ascii="宋体" w:hAnsi="宋体" w:cs="宋体" w:eastAsia="宋体" w:hint="default"/>
                <w:sz w:val="13"/>
                <w:szCs w:val="13"/>
              </w:rPr>
              <w:t>经营计算机软硬件，及相关货物</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6,500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77545727-6</w:t>
            </w:r>
            <w:r>
              <w:rPr>
                <w:rFonts w:ascii="Times New Roman"/>
                <w:sz w:val="13"/>
              </w:rPr>
            </w: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北京兰瑞科创信息技术有限公司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
              <w:jc w:val="right"/>
              <w:rPr>
                <w:rFonts w:ascii="宋体" w:hAnsi="宋体" w:cs="宋体" w:eastAsia="宋体" w:hint="default"/>
                <w:sz w:val="13"/>
                <w:szCs w:val="13"/>
              </w:rPr>
            </w:pPr>
            <w:r>
              <w:rPr>
                <w:rFonts w:ascii="宋体" w:hAnsi="宋体" w:cs="宋体" w:eastAsia="宋体" w:hint="default"/>
                <w:w w:val="95"/>
                <w:sz w:val="13"/>
                <w:szCs w:val="13"/>
              </w:rPr>
              <w:t>北京</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卢朝霞</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9" w:right="0"/>
              <w:jc w:val="left"/>
              <w:rPr>
                <w:rFonts w:ascii="宋体" w:hAnsi="宋体" w:cs="宋体" w:eastAsia="宋体" w:hint="default"/>
                <w:sz w:val="13"/>
                <w:szCs w:val="13"/>
              </w:rPr>
            </w:pPr>
            <w:r>
              <w:rPr>
                <w:rFonts w:ascii="宋体" w:hAnsi="宋体" w:cs="宋体" w:eastAsia="宋体" w:hint="default"/>
                <w:sz w:val="13"/>
                <w:szCs w:val="13"/>
              </w:rPr>
              <w:t>计算机软件开发、设计、制作与销售</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1,000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78398520-4</w:t>
            </w:r>
            <w:r>
              <w:rPr>
                <w:rFonts w:ascii="Times New Roman"/>
                <w:sz w:val="13"/>
              </w:rPr>
            </w: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天津东软信息技术服务有限公司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
              <w:jc w:val="right"/>
              <w:rPr>
                <w:rFonts w:ascii="宋体" w:hAnsi="宋体" w:cs="宋体" w:eastAsia="宋体" w:hint="default"/>
                <w:sz w:val="13"/>
                <w:szCs w:val="13"/>
              </w:rPr>
            </w:pPr>
            <w:r>
              <w:rPr>
                <w:rFonts w:ascii="宋体" w:hAnsi="宋体" w:cs="宋体" w:eastAsia="宋体" w:hint="default"/>
                <w:w w:val="95"/>
                <w:sz w:val="13"/>
                <w:szCs w:val="13"/>
              </w:rPr>
              <w:t>天津</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9"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2,000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69740643-x</w:t>
            </w:r>
            <w:r>
              <w:rPr>
                <w:rFonts w:ascii="Times New Roman"/>
                <w:sz w:val="13"/>
              </w:rPr>
            </w:r>
          </w:p>
        </w:tc>
      </w:tr>
      <w:tr>
        <w:trPr>
          <w:trHeight w:val="37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91" w:right="0"/>
              <w:jc w:val="left"/>
              <w:rPr>
                <w:rFonts w:ascii="宋体" w:hAnsi="宋体" w:cs="宋体" w:eastAsia="宋体" w:hint="default"/>
                <w:sz w:val="13"/>
                <w:szCs w:val="13"/>
              </w:rPr>
            </w:pPr>
            <w:r>
              <w:rPr>
                <w:rFonts w:ascii="宋体" w:hAnsi="宋体" w:cs="宋体" w:eastAsia="宋体" w:hint="default"/>
                <w:sz w:val="13"/>
                <w:szCs w:val="13"/>
              </w:rPr>
              <w:t>湖南东软软件有限公司</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6"/>
              <w:jc w:val="right"/>
              <w:rPr>
                <w:rFonts w:ascii="宋体" w:hAnsi="宋体" w:cs="宋体" w:eastAsia="宋体" w:hint="default"/>
                <w:sz w:val="13"/>
                <w:szCs w:val="13"/>
              </w:rPr>
            </w:pPr>
            <w:r>
              <w:rPr>
                <w:rFonts w:ascii="宋体" w:hAnsi="宋体" w:cs="宋体" w:eastAsia="宋体" w:hint="default"/>
                <w:w w:val="95"/>
                <w:sz w:val="13"/>
                <w:szCs w:val="13"/>
              </w:rPr>
              <w:t>长沙</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50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0"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1,200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18378979-5</w:t>
            </w:r>
            <w:r>
              <w:rPr>
                <w:rFonts w:ascii="Times New Roman"/>
                <w:sz w:val="13"/>
              </w:rPr>
            </w:r>
          </w:p>
        </w:tc>
      </w:tr>
      <w:tr>
        <w:trPr>
          <w:trHeight w:val="274" w:hRule="exact"/>
        </w:trPr>
        <w:tc>
          <w:tcPr>
            <w:tcW w:w="2318" w:type="dxa"/>
            <w:tcBorders>
              <w:top w:val="nil" w:sz="6" w:space="0" w:color="auto"/>
              <w:left w:val="nil" w:sz="6" w:space="0" w:color="auto"/>
              <w:bottom w:val="single" w:sz="8" w:space="0" w:color="000000"/>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武汉东软信息技术有限公司</w:t>
            </w:r>
          </w:p>
        </w:tc>
        <w:tc>
          <w:tcPr>
            <w:tcW w:w="865" w:type="dxa"/>
            <w:tcBorders>
              <w:top w:val="nil" w:sz="6" w:space="0" w:color="auto"/>
              <w:left w:val="nil" w:sz="6" w:space="0" w:color="auto"/>
              <w:bottom w:val="single" w:sz="8" w:space="0" w:color="000000"/>
              <w:right w:val="nil" w:sz="6" w:space="0" w:color="auto"/>
            </w:tcBorders>
          </w:tcPr>
          <w:p>
            <w:pPr>
              <w:pStyle w:val="TableParagraph"/>
              <w:spacing w:line="240" w:lineRule="auto" w:before="71"/>
              <w:ind w:left="168"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single" w:sz="8" w:space="0" w:color="000000"/>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single" w:sz="8" w:space="0" w:color="000000"/>
              <w:right w:val="nil" w:sz="6" w:space="0" w:color="auto"/>
            </w:tcBorders>
          </w:tcPr>
          <w:p>
            <w:pPr>
              <w:pStyle w:val="TableParagraph"/>
              <w:spacing w:line="240" w:lineRule="auto" w:before="71"/>
              <w:ind w:right="26"/>
              <w:jc w:val="right"/>
              <w:rPr>
                <w:rFonts w:ascii="宋体" w:hAnsi="宋体" w:cs="宋体" w:eastAsia="宋体" w:hint="default"/>
                <w:sz w:val="13"/>
                <w:szCs w:val="13"/>
              </w:rPr>
            </w:pPr>
            <w:r>
              <w:rPr>
                <w:rFonts w:ascii="宋体" w:hAnsi="宋体" w:cs="宋体" w:eastAsia="宋体" w:hint="default"/>
                <w:w w:val="95"/>
                <w:sz w:val="13"/>
                <w:szCs w:val="13"/>
              </w:rPr>
              <w:t>武汉</w:t>
            </w:r>
            <w:r>
              <w:rPr>
                <w:rFonts w:ascii="宋体" w:hAnsi="宋体" w:cs="宋体" w:eastAsia="宋体" w:hint="default"/>
                <w:sz w:val="13"/>
                <w:szCs w:val="13"/>
              </w:rPr>
            </w:r>
          </w:p>
        </w:tc>
        <w:tc>
          <w:tcPr>
            <w:tcW w:w="652" w:type="dxa"/>
            <w:tcBorders>
              <w:top w:val="nil" w:sz="6" w:space="0" w:color="auto"/>
              <w:left w:val="nil" w:sz="6" w:space="0" w:color="auto"/>
              <w:bottom w:val="single" w:sz="8" w:space="0" w:color="000000"/>
              <w:right w:val="nil" w:sz="6" w:space="0" w:color="auto"/>
            </w:tcBorders>
          </w:tcPr>
          <w:p>
            <w:pPr/>
          </w:p>
        </w:tc>
        <w:tc>
          <w:tcPr>
            <w:tcW w:w="1091" w:type="dxa"/>
            <w:tcBorders>
              <w:top w:val="nil" w:sz="6" w:space="0" w:color="auto"/>
              <w:left w:val="nil" w:sz="6" w:space="0" w:color="auto"/>
              <w:bottom w:val="single" w:sz="8" w:space="0" w:color="000000"/>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508" w:type="dxa"/>
            <w:tcBorders>
              <w:top w:val="nil" w:sz="6" w:space="0" w:color="auto"/>
              <w:left w:val="nil" w:sz="6" w:space="0" w:color="auto"/>
              <w:bottom w:val="single" w:sz="8" w:space="0" w:color="000000"/>
              <w:right w:val="nil" w:sz="6" w:space="0" w:color="auto"/>
            </w:tcBorders>
          </w:tcPr>
          <w:p>
            <w:pPr>
              <w:pStyle w:val="TableParagraph"/>
              <w:spacing w:line="240" w:lineRule="auto" w:before="71"/>
              <w:ind w:left="120"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271" w:type="dxa"/>
            <w:tcBorders>
              <w:top w:val="nil" w:sz="6" w:space="0" w:color="auto"/>
              <w:left w:val="nil" w:sz="6" w:space="0" w:color="auto"/>
              <w:bottom w:val="single" w:sz="8"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1,500</w:t>
            </w:r>
            <w:r>
              <w:rPr>
                <w:rFonts w:ascii="Times New Roman"/>
                <w:sz w:val="13"/>
              </w:rPr>
            </w:r>
          </w:p>
        </w:tc>
        <w:tc>
          <w:tcPr>
            <w:tcW w:w="973" w:type="dxa"/>
            <w:tcBorders>
              <w:top w:val="nil" w:sz="6" w:space="0" w:color="auto"/>
              <w:left w:val="nil" w:sz="6" w:space="0" w:color="auto"/>
              <w:bottom w:val="single" w:sz="8"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single" w:sz="8"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single" w:sz="8"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74143252-1</w:t>
            </w:r>
            <w:r>
              <w:rPr>
                <w:rFonts w:ascii="Times New Roman"/>
                <w:sz w:val="13"/>
              </w:rPr>
            </w:r>
          </w:p>
        </w:tc>
      </w:tr>
    </w:tbl>
    <w:p>
      <w:pPr>
        <w:spacing w:after="0" w:line="240" w:lineRule="auto"/>
        <w:jc w:val="right"/>
        <w:rPr>
          <w:rFonts w:ascii="Times New Roman" w:hAnsi="Times New Roman" w:cs="Times New Roman" w:eastAsia="Times New Roman" w:hint="default"/>
          <w:sz w:val="13"/>
          <w:szCs w:val="13"/>
        </w:rPr>
        <w:sectPr>
          <w:headerReference w:type="default" r:id="rId143"/>
          <w:footerReference w:type="default" r:id="rId144"/>
          <w:pgSz w:w="16840" w:h="11900" w:orient="landscape"/>
          <w:pgMar w:header="883" w:footer="995" w:top="1600" w:bottom="1180" w:left="1300" w:right="1300"/>
          <w:pgNumType w:start="63"/>
        </w:sectPr>
      </w:pPr>
    </w:p>
    <w:p>
      <w:pPr>
        <w:spacing w:line="240" w:lineRule="auto" w:before="5"/>
        <w:rPr>
          <w:rFonts w:ascii="Times New Roman" w:hAnsi="Times New Roman" w:cs="Times New Roman" w:eastAsia="Times New Roman" w:hint="default"/>
          <w:sz w:val="29"/>
          <w:szCs w:val="29"/>
        </w:rPr>
      </w:pPr>
      <w:r>
        <w:rPr/>
        <w:pict>
          <v:group style="position:absolute;margin-left:101.991005pt;margin-top:89.879997pt;width:669.4pt;height:434.8pt;mso-position-horizontal-relative:page;mso-position-vertical-relative:page;z-index:-977752" coordorigin="2040,1798" coordsize="13388,8696">
            <v:group style="position:absolute;left:2049;top:1807;width:2391;height:2" coordorigin="2049,1807" coordsize="2391,2">
              <v:shape style="position:absolute;left:2049;top:1807;width:2391;height:2" coordorigin="2049,1807" coordsize="2391,0" path="m2049,1807l4440,1807e" filled="false" stroked="true" strokeweight=".95999pt" strokecolor="#000000">
                <v:path arrowok="t"/>
              </v:shape>
            </v:group>
            <v:group style="position:absolute;left:4440;top:1807;width:764;height:2" coordorigin="4440,1807" coordsize="764,2">
              <v:shape style="position:absolute;left:4440;top:1807;width:764;height:2" coordorigin="4440,1807" coordsize="764,0" path="m4440,1807l5203,1807e" filled="false" stroked="true" strokeweight=".95999pt" strokecolor="#000000">
                <v:path arrowok="t"/>
              </v:shape>
            </v:group>
            <v:group style="position:absolute;left:5203;top:1807;width:1348;height:2" coordorigin="5203,1807" coordsize="1348,2">
              <v:shape style="position:absolute;left:5203;top:1807;width:1348;height:2" coordorigin="5203,1807" coordsize="1348,0" path="m5203,1807l6551,1807e" filled="false" stroked="true" strokeweight=".95999pt" strokecolor="#000000">
                <v:path arrowok="t"/>
              </v:shape>
            </v:group>
            <v:group style="position:absolute;left:6551;top:1807;width:1175;height:2" coordorigin="6551,1807" coordsize="1175,2">
              <v:shape style="position:absolute;left:6551;top:1807;width:1175;height:2" coordorigin="6551,1807" coordsize="1175,0" path="m6551,1807l7725,1807e" filled="false" stroked="true" strokeweight=".95999pt" strokecolor="#000000">
                <v:path arrowok="t"/>
              </v:shape>
            </v:group>
            <v:group style="position:absolute;left:7725;top:1807;width:976;height:2" coordorigin="7725,1807" coordsize="976,2">
              <v:shape style="position:absolute;left:7725;top:1807;width:976;height:2" coordorigin="7725,1807" coordsize="976,0" path="m7725,1807l8701,1807e" filled="false" stroked="true" strokeweight=".95999pt" strokecolor="#000000">
                <v:path arrowok="t"/>
              </v:shape>
            </v:group>
            <v:group style="position:absolute;left:8701;top:1807;width:2414;height:2" coordorigin="8701,1807" coordsize="2414,2">
              <v:shape style="position:absolute;left:8701;top:1807;width:2414;height:2" coordorigin="8701,1807" coordsize="2414,0" path="m8701,1807l11114,1807e" filled="false" stroked="true" strokeweight=".95999pt" strokecolor="#000000">
                <v:path arrowok="t"/>
              </v:shape>
            </v:group>
            <v:group style="position:absolute;left:11114;top:1807;width:1241;height:2" coordorigin="11114,1807" coordsize="1241,2">
              <v:shape style="position:absolute;left:11114;top:1807;width:1241;height:2" coordorigin="11114,1807" coordsize="1241,0" path="m11114,1807l12355,1807e" filled="false" stroked="true" strokeweight=".95999pt" strokecolor="#000000">
                <v:path arrowok="t"/>
              </v:shape>
            </v:group>
            <v:group style="position:absolute;left:12355;top:1807;width:1052;height:2" coordorigin="12355,1807" coordsize="1052,2">
              <v:shape style="position:absolute;left:12355;top:1807;width:1052;height:2" coordorigin="12355,1807" coordsize="1052,0" path="m12355,1807l13406,1807e" filled="false" stroked="true" strokeweight=".95999pt" strokecolor="#000000">
                <v:path arrowok="t"/>
              </v:shape>
            </v:group>
            <v:group style="position:absolute;left:13406;top:1807;width:980;height:2" coordorigin="13406,1807" coordsize="980,2">
              <v:shape style="position:absolute;left:13406;top:1807;width:980;height:2" coordorigin="13406,1807" coordsize="980,0" path="m13406,1807l14385,1807e" filled="false" stroked="true" strokeweight=".95999pt" strokecolor="#000000">
                <v:path arrowok="t"/>
              </v:shape>
            </v:group>
            <v:group style="position:absolute;left:14385;top:1807;width:1032;height:2" coordorigin="14385,1807" coordsize="1032,2">
              <v:shape style="position:absolute;left:14385;top:1807;width:1032;height:2" coordorigin="14385,1807" coordsize="1032,0" path="m14385,1807l15417,1807e" filled="false" stroked="true" strokeweight=".95999pt" strokecolor="#000000">
                <v:path arrowok="t"/>
              </v:shape>
              <v:shape style="position:absolute;left:2049;top:1817;width:13378;height:8676" type="#_x0000_t75" stroked="false">
                <v:imagedata r:id="rId146" o:title=""/>
              </v:shape>
            </v:group>
            <w10:wrap type="none"/>
          </v:group>
        </w:pict>
      </w:r>
    </w:p>
    <w:tbl>
      <w:tblPr>
        <w:tblW w:w="0" w:type="auto"/>
        <w:jc w:val="left"/>
        <w:tblInd w:w="735" w:type="dxa"/>
        <w:tblLayout w:type="fixed"/>
        <w:tblCellMar>
          <w:top w:w="0" w:type="dxa"/>
          <w:left w:w="0" w:type="dxa"/>
          <w:bottom w:w="0" w:type="dxa"/>
          <w:right w:w="0" w:type="dxa"/>
        </w:tblCellMar>
        <w:tblLook w:val="01E0"/>
      </w:tblPr>
      <w:tblGrid>
        <w:gridCol w:w="2253"/>
        <w:gridCol w:w="929"/>
        <w:gridCol w:w="1261"/>
        <w:gridCol w:w="1094"/>
        <w:gridCol w:w="1100"/>
        <w:gridCol w:w="2455"/>
        <w:gridCol w:w="1315"/>
        <w:gridCol w:w="989"/>
        <w:gridCol w:w="993"/>
        <w:gridCol w:w="1001"/>
      </w:tblGrid>
      <w:tr>
        <w:trPr>
          <w:trHeight w:val="739"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86" w:right="0"/>
              <w:jc w:val="left"/>
              <w:rPr>
                <w:rFonts w:ascii="宋体" w:hAnsi="宋体" w:cs="宋体" w:eastAsia="宋体" w:hint="default"/>
                <w:sz w:val="13"/>
                <w:szCs w:val="13"/>
              </w:rPr>
            </w:pPr>
            <w:r>
              <w:rPr>
                <w:rFonts w:ascii="宋体" w:hAnsi="宋体" w:cs="宋体" w:eastAsia="宋体" w:hint="default"/>
                <w:sz w:val="13"/>
                <w:szCs w:val="13"/>
              </w:rPr>
              <w:t>子公司全称</w:t>
            </w: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3"/>
              <w:ind w:left="91" w:right="0"/>
              <w:jc w:val="left"/>
              <w:rPr>
                <w:rFonts w:ascii="宋体" w:hAnsi="宋体" w:cs="宋体" w:eastAsia="宋体" w:hint="default"/>
                <w:sz w:val="13"/>
                <w:szCs w:val="13"/>
              </w:rPr>
            </w:pPr>
            <w:r>
              <w:rPr>
                <w:rFonts w:ascii="宋体" w:hAnsi="宋体" w:cs="宋体" w:eastAsia="宋体" w:hint="default"/>
                <w:sz w:val="13"/>
                <w:szCs w:val="13"/>
              </w:rPr>
              <w:t>山东东软系统集成有限公司</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12" w:right="0"/>
              <w:jc w:val="left"/>
              <w:rPr>
                <w:rFonts w:ascii="宋体" w:hAnsi="宋体" w:cs="宋体" w:eastAsia="宋体" w:hint="default"/>
                <w:sz w:val="13"/>
                <w:szCs w:val="13"/>
              </w:rPr>
            </w:pPr>
            <w:r>
              <w:rPr>
                <w:rFonts w:ascii="宋体" w:hAnsi="宋体" w:cs="宋体" w:eastAsia="宋体" w:hint="default"/>
                <w:sz w:val="13"/>
                <w:szCs w:val="13"/>
              </w:rPr>
              <w:t>子公司类型</w:t>
            </w: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3"/>
              <w:ind w:left="23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04" w:right="0"/>
              <w:jc w:val="left"/>
              <w:rPr>
                <w:rFonts w:ascii="宋体" w:hAnsi="宋体" w:cs="宋体" w:eastAsia="宋体" w:hint="default"/>
                <w:sz w:val="13"/>
                <w:szCs w:val="13"/>
              </w:rPr>
            </w:pPr>
            <w:r>
              <w:rPr>
                <w:rFonts w:ascii="宋体" w:hAnsi="宋体" w:cs="宋体" w:eastAsia="宋体" w:hint="default"/>
                <w:sz w:val="13"/>
                <w:szCs w:val="13"/>
              </w:rPr>
              <w:t>企业类型</w:t>
            </w: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3"/>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69" w:right="0"/>
              <w:jc w:val="left"/>
              <w:rPr>
                <w:rFonts w:ascii="宋体" w:hAnsi="宋体" w:cs="宋体" w:eastAsia="宋体" w:hint="default"/>
                <w:sz w:val="13"/>
                <w:szCs w:val="13"/>
              </w:rPr>
            </w:pPr>
            <w:r>
              <w:rPr>
                <w:rFonts w:ascii="宋体" w:hAnsi="宋体" w:cs="宋体" w:eastAsia="宋体" w:hint="default"/>
                <w:sz w:val="13"/>
                <w:szCs w:val="13"/>
              </w:rPr>
              <w:t>注册地</w:t>
            </w: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3"/>
              <w:ind w:left="154" w:right="0"/>
              <w:jc w:val="left"/>
              <w:rPr>
                <w:rFonts w:ascii="宋体" w:hAnsi="宋体" w:cs="宋体" w:eastAsia="宋体" w:hint="default"/>
                <w:sz w:val="13"/>
                <w:szCs w:val="13"/>
              </w:rPr>
            </w:pPr>
            <w:r>
              <w:rPr>
                <w:rFonts w:ascii="宋体" w:hAnsi="宋体" w:cs="宋体" w:eastAsia="宋体" w:hint="default"/>
                <w:sz w:val="13"/>
                <w:szCs w:val="13"/>
              </w:rPr>
              <w:t>青岛</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21" w:right="0"/>
              <w:jc w:val="left"/>
              <w:rPr>
                <w:rFonts w:ascii="宋体" w:hAnsi="宋体" w:cs="宋体" w:eastAsia="宋体" w:hint="default"/>
                <w:sz w:val="13"/>
                <w:szCs w:val="13"/>
              </w:rPr>
            </w:pPr>
            <w:r>
              <w:rPr>
                <w:rFonts w:ascii="宋体" w:hAnsi="宋体" w:cs="宋体" w:eastAsia="宋体" w:hint="default"/>
                <w:sz w:val="13"/>
                <w:szCs w:val="13"/>
              </w:rPr>
              <w:t>法定代表人</w:t>
            </w: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3"/>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980" w:right="0"/>
              <w:jc w:val="left"/>
              <w:rPr>
                <w:rFonts w:ascii="宋体" w:hAnsi="宋体" w:cs="宋体" w:eastAsia="宋体" w:hint="default"/>
                <w:sz w:val="13"/>
                <w:szCs w:val="13"/>
              </w:rPr>
            </w:pPr>
            <w:r>
              <w:rPr>
                <w:rFonts w:ascii="宋体" w:hAnsi="宋体" w:cs="宋体" w:eastAsia="宋体" w:hint="default"/>
                <w:sz w:val="13"/>
                <w:szCs w:val="13"/>
              </w:rPr>
              <w:t>业务性质</w:t>
            </w: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3"/>
              <w:ind w:left="110"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3" w:right="0"/>
              <w:jc w:val="left"/>
              <w:rPr>
                <w:rFonts w:ascii="宋体" w:hAnsi="宋体" w:cs="宋体" w:eastAsia="宋体" w:hint="default"/>
                <w:sz w:val="13"/>
                <w:szCs w:val="13"/>
              </w:rPr>
            </w:pPr>
            <w:r>
              <w:rPr>
                <w:rFonts w:ascii="宋体" w:hAnsi="宋体" w:cs="宋体" w:eastAsia="宋体" w:hint="default"/>
                <w:sz w:val="13"/>
                <w:szCs w:val="13"/>
              </w:rPr>
              <w:t>注册资本</w:t>
            </w: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9"/>
              <w:ind w:right="0"/>
              <w:jc w:val="left"/>
              <w:rPr>
                <w:rFonts w:ascii="Times New Roman" w:hAnsi="Times New Roman" w:cs="Times New Roman" w:eastAsia="Times New Roman" w:hint="default"/>
                <w:sz w:val="9"/>
                <w:szCs w:val="9"/>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1,500</w:t>
            </w:r>
            <w:r>
              <w:rPr>
                <w:rFonts w:ascii="Times New Roman"/>
                <w:sz w:val="13"/>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31"/>
              <w:jc w:val="right"/>
              <w:rPr>
                <w:rFonts w:ascii="Times New Roman" w:hAnsi="Times New Roman" w:cs="Times New Roman" w:eastAsia="Times New Roman" w:hint="default"/>
                <w:sz w:val="13"/>
                <w:szCs w:val="13"/>
              </w:rPr>
            </w:pPr>
            <w:r>
              <w:rPr>
                <w:rFonts w:ascii="宋体" w:hAnsi="宋体" w:cs="宋体" w:eastAsia="宋体" w:hint="default"/>
                <w:w w:val="95"/>
                <w:sz w:val="13"/>
                <w:szCs w:val="13"/>
              </w:rPr>
              <w:t>持股比例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00"/>
              <w:jc w:val="right"/>
              <w:rPr>
                <w:rFonts w:ascii="Times New Roman" w:hAnsi="Times New Roman" w:cs="Times New Roman" w:eastAsia="Times New Roman" w:hint="default"/>
                <w:sz w:val="13"/>
                <w:szCs w:val="13"/>
              </w:rPr>
            </w:pPr>
            <w:r>
              <w:rPr>
                <w:rFonts w:ascii="宋体" w:hAnsi="宋体" w:cs="宋体" w:eastAsia="宋体" w:hint="default"/>
                <w:w w:val="95"/>
                <w:sz w:val="13"/>
                <w:szCs w:val="13"/>
              </w:rPr>
              <w:t>表决权比例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93" w:right="0"/>
              <w:jc w:val="left"/>
              <w:rPr>
                <w:rFonts w:ascii="宋体" w:hAnsi="宋体" w:cs="宋体" w:eastAsia="宋体" w:hint="default"/>
                <w:sz w:val="13"/>
                <w:szCs w:val="13"/>
              </w:rPr>
            </w:pPr>
            <w:r>
              <w:rPr>
                <w:rFonts w:ascii="宋体" w:hAnsi="宋体" w:cs="宋体" w:eastAsia="宋体" w:hint="default"/>
                <w:sz w:val="13"/>
                <w:szCs w:val="13"/>
              </w:rPr>
              <w:t>组织机构代码</w:t>
            </w: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9"/>
              <w:ind w:right="0"/>
              <w:jc w:val="left"/>
              <w:rPr>
                <w:rFonts w:ascii="Times New Roman" w:hAnsi="Times New Roman" w:cs="Times New Roman" w:eastAsia="Times New Roman" w:hint="default"/>
                <w:sz w:val="9"/>
                <w:szCs w:val="9"/>
              </w:rPr>
            </w:pPr>
          </w:p>
          <w:p>
            <w:pPr>
              <w:pStyle w:val="TableParagraph"/>
              <w:spacing w:line="240" w:lineRule="auto"/>
              <w:ind w:left="314" w:right="0"/>
              <w:jc w:val="left"/>
              <w:rPr>
                <w:rFonts w:ascii="Times New Roman" w:hAnsi="Times New Roman" w:cs="Times New Roman" w:eastAsia="Times New Roman" w:hint="default"/>
                <w:sz w:val="13"/>
                <w:szCs w:val="13"/>
              </w:rPr>
            </w:pPr>
            <w:r>
              <w:rPr>
                <w:rFonts w:ascii="Times New Roman"/>
                <w:sz w:val="13"/>
              </w:rPr>
              <w:t>70620482-2</w:t>
            </w:r>
          </w:p>
        </w:tc>
      </w:tr>
      <w:tr>
        <w:trPr>
          <w:trHeight w:val="370"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成都东软系统集成有限公司</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54" w:right="0"/>
              <w:jc w:val="left"/>
              <w:rPr>
                <w:rFonts w:ascii="宋体" w:hAnsi="宋体" w:cs="宋体" w:eastAsia="宋体" w:hint="default"/>
                <w:sz w:val="13"/>
                <w:szCs w:val="13"/>
              </w:rPr>
            </w:pPr>
            <w:r>
              <w:rPr>
                <w:rFonts w:ascii="宋体" w:hAnsi="宋体" w:cs="宋体" w:eastAsia="宋体" w:hint="default"/>
                <w:sz w:val="13"/>
                <w:szCs w:val="13"/>
              </w:rPr>
              <w:t>成都</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0"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2,000</w:t>
            </w:r>
            <w:r>
              <w:rPr>
                <w:rFonts w:ascii="Times New Roman"/>
                <w:sz w:val="13"/>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72539482-8</w:t>
            </w:r>
            <w:r>
              <w:rPr>
                <w:rFonts w:ascii="Times New Roman"/>
                <w:sz w:val="13"/>
              </w:rPr>
            </w:r>
          </w:p>
        </w:tc>
      </w:tr>
      <w:tr>
        <w:trPr>
          <w:trHeight w:val="370"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91" w:right="0"/>
              <w:jc w:val="left"/>
              <w:rPr>
                <w:rFonts w:ascii="宋体" w:hAnsi="宋体" w:cs="宋体" w:eastAsia="宋体" w:hint="default"/>
                <w:sz w:val="13"/>
                <w:szCs w:val="13"/>
              </w:rPr>
            </w:pPr>
            <w:r>
              <w:rPr>
                <w:rFonts w:ascii="宋体" w:hAnsi="宋体" w:cs="宋体" w:eastAsia="宋体" w:hint="default"/>
                <w:sz w:val="13"/>
                <w:szCs w:val="13"/>
              </w:rPr>
              <w:t>深圳市东软软件有限公司</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54" w:right="0"/>
              <w:jc w:val="left"/>
              <w:rPr>
                <w:rFonts w:ascii="宋体" w:hAnsi="宋体" w:cs="宋体" w:eastAsia="宋体" w:hint="default"/>
                <w:sz w:val="13"/>
                <w:szCs w:val="13"/>
              </w:rPr>
            </w:pPr>
            <w:r>
              <w:rPr>
                <w:rFonts w:ascii="宋体" w:hAnsi="宋体" w:cs="宋体" w:eastAsia="宋体" w:hint="default"/>
                <w:sz w:val="13"/>
                <w:szCs w:val="13"/>
              </w:rPr>
              <w:t>深圳</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0"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500</w:t>
            </w:r>
            <w:r>
              <w:rPr>
                <w:rFonts w:ascii="Times New Roman"/>
                <w:sz w:val="13"/>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19236465-x</w:t>
            </w:r>
            <w:r>
              <w:rPr>
                <w:rFonts w:ascii="Times New Roman"/>
                <w:sz w:val="13"/>
              </w:rPr>
            </w:r>
          </w:p>
        </w:tc>
      </w:tr>
      <w:tr>
        <w:trPr>
          <w:trHeight w:val="370"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广东东软软件有限公司</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54" w:right="0"/>
              <w:jc w:val="left"/>
              <w:rPr>
                <w:rFonts w:ascii="宋体" w:hAnsi="宋体" w:cs="宋体" w:eastAsia="宋体" w:hint="default"/>
                <w:sz w:val="13"/>
                <w:szCs w:val="13"/>
              </w:rPr>
            </w:pPr>
            <w:r>
              <w:rPr>
                <w:rFonts w:ascii="宋体" w:hAnsi="宋体" w:cs="宋体" w:eastAsia="宋体" w:hint="default"/>
                <w:sz w:val="13"/>
                <w:szCs w:val="13"/>
              </w:rPr>
              <w:t>广州</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0"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2,000</w:t>
            </w:r>
            <w:r>
              <w:rPr>
                <w:rFonts w:ascii="Times New Roman"/>
                <w:sz w:val="13"/>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73141432-6</w:t>
            </w:r>
            <w:r>
              <w:rPr>
                <w:rFonts w:ascii="Times New Roman"/>
                <w:sz w:val="13"/>
              </w:rPr>
            </w:r>
          </w:p>
        </w:tc>
      </w:tr>
      <w:tr>
        <w:trPr>
          <w:trHeight w:val="370"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东软集团（广州）有限公司</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54" w:right="0"/>
              <w:jc w:val="left"/>
              <w:rPr>
                <w:rFonts w:ascii="宋体" w:hAnsi="宋体" w:cs="宋体" w:eastAsia="宋体" w:hint="default"/>
                <w:sz w:val="13"/>
                <w:szCs w:val="13"/>
              </w:rPr>
            </w:pPr>
            <w:r>
              <w:rPr>
                <w:rFonts w:ascii="宋体" w:hAnsi="宋体" w:cs="宋体" w:eastAsia="宋体" w:hint="default"/>
                <w:sz w:val="13"/>
                <w:szCs w:val="13"/>
              </w:rPr>
              <w:t>广州</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0" w:right="0"/>
              <w:jc w:val="left"/>
              <w:rPr>
                <w:rFonts w:ascii="宋体" w:hAnsi="宋体" w:cs="宋体" w:eastAsia="宋体" w:hint="default"/>
                <w:sz w:val="13"/>
                <w:szCs w:val="13"/>
              </w:rPr>
            </w:pPr>
            <w:r>
              <w:rPr>
                <w:rFonts w:ascii="宋体" w:hAnsi="宋体" w:cs="宋体" w:eastAsia="宋体" w:hint="default"/>
                <w:sz w:val="13"/>
                <w:szCs w:val="13"/>
              </w:rPr>
              <w:t>经营计算机软硬件、技术咨询、服务</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67972637-6</w:t>
            </w:r>
            <w:r>
              <w:rPr>
                <w:rFonts w:ascii="Times New Roman"/>
                <w:sz w:val="13"/>
              </w:rPr>
            </w:r>
          </w:p>
        </w:tc>
      </w:tr>
      <w:tr>
        <w:trPr>
          <w:trHeight w:val="271" w:hRule="exact"/>
        </w:trPr>
        <w:tc>
          <w:tcPr>
            <w:tcW w:w="2253" w:type="dxa"/>
            <w:tcBorders>
              <w:top w:val="nil" w:sz="6" w:space="0" w:color="auto"/>
              <w:left w:val="nil" w:sz="6" w:space="0" w:color="auto"/>
              <w:bottom w:val="nil" w:sz="6" w:space="0" w:color="auto"/>
              <w:right w:val="nil" w:sz="6" w:space="0" w:color="auto"/>
            </w:tcBorders>
          </w:tcPr>
          <w:p>
            <w:pPr/>
          </w:p>
        </w:tc>
        <w:tc>
          <w:tcPr>
            <w:tcW w:w="929" w:type="dxa"/>
            <w:tcBorders>
              <w:top w:val="nil" w:sz="6" w:space="0" w:color="auto"/>
              <w:left w:val="nil" w:sz="6" w:space="0" w:color="auto"/>
              <w:bottom w:val="nil" w:sz="6" w:space="0" w:color="auto"/>
              <w:right w:val="nil" w:sz="6" w:space="0" w:color="auto"/>
            </w:tcBorders>
          </w:tcPr>
          <w:p>
            <w:pPr/>
          </w:p>
        </w:tc>
        <w:tc>
          <w:tcPr>
            <w:tcW w:w="1261" w:type="dxa"/>
            <w:tcBorders>
              <w:top w:val="nil" w:sz="6" w:space="0" w:color="auto"/>
              <w:left w:val="nil" w:sz="6" w:space="0" w:color="auto"/>
              <w:bottom w:val="nil" w:sz="6" w:space="0" w:color="auto"/>
              <w:right w:val="nil" w:sz="6" w:space="0" w:color="auto"/>
            </w:tcBorders>
          </w:tcPr>
          <w:p>
            <w:pPr/>
          </w:p>
        </w:tc>
        <w:tc>
          <w:tcPr>
            <w:tcW w:w="1094" w:type="dxa"/>
            <w:tcBorders>
              <w:top w:val="nil" w:sz="6" w:space="0" w:color="auto"/>
              <w:left w:val="nil" w:sz="6" w:space="0" w:color="auto"/>
              <w:bottom w:val="nil" w:sz="6" w:space="0" w:color="auto"/>
              <w:right w:val="nil" w:sz="6" w:space="0" w:color="auto"/>
            </w:tcBorders>
          </w:tcPr>
          <w:p>
            <w:pPr/>
          </w:p>
        </w:tc>
        <w:tc>
          <w:tcPr>
            <w:tcW w:w="1100" w:type="dxa"/>
            <w:tcBorders>
              <w:top w:val="nil" w:sz="6" w:space="0" w:color="auto"/>
              <w:left w:val="nil" w:sz="6" w:space="0" w:color="auto"/>
              <w:bottom w:val="nil" w:sz="6" w:space="0" w:color="auto"/>
              <w:right w:val="nil" w:sz="6" w:space="0" w:color="auto"/>
            </w:tcBorders>
          </w:tcPr>
          <w:p>
            <w:pPr/>
          </w:p>
        </w:tc>
        <w:tc>
          <w:tcPr>
            <w:tcW w:w="2455"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45"/>
              <w:jc w:val="right"/>
              <w:rPr>
                <w:rFonts w:ascii="Times New Roman" w:hAnsi="Times New Roman" w:cs="Times New Roman" w:eastAsia="Times New Roman" w:hint="default"/>
                <w:sz w:val="13"/>
                <w:szCs w:val="13"/>
              </w:rPr>
            </w:pPr>
            <w:r>
              <w:rPr>
                <w:rFonts w:ascii="宋体" w:hAnsi="宋体" w:cs="宋体" w:eastAsia="宋体" w:hint="default"/>
                <w:sz w:val="13"/>
                <w:szCs w:val="13"/>
              </w:rPr>
              <w:t>直接</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69</w:t>
            </w:r>
          </w:p>
        </w:tc>
        <w:tc>
          <w:tcPr>
            <w:tcW w:w="993" w:type="dxa"/>
            <w:tcBorders>
              <w:top w:val="nil" w:sz="6" w:space="0" w:color="auto"/>
              <w:left w:val="nil" w:sz="6" w:space="0" w:color="auto"/>
              <w:bottom w:val="nil" w:sz="6" w:space="0" w:color="auto"/>
              <w:right w:val="nil" w:sz="6" w:space="0" w:color="auto"/>
            </w:tcBorders>
          </w:tcPr>
          <w:p>
            <w:pPr/>
          </w:p>
        </w:tc>
        <w:tc>
          <w:tcPr>
            <w:tcW w:w="1001" w:type="dxa"/>
            <w:tcBorders>
              <w:top w:val="nil" w:sz="6" w:space="0" w:color="auto"/>
              <w:left w:val="nil" w:sz="6" w:space="0" w:color="auto"/>
              <w:bottom w:val="nil" w:sz="6" w:space="0" w:color="auto"/>
              <w:right w:val="nil" w:sz="6" w:space="0" w:color="auto"/>
            </w:tcBorders>
          </w:tcPr>
          <w:p>
            <w:pPr/>
          </w:p>
        </w:tc>
      </w:tr>
      <w:tr>
        <w:trPr>
          <w:trHeight w:val="455"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151" w:lineRule="exact"/>
              <w:ind w:left="91" w:right="0"/>
              <w:jc w:val="left"/>
              <w:rPr>
                <w:rFonts w:ascii="宋体" w:hAnsi="宋体" w:cs="宋体" w:eastAsia="宋体" w:hint="default"/>
                <w:sz w:val="13"/>
                <w:szCs w:val="13"/>
              </w:rPr>
            </w:pPr>
            <w:r>
              <w:rPr>
                <w:rFonts w:ascii="宋体" w:hAnsi="宋体" w:cs="宋体" w:eastAsia="宋体" w:hint="default"/>
                <w:sz w:val="13"/>
                <w:szCs w:val="13"/>
              </w:rPr>
              <w:t>大连东软金融信息技术有限公司</w:t>
            </w:r>
          </w:p>
        </w:tc>
        <w:tc>
          <w:tcPr>
            <w:tcW w:w="929" w:type="dxa"/>
            <w:tcBorders>
              <w:top w:val="nil" w:sz="6" w:space="0" w:color="auto"/>
              <w:left w:val="nil" w:sz="6" w:space="0" w:color="auto"/>
              <w:bottom w:val="nil" w:sz="6" w:space="0" w:color="auto"/>
              <w:right w:val="nil" w:sz="6" w:space="0" w:color="auto"/>
            </w:tcBorders>
          </w:tcPr>
          <w:p>
            <w:pPr>
              <w:pStyle w:val="TableParagraph"/>
              <w:spacing w:line="151" w:lineRule="exact"/>
              <w:ind w:left="23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261" w:type="dxa"/>
            <w:tcBorders>
              <w:top w:val="nil" w:sz="6" w:space="0" w:color="auto"/>
              <w:left w:val="nil" w:sz="6" w:space="0" w:color="auto"/>
              <w:bottom w:val="nil" w:sz="6" w:space="0" w:color="auto"/>
              <w:right w:val="nil" w:sz="6" w:space="0" w:color="auto"/>
            </w:tcBorders>
          </w:tcPr>
          <w:p>
            <w:pPr>
              <w:pStyle w:val="TableParagraph"/>
              <w:spacing w:line="151" w:lineRule="exact"/>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151" w:lineRule="exact"/>
              <w:ind w:left="154" w:right="0"/>
              <w:jc w:val="left"/>
              <w:rPr>
                <w:rFonts w:ascii="宋体" w:hAnsi="宋体" w:cs="宋体" w:eastAsia="宋体" w:hint="default"/>
                <w:sz w:val="13"/>
                <w:szCs w:val="13"/>
              </w:rPr>
            </w:pPr>
            <w:r>
              <w:rPr>
                <w:rFonts w:ascii="宋体" w:hAnsi="宋体" w:cs="宋体" w:eastAsia="宋体" w:hint="default"/>
                <w:sz w:val="13"/>
                <w:szCs w:val="13"/>
              </w:rPr>
              <w:t>大连</w:t>
            </w:r>
          </w:p>
        </w:tc>
        <w:tc>
          <w:tcPr>
            <w:tcW w:w="1100" w:type="dxa"/>
            <w:tcBorders>
              <w:top w:val="nil" w:sz="6" w:space="0" w:color="auto"/>
              <w:left w:val="nil" w:sz="6" w:space="0" w:color="auto"/>
              <w:bottom w:val="nil" w:sz="6" w:space="0" w:color="auto"/>
              <w:right w:val="nil" w:sz="6" w:space="0" w:color="auto"/>
            </w:tcBorders>
          </w:tcPr>
          <w:p>
            <w:pPr>
              <w:pStyle w:val="TableParagraph"/>
              <w:spacing w:line="151" w:lineRule="exact"/>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455" w:type="dxa"/>
            <w:tcBorders>
              <w:top w:val="nil" w:sz="6" w:space="0" w:color="auto"/>
              <w:left w:val="nil" w:sz="6" w:space="0" w:color="auto"/>
              <w:bottom w:val="nil" w:sz="6" w:space="0" w:color="auto"/>
              <w:right w:val="nil" w:sz="6" w:space="0" w:color="auto"/>
            </w:tcBorders>
          </w:tcPr>
          <w:p>
            <w:pPr>
              <w:pStyle w:val="TableParagraph"/>
              <w:spacing w:line="151" w:lineRule="exact"/>
              <w:ind w:left="110"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315" w:type="dxa"/>
            <w:tcBorders>
              <w:top w:val="nil" w:sz="6" w:space="0" w:color="auto"/>
              <w:left w:val="nil" w:sz="6" w:space="0" w:color="auto"/>
              <w:bottom w:val="nil" w:sz="6" w:space="0" w:color="auto"/>
              <w:right w:val="nil" w:sz="6" w:space="0" w:color="auto"/>
            </w:tcBorders>
          </w:tcPr>
          <w:p>
            <w:pPr>
              <w:pStyle w:val="TableParagraph"/>
              <w:spacing w:line="161" w:lineRule="exact"/>
              <w:ind w:right="139"/>
              <w:jc w:val="right"/>
              <w:rPr>
                <w:rFonts w:ascii="宋体" w:hAnsi="宋体" w:cs="宋体" w:eastAsia="宋体" w:hint="default"/>
                <w:sz w:val="13"/>
                <w:szCs w:val="13"/>
              </w:rPr>
            </w:pPr>
            <w:r>
              <w:rPr>
                <w:rFonts w:ascii="Times New Roman" w:hAnsi="Times New Roman" w:cs="Times New Roman" w:eastAsia="Times New Roman" w:hint="default"/>
                <w:sz w:val="13"/>
                <w:szCs w:val="13"/>
              </w:rPr>
              <w:t>300</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万美元</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14"/>
                <w:szCs w:val="14"/>
              </w:rPr>
            </w:pPr>
          </w:p>
          <w:p>
            <w:pPr>
              <w:pStyle w:val="TableParagraph"/>
              <w:spacing w:line="240" w:lineRule="auto"/>
              <w:ind w:right="45"/>
              <w:jc w:val="right"/>
              <w:rPr>
                <w:rFonts w:ascii="Times New Roman" w:hAnsi="Times New Roman" w:cs="Times New Roman" w:eastAsia="Times New Roman" w:hint="default"/>
                <w:sz w:val="13"/>
                <w:szCs w:val="13"/>
              </w:rPr>
            </w:pPr>
            <w:r>
              <w:rPr>
                <w:rFonts w:ascii="宋体" w:hAnsi="宋体" w:cs="宋体" w:eastAsia="宋体" w:hint="default"/>
                <w:sz w:val="13"/>
                <w:szCs w:val="13"/>
              </w:rPr>
              <w:t>间接</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31</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6"/>
              <w:jc w:val="right"/>
              <w:rPr>
                <w:rFonts w:ascii="Times New Roman" w:hAnsi="Times New Roman" w:cs="Times New Roman" w:eastAsia="Times New Roman" w:hint="default"/>
                <w:sz w:val="13"/>
                <w:szCs w:val="13"/>
              </w:rPr>
            </w:pPr>
            <w:r>
              <w:rPr>
                <w:rFonts w:ascii="Times New Roman"/>
                <w:w w:val="95"/>
                <w:sz w:val="13"/>
              </w:rPr>
              <w:t>70219661-8</w:t>
            </w:r>
            <w:r>
              <w:rPr>
                <w:rFonts w:ascii="Times New Roman"/>
                <w:sz w:val="13"/>
              </w:rPr>
            </w:r>
          </w:p>
        </w:tc>
      </w:tr>
      <w:tr>
        <w:trPr>
          <w:trHeight w:val="374"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6"/>
              <w:ind w:left="91" w:right="0"/>
              <w:jc w:val="left"/>
              <w:rPr>
                <w:rFonts w:ascii="宋体" w:hAnsi="宋体" w:cs="宋体" w:eastAsia="宋体" w:hint="default"/>
                <w:sz w:val="13"/>
                <w:szCs w:val="13"/>
              </w:rPr>
            </w:pPr>
            <w:r>
              <w:rPr>
                <w:rFonts w:ascii="宋体" w:hAnsi="宋体" w:cs="宋体" w:eastAsia="宋体" w:hint="default"/>
                <w:sz w:val="13"/>
                <w:szCs w:val="13"/>
              </w:rPr>
              <w:t>东软（日本）有限公司</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3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54" w:right="0"/>
              <w:jc w:val="left"/>
              <w:rPr>
                <w:rFonts w:ascii="宋体" w:hAnsi="宋体" w:cs="宋体" w:eastAsia="宋体" w:hint="default"/>
                <w:sz w:val="13"/>
                <w:szCs w:val="13"/>
              </w:rPr>
            </w:pPr>
            <w:r>
              <w:rPr>
                <w:rFonts w:ascii="宋体" w:hAnsi="宋体" w:cs="宋体" w:eastAsia="宋体" w:hint="default"/>
                <w:sz w:val="13"/>
                <w:szCs w:val="13"/>
              </w:rPr>
              <w:t>日本</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35" w:right="0"/>
              <w:jc w:val="left"/>
              <w:rPr>
                <w:rFonts w:ascii="宋体" w:hAnsi="宋体" w:cs="宋体" w:eastAsia="宋体" w:hint="default"/>
                <w:sz w:val="13"/>
                <w:szCs w:val="13"/>
              </w:rPr>
            </w:pPr>
            <w:r>
              <w:rPr>
                <w:rFonts w:ascii="宋体" w:hAnsi="宋体" w:cs="宋体" w:eastAsia="宋体" w:hint="default"/>
                <w:sz w:val="13"/>
                <w:szCs w:val="13"/>
              </w:rPr>
              <w:t>刘积仁</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10"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9"/>
              <w:jc w:val="right"/>
              <w:rPr>
                <w:rFonts w:ascii="宋体" w:hAnsi="宋体" w:cs="宋体" w:eastAsia="宋体" w:hint="default"/>
                <w:sz w:val="13"/>
                <w:szCs w:val="13"/>
              </w:rPr>
            </w:pPr>
            <w:r>
              <w:rPr>
                <w:rFonts w:ascii="Times New Roman" w:hAnsi="Times New Roman" w:cs="Times New Roman" w:eastAsia="Times New Roman" w:hint="default"/>
                <w:sz w:val="13"/>
                <w:szCs w:val="13"/>
              </w:rPr>
              <w:t>18,775</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万日元</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
        </w:tc>
      </w:tr>
      <w:tr>
        <w:trPr>
          <w:trHeight w:val="370"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东软（香港）有限公司</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54" w:right="0"/>
              <w:jc w:val="left"/>
              <w:rPr>
                <w:rFonts w:ascii="宋体" w:hAnsi="宋体" w:cs="宋体" w:eastAsia="宋体" w:hint="default"/>
                <w:sz w:val="13"/>
                <w:szCs w:val="13"/>
              </w:rPr>
            </w:pPr>
            <w:r>
              <w:rPr>
                <w:rFonts w:ascii="宋体" w:hAnsi="宋体" w:cs="宋体" w:eastAsia="宋体" w:hint="default"/>
                <w:sz w:val="13"/>
                <w:szCs w:val="13"/>
              </w:rPr>
              <w:t>香港</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刘积仁</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0" w:right="0"/>
              <w:jc w:val="left"/>
              <w:rPr>
                <w:rFonts w:ascii="宋体" w:hAnsi="宋体" w:cs="宋体" w:eastAsia="宋体" w:hint="default"/>
                <w:sz w:val="13"/>
                <w:szCs w:val="13"/>
              </w:rPr>
            </w:pPr>
            <w:r>
              <w:rPr>
                <w:rFonts w:ascii="宋体" w:hAnsi="宋体" w:cs="宋体" w:eastAsia="宋体" w:hint="default"/>
                <w:sz w:val="13"/>
                <w:szCs w:val="13"/>
              </w:rPr>
              <w:t>计算机软件开发、销售、咨询</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39"/>
              <w:jc w:val="right"/>
              <w:rPr>
                <w:rFonts w:ascii="宋体" w:hAnsi="宋体" w:cs="宋体" w:eastAsia="宋体" w:hint="default"/>
                <w:sz w:val="13"/>
                <w:szCs w:val="13"/>
              </w:rPr>
            </w:pPr>
            <w:r>
              <w:rPr>
                <w:rFonts w:ascii="Times New Roman" w:hAnsi="Times New Roman" w:cs="Times New Roman" w:eastAsia="Times New Roman" w:hint="default"/>
                <w:sz w:val="13"/>
                <w:szCs w:val="13"/>
              </w:rPr>
              <w:t>85</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万美元</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
        </w:tc>
      </w:tr>
      <w:tr>
        <w:trPr>
          <w:trHeight w:val="370"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91" w:right="0"/>
              <w:jc w:val="left"/>
              <w:rPr>
                <w:rFonts w:ascii="宋体" w:hAnsi="宋体" w:cs="宋体" w:eastAsia="宋体" w:hint="default"/>
                <w:sz w:val="13"/>
                <w:szCs w:val="13"/>
              </w:rPr>
            </w:pPr>
            <w:r>
              <w:rPr>
                <w:rFonts w:ascii="宋体" w:hAnsi="宋体" w:cs="宋体" w:eastAsia="宋体" w:hint="default"/>
                <w:sz w:val="13"/>
                <w:szCs w:val="13"/>
              </w:rPr>
              <w:t>沈阳东软博安软件有限公司</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3" w:right="0"/>
              <w:jc w:val="left"/>
              <w:rPr>
                <w:rFonts w:ascii="宋体" w:hAnsi="宋体" w:cs="宋体" w:eastAsia="宋体" w:hint="default"/>
                <w:sz w:val="13"/>
                <w:szCs w:val="13"/>
              </w:rPr>
            </w:pPr>
            <w:r>
              <w:rPr>
                <w:rFonts w:ascii="宋体" w:hAnsi="宋体" w:cs="宋体" w:eastAsia="宋体" w:hint="default"/>
                <w:sz w:val="13"/>
                <w:szCs w:val="13"/>
              </w:rPr>
              <w:t>控股</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54" w:right="0"/>
              <w:jc w:val="left"/>
              <w:rPr>
                <w:rFonts w:ascii="宋体" w:hAnsi="宋体" w:cs="宋体" w:eastAsia="宋体" w:hint="default"/>
                <w:sz w:val="13"/>
                <w:szCs w:val="13"/>
              </w:rPr>
            </w:pPr>
            <w:r>
              <w:rPr>
                <w:rFonts w:ascii="宋体" w:hAnsi="宋体" w:cs="宋体" w:eastAsia="宋体" w:hint="default"/>
                <w:sz w:val="13"/>
                <w:szCs w:val="13"/>
              </w:rPr>
              <w:t>沈阳</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0"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9"/>
              <w:jc w:val="right"/>
              <w:rPr>
                <w:rFonts w:ascii="宋体" w:hAnsi="宋体" w:cs="宋体" w:eastAsia="宋体" w:hint="default"/>
                <w:sz w:val="13"/>
                <w:szCs w:val="13"/>
              </w:rPr>
            </w:pPr>
            <w:r>
              <w:rPr>
                <w:rFonts w:ascii="Times New Roman" w:hAnsi="Times New Roman" w:cs="Times New Roman" w:eastAsia="Times New Roman" w:hint="default"/>
                <w:sz w:val="13"/>
                <w:szCs w:val="13"/>
              </w:rPr>
              <w:t>250</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万美元</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60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60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spacing w:val="-1"/>
                <w:w w:val="95"/>
                <w:sz w:val="13"/>
              </w:rPr>
              <w:t>71114763-1</w:t>
            </w:r>
            <w:r>
              <w:rPr>
                <w:rFonts w:ascii="Times New Roman"/>
                <w:spacing w:val="-1"/>
                <w:sz w:val="13"/>
              </w:rPr>
            </w:r>
          </w:p>
        </w:tc>
      </w:tr>
      <w:tr>
        <w:trPr>
          <w:trHeight w:val="370"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秦皇岛东软软件有限公司</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3" w:right="0"/>
              <w:jc w:val="left"/>
              <w:rPr>
                <w:rFonts w:ascii="宋体" w:hAnsi="宋体" w:cs="宋体" w:eastAsia="宋体" w:hint="default"/>
                <w:sz w:val="13"/>
                <w:szCs w:val="13"/>
              </w:rPr>
            </w:pPr>
            <w:r>
              <w:rPr>
                <w:rFonts w:ascii="宋体" w:hAnsi="宋体" w:cs="宋体" w:eastAsia="宋体" w:hint="default"/>
                <w:sz w:val="13"/>
                <w:szCs w:val="13"/>
              </w:rPr>
              <w:t>控股</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54" w:right="0"/>
              <w:jc w:val="left"/>
              <w:rPr>
                <w:rFonts w:ascii="宋体" w:hAnsi="宋体" w:cs="宋体" w:eastAsia="宋体" w:hint="default"/>
                <w:sz w:val="13"/>
                <w:szCs w:val="13"/>
              </w:rPr>
            </w:pPr>
            <w:r>
              <w:rPr>
                <w:rFonts w:ascii="宋体" w:hAnsi="宋体" w:cs="宋体" w:eastAsia="宋体" w:hint="default"/>
                <w:sz w:val="13"/>
                <w:szCs w:val="13"/>
              </w:rPr>
              <w:t>秦皇岛</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徐洪利</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0" w:right="0"/>
              <w:jc w:val="left"/>
              <w:rPr>
                <w:rFonts w:ascii="宋体" w:hAnsi="宋体" w:cs="宋体" w:eastAsia="宋体" w:hint="default"/>
                <w:sz w:val="13"/>
                <w:szCs w:val="13"/>
              </w:rPr>
            </w:pPr>
            <w:r>
              <w:rPr>
                <w:rFonts w:ascii="宋体" w:hAnsi="宋体" w:cs="宋体" w:eastAsia="宋体" w:hint="default"/>
                <w:sz w:val="13"/>
                <w:szCs w:val="13"/>
              </w:rPr>
              <w:t>计算机软件开发、网络集成</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1,000</w:t>
            </w:r>
            <w:r>
              <w:rPr>
                <w:rFonts w:ascii="Times New Roman"/>
                <w:sz w:val="13"/>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85</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85</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60128505-6</w:t>
            </w:r>
            <w:r>
              <w:rPr>
                <w:rFonts w:ascii="Times New Roman"/>
                <w:sz w:val="13"/>
              </w:rPr>
            </w:r>
          </w:p>
        </w:tc>
      </w:tr>
      <w:tr>
        <w:trPr>
          <w:trHeight w:val="370"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沈阳东软系统集成技术有限公司</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54" w:right="0"/>
              <w:jc w:val="left"/>
              <w:rPr>
                <w:rFonts w:ascii="宋体" w:hAnsi="宋体" w:cs="宋体" w:eastAsia="宋体" w:hint="default"/>
                <w:sz w:val="13"/>
                <w:szCs w:val="13"/>
              </w:rPr>
            </w:pPr>
            <w:r>
              <w:rPr>
                <w:rFonts w:ascii="宋体" w:hAnsi="宋体" w:cs="宋体" w:eastAsia="宋体" w:hint="default"/>
                <w:sz w:val="13"/>
                <w:szCs w:val="13"/>
              </w:rPr>
              <w:t>沈阳</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0" w:right="0"/>
              <w:jc w:val="left"/>
              <w:rPr>
                <w:rFonts w:ascii="宋体" w:hAnsi="宋体" w:cs="宋体" w:eastAsia="宋体" w:hint="default"/>
                <w:sz w:val="13"/>
                <w:szCs w:val="13"/>
              </w:rPr>
            </w:pPr>
            <w:r>
              <w:rPr>
                <w:rFonts w:ascii="宋体" w:hAnsi="宋体" w:cs="宋体" w:eastAsia="宋体" w:hint="default"/>
                <w:sz w:val="13"/>
                <w:szCs w:val="13"/>
              </w:rPr>
              <w:t>经营计算机软硬件、技术咨询、服务</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2,000</w:t>
            </w:r>
            <w:r>
              <w:rPr>
                <w:rFonts w:ascii="Times New Roman"/>
                <w:sz w:val="13"/>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67533650-6</w:t>
            </w:r>
            <w:r>
              <w:rPr>
                <w:rFonts w:ascii="Times New Roman"/>
                <w:sz w:val="13"/>
              </w:rPr>
            </w:r>
          </w:p>
        </w:tc>
      </w:tr>
      <w:tr>
        <w:trPr>
          <w:trHeight w:val="370"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91" w:right="0"/>
              <w:jc w:val="left"/>
              <w:rPr>
                <w:rFonts w:ascii="宋体" w:hAnsi="宋体" w:cs="宋体" w:eastAsia="宋体" w:hint="default"/>
                <w:sz w:val="13"/>
                <w:szCs w:val="13"/>
              </w:rPr>
            </w:pPr>
            <w:r>
              <w:rPr>
                <w:rFonts w:ascii="宋体" w:hAnsi="宋体" w:cs="宋体" w:eastAsia="宋体" w:hint="default"/>
                <w:sz w:val="13"/>
                <w:szCs w:val="13"/>
              </w:rPr>
              <w:t>辽宁东软创业投资有限公司</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3" w:right="0"/>
              <w:jc w:val="left"/>
              <w:rPr>
                <w:rFonts w:ascii="宋体" w:hAnsi="宋体" w:cs="宋体" w:eastAsia="宋体" w:hint="default"/>
                <w:sz w:val="13"/>
                <w:szCs w:val="13"/>
              </w:rPr>
            </w:pPr>
            <w:r>
              <w:rPr>
                <w:rFonts w:ascii="宋体" w:hAnsi="宋体" w:cs="宋体" w:eastAsia="宋体" w:hint="default"/>
                <w:sz w:val="13"/>
                <w:szCs w:val="13"/>
              </w:rPr>
              <w:t>控股</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54" w:right="0"/>
              <w:jc w:val="left"/>
              <w:rPr>
                <w:rFonts w:ascii="宋体" w:hAnsi="宋体" w:cs="宋体" w:eastAsia="宋体" w:hint="default"/>
                <w:sz w:val="13"/>
                <w:szCs w:val="13"/>
              </w:rPr>
            </w:pPr>
            <w:r>
              <w:rPr>
                <w:rFonts w:ascii="宋体" w:hAnsi="宋体" w:cs="宋体" w:eastAsia="宋体" w:hint="default"/>
                <w:sz w:val="13"/>
                <w:szCs w:val="13"/>
              </w:rPr>
              <w:t>大连</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5" w:right="0"/>
              <w:jc w:val="left"/>
              <w:rPr>
                <w:rFonts w:ascii="宋体" w:hAnsi="宋体" w:cs="宋体" w:eastAsia="宋体" w:hint="default"/>
                <w:sz w:val="13"/>
                <w:szCs w:val="13"/>
              </w:rPr>
            </w:pPr>
            <w:r>
              <w:rPr>
                <w:rFonts w:ascii="宋体" w:hAnsi="宋体" w:cs="宋体" w:eastAsia="宋体" w:hint="default"/>
                <w:sz w:val="13"/>
                <w:szCs w:val="13"/>
              </w:rPr>
              <w:t>刘积仁</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0" w:right="0"/>
              <w:jc w:val="left"/>
              <w:rPr>
                <w:rFonts w:ascii="宋体" w:hAnsi="宋体" w:cs="宋体" w:eastAsia="宋体" w:hint="default"/>
                <w:sz w:val="13"/>
                <w:szCs w:val="13"/>
              </w:rPr>
            </w:pPr>
            <w:r>
              <w:rPr>
                <w:rFonts w:ascii="宋体" w:hAnsi="宋体" w:cs="宋体" w:eastAsia="宋体" w:hint="default"/>
                <w:sz w:val="13"/>
                <w:szCs w:val="13"/>
              </w:rPr>
              <w:t>对中小企业投资及管理</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10,500</w:t>
            </w:r>
            <w:r>
              <w:rPr>
                <w:rFonts w:ascii="Times New Roman"/>
                <w:sz w:val="13"/>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71.43</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71.43</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71578937-5</w:t>
            </w:r>
            <w:r>
              <w:rPr>
                <w:rFonts w:ascii="Times New Roman"/>
                <w:sz w:val="13"/>
              </w:rPr>
            </w:r>
          </w:p>
        </w:tc>
      </w:tr>
      <w:tr>
        <w:trPr>
          <w:trHeight w:val="370"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东软（欧洲）有限公司</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股份有限责任公司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54" w:right="0"/>
              <w:jc w:val="left"/>
              <w:rPr>
                <w:rFonts w:ascii="宋体" w:hAnsi="宋体" w:cs="宋体" w:eastAsia="宋体" w:hint="default"/>
                <w:sz w:val="13"/>
                <w:szCs w:val="13"/>
              </w:rPr>
            </w:pPr>
            <w:r>
              <w:rPr>
                <w:rFonts w:ascii="宋体" w:hAnsi="宋体" w:cs="宋体" w:eastAsia="宋体" w:hint="default"/>
                <w:sz w:val="13"/>
                <w:szCs w:val="13"/>
              </w:rPr>
              <w:t>瑞士</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刘积仁</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0" w:right="0"/>
              <w:jc w:val="left"/>
              <w:rPr>
                <w:rFonts w:ascii="宋体" w:hAnsi="宋体" w:cs="宋体" w:eastAsia="宋体" w:hint="default"/>
                <w:sz w:val="13"/>
                <w:szCs w:val="13"/>
              </w:rPr>
            </w:pPr>
            <w:r>
              <w:rPr>
                <w:rFonts w:ascii="宋体" w:hAnsi="宋体" w:cs="宋体" w:eastAsia="宋体" w:hint="default"/>
                <w:sz w:val="13"/>
                <w:szCs w:val="13"/>
              </w:rPr>
              <w:t>经营计算机软硬件、技术咨询、服务</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39"/>
              <w:jc w:val="right"/>
              <w:rPr>
                <w:rFonts w:ascii="宋体" w:hAnsi="宋体" w:cs="宋体" w:eastAsia="宋体" w:hint="default"/>
                <w:sz w:val="13"/>
                <w:szCs w:val="13"/>
              </w:rPr>
            </w:pPr>
            <w:r>
              <w:rPr>
                <w:rFonts w:ascii="Times New Roman" w:hAnsi="Times New Roman" w:cs="Times New Roman" w:eastAsia="Times New Roman" w:hint="default"/>
                <w:sz w:val="13"/>
                <w:szCs w:val="13"/>
              </w:rPr>
              <w:t>2,040</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万瑞士法郎</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
        </w:tc>
      </w:tr>
      <w:tr>
        <w:trPr>
          <w:trHeight w:val="370"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left="91" w:right="0"/>
              <w:jc w:val="left"/>
              <w:rPr>
                <w:rFonts w:ascii="Times New Roman" w:hAnsi="Times New Roman" w:cs="Times New Roman" w:eastAsia="Times New Roman" w:hint="default"/>
                <w:sz w:val="13"/>
                <w:szCs w:val="13"/>
              </w:rPr>
            </w:pPr>
            <w:r>
              <w:rPr>
                <w:rFonts w:ascii="Times New Roman"/>
                <w:sz w:val="13"/>
              </w:rPr>
              <w:t>Neusoft    Mobile    Solutions</w:t>
            </w:r>
            <w:r>
              <w:rPr>
                <w:rFonts w:ascii="Times New Roman"/>
                <w:spacing w:val="-3"/>
                <w:sz w:val="13"/>
              </w:rPr>
              <w:t> </w:t>
            </w:r>
            <w:r>
              <w:rPr>
                <w:rFonts w:ascii="Times New Roman"/>
                <w:sz w:val="13"/>
              </w:rPr>
              <w:t>Oy</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股份有限责任公司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54" w:right="0"/>
              <w:jc w:val="left"/>
              <w:rPr>
                <w:rFonts w:ascii="宋体" w:hAnsi="宋体" w:cs="宋体" w:eastAsia="宋体" w:hint="default"/>
                <w:sz w:val="13"/>
                <w:szCs w:val="13"/>
              </w:rPr>
            </w:pPr>
            <w:r>
              <w:rPr>
                <w:rFonts w:ascii="宋体" w:hAnsi="宋体" w:cs="宋体" w:eastAsia="宋体" w:hint="default"/>
                <w:sz w:val="13"/>
                <w:szCs w:val="13"/>
              </w:rPr>
              <w:t>芬兰</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left="235" w:right="0"/>
              <w:jc w:val="left"/>
              <w:rPr>
                <w:rFonts w:ascii="Times New Roman" w:hAnsi="Times New Roman" w:cs="Times New Roman" w:eastAsia="Times New Roman" w:hint="default"/>
                <w:sz w:val="13"/>
                <w:szCs w:val="13"/>
              </w:rPr>
            </w:pPr>
            <w:r>
              <w:rPr>
                <w:rFonts w:ascii="Times New Roman"/>
                <w:sz w:val="13"/>
              </w:rPr>
              <w:t>Klaus</w:t>
            </w:r>
            <w:r>
              <w:rPr>
                <w:rFonts w:ascii="Times New Roman"/>
                <w:spacing w:val="-3"/>
                <w:sz w:val="13"/>
              </w:rPr>
              <w:t> </w:t>
            </w:r>
            <w:r>
              <w:rPr>
                <w:rFonts w:ascii="Times New Roman"/>
                <w:sz w:val="13"/>
              </w:rPr>
              <w:t>Zimmer</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0" w:right="0"/>
              <w:jc w:val="left"/>
              <w:rPr>
                <w:rFonts w:ascii="宋体" w:hAnsi="宋体" w:cs="宋体" w:eastAsia="宋体" w:hint="default"/>
                <w:sz w:val="13"/>
                <w:szCs w:val="13"/>
              </w:rPr>
            </w:pPr>
            <w:r>
              <w:rPr>
                <w:rFonts w:ascii="宋体" w:hAnsi="宋体" w:cs="宋体" w:eastAsia="宋体" w:hint="default"/>
                <w:sz w:val="13"/>
                <w:szCs w:val="13"/>
              </w:rPr>
              <w:t>计算机软硬件，技术咨询、服务等</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39"/>
              <w:jc w:val="right"/>
              <w:rPr>
                <w:rFonts w:ascii="宋体" w:hAnsi="宋体" w:cs="宋体" w:eastAsia="宋体" w:hint="default"/>
                <w:sz w:val="13"/>
                <w:szCs w:val="13"/>
              </w:rPr>
            </w:pPr>
            <w:r>
              <w:rPr>
                <w:rFonts w:ascii="Times New Roman" w:hAnsi="Times New Roman" w:cs="Times New Roman" w:eastAsia="Times New Roman" w:hint="default"/>
                <w:sz w:val="13"/>
                <w:szCs w:val="13"/>
              </w:rPr>
              <w:t>0.86</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万欧元</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
        </w:tc>
      </w:tr>
      <w:tr>
        <w:trPr>
          <w:trHeight w:val="413"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left="91" w:right="0"/>
              <w:jc w:val="left"/>
              <w:rPr>
                <w:rFonts w:ascii="Times New Roman" w:hAnsi="Times New Roman" w:cs="Times New Roman" w:eastAsia="Times New Roman" w:hint="default"/>
                <w:sz w:val="13"/>
                <w:szCs w:val="13"/>
              </w:rPr>
            </w:pPr>
            <w:r>
              <w:rPr>
                <w:rFonts w:ascii="Times New Roman"/>
                <w:sz w:val="13"/>
              </w:rPr>
              <w:t>Almitas</w:t>
            </w:r>
            <w:r>
              <w:rPr>
                <w:rFonts w:ascii="Times New Roman"/>
                <w:spacing w:val="-2"/>
                <w:sz w:val="13"/>
              </w:rPr>
              <w:t> </w:t>
            </w:r>
            <w:r>
              <w:rPr>
                <w:rFonts w:ascii="Times New Roman"/>
                <w:sz w:val="13"/>
              </w:rPr>
              <w:t>Oy</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7" w:right="0"/>
              <w:jc w:val="left"/>
              <w:rPr>
                <w:rFonts w:ascii="宋体" w:hAnsi="宋体" w:cs="宋体" w:eastAsia="宋体" w:hint="default"/>
                <w:sz w:val="13"/>
                <w:szCs w:val="13"/>
              </w:rPr>
            </w:pPr>
            <w:r>
              <w:rPr>
                <w:rFonts w:ascii="宋体" w:hAnsi="宋体" w:cs="宋体" w:eastAsia="宋体" w:hint="default"/>
                <w:sz w:val="13"/>
                <w:szCs w:val="13"/>
              </w:rPr>
              <w:t>股份有限责任公司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54" w:right="0"/>
              <w:jc w:val="left"/>
              <w:rPr>
                <w:rFonts w:ascii="宋体" w:hAnsi="宋体" w:cs="宋体" w:eastAsia="宋体" w:hint="default"/>
                <w:sz w:val="13"/>
                <w:szCs w:val="13"/>
              </w:rPr>
            </w:pPr>
            <w:r>
              <w:rPr>
                <w:rFonts w:ascii="宋体" w:hAnsi="宋体" w:cs="宋体" w:eastAsia="宋体" w:hint="default"/>
                <w:sz w:val="13"/>
                <w:szCs w:val="13"/>
              </w:rPr>
              <w:t>芬兰</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left="235" w:right="0"/>
              <w:jc w:val="left"/>
              <w:rPr>
                <w:rFonts w:ascii="Times New Roman" w:hAnsi="Times New Roman" w:cs="Times New Roman" w:eastAsia="Times New Roman" w:hint="default"/>
                <w:sz w:val="13"/>
                <w:szCs w:val="13"/>
              </w:rPr>
            </w:pPr>
            <w:r>
              <w:rPr>
                <w:rFonts w:ascii="Times New Roman"/>
                <w:sz w:val="13"/>
              </w:rPr>
              <w:t>Klaus</w:t>
            </w:r>
            <w:r>
              <w:rPr>
                <w:rFonts w:ascii="Times New Roman"/>
                <w:spacing w:val="-3"/>
                <w:sz w:val="13"/>
              </w:rPr>
              <w:t> </w:t>
            </w:r>
            <w:r>
              <w:rPr>
                <w:rFonts w:ascii="Times New Roman"/>
                <w:sz w:val="13"/>
              </w:rPr>
              <w:t>Zimmer</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0" w:right="0"/>
              <w:jc w:val="left"/>
              <w:rPr>
                <w:rFonts w:ascii="宋体" w:hAnsi="宋体" w:cs="宋体" w:eastAsia="宋体" w:hint="default"/>
                <w:sz w:val="13"/>
                <w:szCs w:val="13"/>
              </w:rPr>
            </w:pPr>
            <w:r>
              <w:rPr>
                <w:rFonts w:ascii="宋体" w:hAnsi="宋体" w:cs="宋体" w:eastAsia="宋体" w:hint="default"/>
                <w:sz w:val="13"/>
                <w:szCs w:val="13"/>
              </w:rPr>
              <w:t>计算机软硬件，技术咨询、服务等</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9"/>
              <w:jc w:val="right"/>
              <w:rPr>
                <w:rFonts w:ascii="宋体" w:hAnsi="宋体" w:cs="宋体" w:eastAsia="宋体" w:hint="default"/>
                <w:sz w:val="13"/>
                <w:szCs w:val="13"/>
              </w:rPr>
            </w:pPr>
            <w:r>
              <w:rPr>
                <w:rFonts w:ascii="Times New Roman" w:hAnsi="Times New Roman" w:cs="Times New Roman" w:eastAsia="Times New Roman" w:hint="default"/>
                <w:sz w:val="13"/>
                <w:szCs w:val="13"/>
              </w:rPr>
              <w:t>0.84</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万欧元</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
        </w:tc>
      </w:tr>
      <w:tr>
        <w:trPr>
          <w:trHeight w:val="455"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3"/>
                <w:szCs w:val="13"/>
              </w:rPr>
            </w:pPr>
          </w:p>
          <w:p>
            <w:pPr>
              <w:pStyle w:val="TableParagraph"/>
              <w:spacing w:line="240" w:lineRule="auto"/>
              <w:ind w:left="91" w:right="0"/>
              <w:jc w:val="left"/>
              <w:rPr>
                <w:rFonts w:ascii="Times New Roman" w:hAnsi="Times New Roman" w:cs="Times New Roman" w:eastAsia="Times New Roman" w:hint="default"/>
                <w:sz w:val="13"/>
                <w:szCs w:val="13"/>
              </w:rPr>
            </w:pPr>
            <w:r>
              <w:rPr>
                <w:rFonts w:ascii="Times New Roman"/>
                <w:sz w:val="13"/>
              </w:rPr>
              <w:t>Neusoft Mobile Solutions</w:t>
            </w:r>
            <w:r>
              <w:rPr>
                <w:rFonts w:ascii="Times New Roman"/>
                <w:spacing w:val="-5"/>
                <w:sz w:val="13"/>
              </w:rPr>
              <w:t> </w:t>
            </w:r>
            <w:r>
              <w:rPr>
                <w:rFonts w:ascii="Times New Roman"/>
                <w:sz w:val="13"/>
              </w:rPr>
              <w:t>SRL</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left="23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left="67" w:right="0"/>
              <w:jc w:val="left"/>
              <w:rPr>
                <w:rFonts w:ascii="宋体" w:hAnsi="宋体" w:cs="宋体" w:eastAsia="宋体" w:hint="default"/>
                <w:sz w:val="13"/>
                <w:szCs w:val="13"/>
              </w:rPr>
            </w:pPr>
            <w:r>
              <w:rPr>
                <w:rFonts w:ascii="宋体" w:hAnsi="宋体" w:cs="宋体" w:eastAsia="宋体" w:hint="default"/>
                <w:sz w:val="13"/>
                <w:szCs w:val="13"/>
              </w:rPr>
              <w:t>股份有限责任公司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left="154" w:right="0"/>
              <w:jc w:val="left"/>
              <w:rPr>
                <w:rFonts w:ascii="宋体" w:hAnsi="宋体" w:cs="宋体" w:eastAsia="宋体" w:hint="default"/>
                <w:sz w:val="13"/>
                <w:szCs w:val="13"/>
              </w:rPr>
            </w:pPr>
            <w:r>
              <w:rPr>
                <w:rFonts w:ascii="宋体" w:hAnsi="宋体" w:cs="宋体" w:eastAsia="宋体" w:hint="default"/>
                <w:sz w:val="13"/>
                <w:szCs w:val="13"/>
              </w:rPr>
              <w:t>罗马尼亚</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3"/>
                <w:szCs w:val="13"/>
              </w:rPr>
            </w:pPr>
          </w:p>
          <w:p>
            <w:pPr>
              <w:pStyle w:val="TableParagraph"/>
              <w:spacing w:line="240" w:lineRule="auto"/>
              <w:ind w:left="235" w:right="0"/>
              <w:jc w:val="left"/>
              <w:rPr>
                <w:rFonts w:ascii="Times New Roman" w:hAnsi="Times New Roman" w:cs="Times New Roman" w:eastAsia="Times New Roman" w:hint="default"/>
                <w:sz w:val="13"/>
                <w:szCs w:val="13"/>
              </w:rPr>
            </w:pPr>
            <w:r>
              <w:rPr>
                <w:rFonts w:ascii="Times New Roman"/>
                <w:sz w:val="13"/>
              </w:rPr>
              <w:t>Klaus</w:t>
            </w:r>
            <w:r>
              <w:rPr>
                <w:rFonts w:ascii="Times New Roman"/>
                <w:spacing w:val="-3"/>
                <w:sz w:val="13"/>
              </w:rPr>
              <w:t> </w:t>
            </w:r>
            <w:r>
              <w:rPr>
                <w:rFonts w:ascii="Times New Roman"/>
                <w:sz w:val="13"/>
              </w:rPr>
              <w:t>Zimmer</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left="110" w:right="0"/>
              <w:jc w:val="left"/>
              <w:rPr>
                <w:rFonts w:ascii="宋体" w:hAnsi="宋体" w:cs="宋体" w:eastAsia="宋体" w:hint="default"/>
                <w:sz w:val="13"/>
                <w:szCs w:val="13"/>
              </w:rPr>
            </w:pPr>
            <w:r>
              <w:rPr>
                <w:rFonts w:ascii="宋体" w:hAnsi="宋体" w:cs="宋体" w:eastAsia="宋体" w:hint="default"/>
                <w:sz w:val="13"/>
                <w:szCs w:val="13"/>
              </w:rPr>
              <w:t>计算机软硬件，技术咨询、服务等</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40"/>
              <w:jc w:val="right"/>
              <w:rPr>
                <w:rFonts w:ascii="宋体" w:hAnsi="宋体" w:cs="宋体" w:eastAsia="宋体" w:hint="default"/>
                <w:sz w:val="13"/>
                <w:szCs w:val="13"/>
              </w:rPr>
            </w:pPr>
            <w:r>
              <w:rPr>
                <w:rFonts w:ascii="Times New Roman" w:hAnsi="Times New Roman" w:cs="Times New Roman" w:eastAsia="Times New Roman" w:hint="default"/>
                <w:sz w:val="13"/>
                <w:szCs w:val="13"/>
              </w:rPr>
              <w:t>9.4</w:t>
            </w:r>
            <w:r>
              <w:rPr>
                <w:rFonts w:ascii="Times New Roman" w:hAnsi="Times New Roman" w:cs="Times New Roman" w:eastAsia="Times New Roman" w:hint="default"/>
                <w:spacing w:val="-4"/>
                <w:sz w:val="13"/>
                <w:szCs w:val="13"/>
              </w:rPr>
              <w:t> </w:t>
            </w:r>
            <w:r>
              <w:rPr>
                <w:rFonts w:ascii="宋体" w:hAnsi="宋体" w:cs="宋体" w:eastAsia="宋体" w:hint="default"/>
                <w:sz w:val="13"/>
                <w:szCs w:val="13"/>
              </w:rPr>
              <w:t>万罗马尼亚列伊</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3"/>
                <w:szCs w:val="13"/>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3"/>
                <w:szCs w:val="13"/>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
        </w:tc>
      </w:tr>
      <w:tr>
        <w:trPr>
          <w:trHeight w:val="412"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left="91" w:right="0"/>
              <w:jc w:val="left"/>
              <w:rPr>
                <w:rFonts w:ascii="宋体" w:hAnsi="宋体" w:cs="宋体" w:eastAsia="宋体" w:hint="default"/>
                <w:sz w:val="13"/>
                <w:szCs w:val="13"/>
              </w:rPr>
            </w:pPr>
            <w:r>
              <w:rPr>
                <w:rFonts w:ascii="宋体" w:hAnsi="宋体" w:cs="宋体" w:eastAsia="宋体" w:hint="default"/>
                <w:sz w:val="13"/>
                <w:szCs w:val="13"/>
              </w:rPr>
              <w:t>天津东软软件技术有限公司</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left="23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left="154" w:right="0"/>
              <w:jc w:val="left"/>
              <w:rPr>
                <w:rFonts w:ascii="宋体" w:hAnsi="宋体" w:cs="宋体" w:eastAsia="宋体" w:hint="default"/>
                <w:sz w:val="13"/>
                <w:szCs w:val="13"/>
              </w:rPr>
            </w:pPr>
            <w:r>
              <w:rPr>
                <w:rFonts w:ascii="宋体" w:hAnsi="宋体" w:cs="宋体" w:eastAsia="宋体" w:hint="default"/>
                <w:sz w:val="13"/>
                <w:szCs w:val="13"/>
              </w:rPr>
              <w:t>天津</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9"/>
                <w:szCs w:val="9"/>
              </w:rPr>
            </w:pPr>
          </w:p>
          <w:p>
            <w:pPr>
              <w:pStyle w:val="TableParagraph"/>
              <w:spacing w:line="240" w:lineRule="auto"/>
              <w:ind w:left="110" w:right="0"/>
              <w:jc w:val="left"/>
              <w:rPr>
                <w:rFonts w:ascii="宋体" w:hAnsi="宋体" w:cs="宋体" w:eastAsia="宋体" w:hint="default"/>
                <w:sz w:val="13"/>
                <w:szCs w:val="13"/>
              </w:rPr>
            </w:pPr>
            <w:r>
              <w:rPr>
                <w:rFonts w:ascii="宋体" w:hAnsi="宋体" w:cs="宋体" w:eastAsia="宋体" w:hint="default"/>
                <w:spacing w:val="-4"/>
                <w:sz w:val="13"/>
                <w:szCs w:val="13"/>
              </w:rPr>
              <w:t>计算机软硬件、系统集成、技术咨询服务</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3"/>
                <w:szCs w:val="13"/>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500</w:t>
            </w:r>
            <w:r>
              <w:rPr>
                <w:rFonts w:ascii="Times New Roman"/>
                <w:sz w:val="13"/>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3"/>
                <w:szCs w:val="13"/>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3"/>
                <w:szCs w:val="13"/>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3"/>
                <w:szCs w:val="13"/>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78639469-6</w:t>
            </w:r>
            <w:r>
              <w:rPr>
                <w:rFonts w:ascii="Times New Roman"/>
                <w:sz w:val="13"/>
              </w:rPr>
            </w:r>
          </w:p>
        </w:tc>
      </w:tr>
      <w:tr>
        <w:trPr>
          <w:trHeight w:val="370"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沈阳东软医疗系统进出口有限公司</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54" w:right="0"/>
              <w:jc w:val="left"/>
              <w:rPr>
                <w:rFonts w:ascii="宋体" w:hAnsi="宋体" w:cs="宋体" w:eastAsia="宋体" w:hint="default"/>
                <w:sz w:val="13"/>
                <w:szCs w:val="13"/>
              </w:rPr>
            </w:pPr>
            <w:r>
              <w:rPr>
                <w:rFonts w:ascii="宋体" w:hAnsi="宋体" w:cs="宋体" w:eastAsia="宋体" w:hint="default"/>
                <w:sz w:val="13"/>
                <w:szCs w:val="13"/>
              </w:rPr>
              <w:t>沈阳</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刘健</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0" w:right="0"/>
              <w:jc w:val="left"/>
              <w:rPr>
                <w:rFonts w:ascii="宋体" w:hAnsi="宋体" w:cs="宋体" w:eastAsia="宋体" w:hint="default"/>
                <w:sz w:val="13"/>
                <w:szCs w:val="13"/>
              </w:rPr>
            </w:pPr>
            <w:r>
              <w:rPr>
                <w:rFonts w:ascii="宋体" w:hAnsi="宋体" w:cs="宋体" w:eastAsia="宋体" w:hint="default"/>
                <w:sz w:val="13"/>
                <w:szCs w:val="13"/>
              </w:rPr>
              <w:t>商品、技术进出口</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500</w:t>
            </w:r>
            <w:r>
              <w:rPr>
                <w:rFonts w:ascii="Times New Roman"/>
                <w:sz w:val="13"/>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76439265-7</w:t>
            </w:r>
            <w:r>
              <w:rPr>
                <w:rFonts w:ascii="Times New Roman"/>
                <w:sz w:val="13"/>
              </w:rPr>
            </w:r>
          </w:p>
        </w:tc>
      </w:tr>
      <w:tr>
        <w:trPr>
          <w:trHeight w:val="370" w:hRule="exact"/>
        </w:trPr>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91" w:right="0"/>
              <w:jc w:val="left"/>
              <w:rPr>
                <w:rFonts w:ascii="宋体" w:hAnsi="宋体" w:cs="宋体" w:eastAsia="宋体" w:hint="default"/>
                <w:sz w:val="13"/>
                <w:szCs w:val="13"/>
              </w:rPr>
            </w:pPr>
            <w:r>
              <w:rPr>
                <w:rFonts w:ascii="宋体" w:hAnsi="宋体" w:cs="宋体" w:eastAsia="宋体" w:hint="default"/>
                <w:sz w:val="13"/>
                <w:szCs w:val="13"/>
              </w:rPr>
              <w:t>东软医疗（美国）有限公司</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1094"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54" w:right="0"/>
              <w:jc w:val="left"/>
              <w:rPr>
                <w:rFonts w:ascii="宋体" w:hAnsi="宋体" w:cs="宋体" w:eastAsia="宋体" w:hint="default"/>
                <w:sz w:val="13"/>
                <w:szCs w:val="13"/>
              </w:rPr>
            </w:pPr>
            <w:r>
              <w:rPr>
                <w:rFonts w:ascii="宋体" w:hAnsi="宋体" w:cs="宋体" w:eastAsia="宋体" w:hint="default"/>
                <w:sz w:val="13"/>
                <w:szCs w:val="13"/>
              </w:rPr>
              <w:t>美国</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5" w:right="0"/>
              <w:jc w:val="left"/>
              <w:rPr>
                <w:rFonts w:ascii="宋体" w:hAnsi="宋体" w:cs="宋体" w:eastAsia="宋体" w:hint="default"/>
                <w:sz w:val="13"/>
                <w:szCs w:val="13"/>
              </w:rPr>
            </w:pPr>
            <w:r>
              <w:rPr>
                <w:rFonts w:ascii="宋体" w:hAnsi="宋体" w:cs="宋体" w:eastAsia="宋体" w:hint="default"/>
                <w:sz w:val="13"/>
                <w:szCs w:val="13"/>
              </w:rPr>
              <w:t>郑全录</w:t>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0" w:right="0"/>
              <w:jc w:val="left"/>
              <w:rPr>
                <w:rFonts w:ascii="宋体" w:hAnsi="宋体" w:cs="宋体" w:eastAsia="宋体" w:hint="default"/>
                <w:sz w:val="13"/>
                <w:szCs w:val="13"/>
              </w:rPr>
            </w:pPr>
            <w:r>
              <w:rPr>
                <w:rFonts w:ascii="宋体" w:hAnsi="宋体" w:cs="宋体" w:eastAsia="宋体" w:hint="default"/>
                <w:sz w:val="13"/>
                <w:szCs w:val="13"/>
              </w:rPr>
              <w:t>产品的研发、制造、技术咨询和服务等</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9"/>
              <w:jc w:val="right"/>
              <w:rPr>
                <w:rFonts w:ascii="宋体" w:hAnsi="宋体" w:cs="宋体" w:eastAsia="宋体" w:hint="default"/>
                <w:sz w:val="13"/>
                <w:szCs w:val="13"/>
              </w:rPr>
            </w:pPr>
            <w:r>
              <w:rPr>
                <w:rFonts w:ascii="Times New Roman" w:hAnsi="Times New Roman" w:cs="Times New Roman" w:eastAsia="Times New Roman" w:hint="default"/>
                <w:sz w:val="13"/>
                <w:szCs w:val="13"/>
              </w:rPr>
              <w:t>100</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万美元</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77"/>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
        </w:tc>
      </w:tr>
      <w:tr>
        <w:trPr>
          <w:trHeight w:val="267" w:hRule="exact"/>
        </w:trPr>
        <w:tc>
          <w:tcPr>
            <w:tcW w:w="2253" w:type="dxa"/>
            <w:tcBorders>
              <w:top w:val="nil" w:sz="6" w:space="0" w:color="auto"/>
              <w:left w:val="nil" w:sz="6" w:space="0" w:color="auto"/>
              <w:bottom w:val="nil" w:sz="6" w:space="0" w:color="auto"/>
              <w:right w:val="nil" w:sz="6" w:space="0" w:color="auto"/>
            </w:tcBorders>
          </w:tcPr>
          <w:p>
            <w:pPr/>
          </w:p>
        </w:tc>
        <w:tc>
          <w:tcPr>
            <w:tcW w:w="929" w:type="dxa"/>
            <w:tcBorders>
              <w:top w:val="nil" w:sz="6" w:space="0" w:color="auto"/>
              <w:left w:val="nil" w:sz="6" w:space="0" w:color="auto"/>
              <w:bottom w:val="nil" w:sz="6" w:space="0" w:color="auto"/>
              <w:right w:val="nil" w:sz="6" w:space="0" w:color="auto"/>
            </w:tcBorders>
          </w:tcPr>
          <w:p>
            <w:pPr/>
          </w:p>
        </w:tc>
        <w:tc>
          <w:tcPr>
            <w:tcW w:w="1261" w:type="dxa"/>
            <w:tcBorders>
              <w:top w:val="nil" w:sz="6" w:space="0" w:color="auto"/>
              <w:left w:val="nil" w:sz="6" w:space="0" w:color="auto"/>
              <w:bottom w:val="nil" w:sz="6" w:space="0" w:color="auto"/>
              <w:right w:val="nil" w:sz="6" w:space="0" w:color="auto"/>
            </w:tcBorders>
          </w:tcPr>
          <w:p>
            <w:pPr/>
          </w:p>
        </w:tc>
        <w:tc>
          <w:tcPr>
            <w:tcW w:w="1094" w:type="dxa"/>
            <w:tcBorders>
              <w:top w:val="nil" w:sz="6" w:space="0" w:color="auto"/>
              <w:left w:val="nil" w:sz="6" w:space="0" w:color="auto"/>
              <w:bottom w:val="nil" w:sz="6" w:space="0" w:color="auto"/>
              <w:right w:val="nil" w:sz="6" w:space="0" w:color="auto"/>
            </w:tcBorders>
          </w:tcPr>
          <w:p>
            <w:pPr/>
          </w:p>
        </w:tc>
        <w:tc>
          <w:tcPr>
            <w:tcW w:w="1100" w:type="dxa"/>
            <w:tcBorders>
              <w:top w:val="nil" w:sz="6" w:space="0" w:color="auto"/>
              <w:left w:val="nil" w:sz="6" w:space="0" w:color="auto"/>
              <w:bottom w:val="nil" w:sz="6" w:space="0" w:color="auto"/>
              <w:right w:val="nil" w:sz="6" w:space="0" w:color="auto"/>
            </w:tcBorders>
          </w:tcPr>
          <w:p>
            <w:pP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0" w:right="0"/>
              <w:jc w:val="left"/>
              <w:rPr>
                <w:rFonts w:ascii="宋体" w:hAnsi="宋体" w:cs="宋体" w:eastAsia="宋体" w:hint="default"/>
                <w:sz w:val="13"/>
                <w:szCs w:val="13"/>
              </w:rPr>
            </w:pPr>
            <w:r>
              <w:rPr>
                <w:rFonts w:ascii="宋体" w:hAnsi="宋体" w:cs="宋体" w:eastAsia="宋体" w:hint="default"/>
                <w:sz w:val="13"/>
                <w:szCs w:val="13"/>
              </w:rPr>
              <w:t>低场永磁产品研究制造，磁共振技术开</w:t>
            </w:r>
          </w:p>
        </w:tc>
        <w:tc>
          <w:tcPr>
            <w:tcW w:w="1315" w:type="dxa"/>
            <w:tcBorders>
              <w:top w:val="nil" w:sz="6" w:space="0" w:color="auto"/>
              <w:left w:val="nil" w:sz="6" w:space="0" w:color="auto"/>
              <w:bottom w:val="nil" w:sz="6" w:space="0" w:color="auto"/>
              <w:right w:val="nil" w:sz="6" w:space="0" w:color="auto"/>
            </w:tcBorders>
          </w:tcPr>
          <w:p>
            <w:pPr/>
          </w:p>
        </w:tc>
        <w:tc>
          <w:tcPr>
            <w:tcW w:w="989" w:type="dxa"/>
            <w:tcBorders>
              <w:top w:val="nil" w:sz="6" w:space="0" w:color="auto"/>
              <w:left w:val="nil" w:sz="6" w:space="0" w:color="auto"/>
              <w:bottom w:val="nil" w:sz="6" w:space="0" w:color="auto"/>
              <w:right w:val="nil" w:sz="6" w:space="0" w:color="auto"/>
            </w:tcBorders>
          </w:tcPr>
          <w:p>
            <w:pPr/>
          </w:p>
        </w:tc>
        <w:tc>
          <w:tcPr>
            <w:tcW w:w="993" w:type="dxa"/>
            <w:tcBorders>
              <w:top w:val="nil" w:sz="6" w:space="0" w:color="auto"/>
              <w:left w:val="nil" w:sz="6" w:space="0" w:color="auto"/>
              <w:bottom w:val="nil" w:sz="6" w:space="0" w:color="auto"/>
              <w:right w:val="nil" w:sz="6" w:space="0" w:color="auto"/>
            </w:tcBorders>
          </w:tcPr>
          <w:p>
            <w:pPr/>
          </w:p>
        </w:tc>
        <w:tc>
          <w:tcPr>
            <w:tcW w:w="1001" w:type="dxa"/>
            <w:tcBorders>
              <w:top w:val="nil" w:sz="6" w:space="0" w:color="auto"/>
              <w:left w:val="nil" w:sz="6" w:space="0" w:color="auto"/>
              <w:bottom w:val="nil" w:sz="6" w:space="0" w:color="auto"/>
              <w:right w:val="nil" w:sz="6" w:space="0" w:color="auto"/>
            </w:tcBorders>
          </w:tcPr>
          <w:p>
            <w:pPr/>
          </w:p>
        </w:tc>
      </w:tr>
      <w:tr>
        <w:trPr>
          <w:trHeight w:val="367" w:hRule="exact"/>
        </w:trPr>
        <w:tc>
          <w:tcPr>
            <w:tcW w:w="2253" w:type="dxa"/>
            <w:tcBorders>
              <w:top w:val="nil" w:sz="6" w:space="0" w:color="auto"/>
              <w:left w:val="nil" w:sz="6" w:space="0" w:color="auto"/>
              <w:bottom w:val="single" w:sz="8" w:space="0" w:color="000000"/>
              <w:right w:val="nil" w:sz="6" w:space="0" w:color="auto"/>
            </w:tcBorders>
          </w:tcPr>
          <w:p>
            <w:pPr>
              <w:pStyle w:val="TableParagraph"/>
              <w:spacing w:line="155" w:lineRule="exact"/>
              <w:ind w:left="91" w:right="0"/>
              <w:jc w:val="left"/>
              <w:rPr>
                <w:rFonts w:ascii="宋体" w:hAnsi="宋体" w:cs="宋体" w:eastAsia="宋体" w:hint="default"/>
                <w:sz w:val="13"/>
                <w:szCs w:val="13"/>
              </w:rPr>
            </w:pPr>
            <w:r>
              <w:rPr>
                <w:rFonts w:ascii="宋体" w:hAnsi="宋体" w:cs="宋体" w:eastAsia="宋体" w:hint="default"/>
                <w:sz w:val="13"/>
                <w:szCs w:val="13"/>
              </w:rPr>
              <w:t>沈阳东软波谱磁共振技术有限公司</w:t>
            </w:r>
          </w:p>
        </w:tc>
        <w:tc>
          <w:tcPr>
            <w:tcW w:w="929" w:type="dxa"/>
            <w:tcBorders>
              <w:top w:val="nil" w:sz="6" w:space="0" w:color="auto"/>
              <w:left w:val="nil" w:sz="6" w:space="0" w:color="auto"/>
              <w:bottom w:val="single" w:sz="8" w:space="0" w:color="000000"/>
              <w:right w:val="nil" w:sz="6" w:space="0" w:color="auto"/>
            </w:tcBorders>
          </w:tcPr>
          <w:p>
            <w:pPr>
              <w:pStyle w:val="TableParagraph"/>
              <w:spacing w:line="155" w:lineRule="exact"/>
              <w:ind w:left="233" w:right="0"/>
              <w:jc w:val="left"/>
              <w:rPr>
                <w:rFonts w:ascii="宋体" w:hAnsi="宋体" w:cs="宋体" w:eastAsia="宋体" w:hint="default"/>
                <w:sz w:val="13"/>
                <w:szCs w:val="13"/>
              </w:rPr>
            </w:pPr>
            <w:r>
              <w:rPr>
                <w:rFonts w:ascii="宋体" w:hAnsi="宋体" w:cs="宋体" w:eastAsia="宋体" w:hint="default"/>
                <w:sz w:val="13"/>
                <w:szCs w:val="13"/>
              </w:rPr>
              <w:t>控股</w:t>
            </w:r>
          </w:p>
        </w:tc>
        <w:tc>
          <w:tcPr>
            <w:tcW w:w="1261" w:type="dxa"/>
            <w:tcBorders>
              <w:top w:val="nil" w:sz="6" w:space="0" w:color="auto"/>
              <w:left w:val="nil" w:sz="6" w:space="0" w:color="auto"/>
              <w:bottom w:val="single" w:sz="8" w:space="0" w:color="000000"/>
              <w:right w:val="nil" w:sz="6" w:space="0" w:color="auto"/>
            </w:tcBorders>
          </w:tcPr>
          <w:p>
            <w:pPr>
              <w:pStyle w:val="TableParagraph"/>
              <w:spacing w:line="155" w:lineRule="exact"/>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1094" w:type="dxa"/>
            <w:tcBorders>
              <w:top w:val="nil" w:sz="6" w:space="0" w:color="auto"/>
              <w:left w:val="nil" w:sz="6" w:space="0" w:color="auto"/>
              <w:bottom w:val="single" w:sz="8" w:space="0" w:color="000000"/>
              <w:right w:val="nil" w:sz="6" w:space="0" w:color="auto"/>
            </w:tcBorders>
          </w:tcPr>
          <w:p>
            <w:pPr>
              <w:pStyle w:val="TableParagraph"/>
              <w:spacing w:line="155" w:lineRule="exact"/>
              <w:ind w:left="154" w:right="0"/>
              <w:jc w:val="left"/>
              <w:rPr>
                <w:rFonts w:ascii="宋体" w:hAnsi="宋体" w:cs="宋体" w:eastAsia="宋体" w:hint="default"/>
                <w:sz w:val="13"/>
                <w:szCs w:val="13"/>
              </w:rPr>
            </w:pPr>
            <w:r>
              <w:rPr>
                <w:rFonts w:ascii="宋体" w:hAnsi="宋体" w:cs="宋体" w:eastAsia="宋体" w:hint="default"/>
                <w:sz w:val="13"/>
                <w:szCs w:val="13"/>
              </w:rPr>
              <w:t>沈阳</w:t>
            </w:r>
          </w:p>
        </w:tc>
        <w:tc>
          <w:tcPr>
            <w:tcW w:w="1100" w:type="dxa"/>
            <w:tcBorders>
              <w:top w:val="nil" w:sz="6" w:space="0" w:color="auto"/>
              <w:left w:val="nil" w:sz="6" w:space="0" w:color="auto"/>
              <w:bottom w:val="single" w:sz="8" w:space="0" w:color="000000"/>
              <w:right w:val="nil" w:sz="6" w:space="0" w:color="auto"/>
            </w:tcBorders>
          </w:tcPr>
          <w:p>
            <w:pPr>
              <w:pStyle w:val="TableParagraph"/>
              <w:spacing w:line="155" w:lineRule="exact"/>
              <w:ind w:left="235" w:right="0"/>
              <w:jc w:val="left"/>
              <w:rPr>
                <w:rFonts w:ascii="宋体" w:hAnsi="宋体" w:cs="宋体" w:eastAsia="宋体" w:hint="default"/>
                <w:sz w:val="13"/>
                <w:szCs w:val="13"/>
              </w:rPr>
            </w:pPr>
            <w:r>
              <w:rPr>
                <w:rFonts w:ascii="宋体" w:hAnsi="宋体" w:cs="宋体" w:eastAsia="宋体" w:hint="default"/>
                <w:sz w:val="13"/>
                <w:szCs w:val="13"/>
              </w:rPr>
              <w:t>刘健</w:t>
            </w:r>
          </w:p>
        </w:tc>
        <w:tc>
          <w:tcPr>
            <w:tcW w:w="2455" w:type="dxa"/>
            <w:tcBorders>
              <w:top w:val="nil" w:sz="6" w:space="0" w:color="auto"/>
              <w:left w:val="nil" w:sz="6" w:space="0" w:color="auto"/>
              <w:bottom w:val="single" w:sz="8"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10" w:right="0"/>
              <w:jc w:val="left"/>
              <w:rPr>
                <w:rFonts w:ascii="宋体" w:hAnsi="宋体" w:cs="宋体" w:eastAsia="宋体" w:hint="default"/>
                <w:sz w:val="13"/>
                <w:szCs w:val="13"/>
              </w:rPr>
            </w:pPr>
            <w:r>
              <w:rPr>
                <w:rFonts w:ascii="宋体" w:hAnsi="宋体" w:cs="宋体" w:eastAsia="宋体" w:hint="default"/>
                <w:sz w:val="13"/>
                <w:szCs w:val="13"/>
              </w:rPr>
              <w:t>发、咨询</w:t>
            </w:r>
          </w:p>
        </w:tc>
        <w:tc>
          <w:tcPr>
            <w:tcW w:w="1315" w:type="dxa"/>
            <w:tcBorders>
              <w:top w:val="nil" w:sz="6" w:space="0" w:color="auto"/>
              <w:left w:val="nil" w:sz="6" w:space="0" w:color="auto"/>
              <w:bottom w:val="single" w:sz="8" w:space="0" w:color="000000"/>
              <w:right w:val="nil" w:sz="6" w:space="0" w:color="auto"/>
            </w:tcBorders>
          </w:tcPr>
          <w:p>
            <w:pPr>
              <w:pStyle w:val="TableParagraph"/>
              <w:spacing w:line="240" w:lineRule="auto" w:before="23"/>
              <w:ind w:right="139"/>
              <w:jc w:val="right"/>
              <w:rPr>
                <w:rFonts w:ascii="Times New Roman" w:hAnsi="Times New Roman" w:cs="Times New Roman" w:eastAsia="Times New Roman" w:hint="default"/>
                <w:sz w:val="13"/>
                <w:szCs w:val="13"/>
              </w:rPr>
            </w:pPr>
            <w:r>
              <w:rPr>
                <w:rFonts w:ascii="Times New Roman"/>
                <w:w w:val="95"/>
                <w:sz w:val="13"/>
              </w:rPr>
              <w:t>1,000</w:t>
            </w:r>
            <w:r>
              <w:rPr>
                <w:rFonts w:ascii="Times New Roman"/>
                <w:sz w:val="13"/>
              </w:rPr>
            </w:r>
          </w:p>
        </w:tc>
        <w:tc>
          <w:tcPr>
            <w:tcW w:w="989" w:type="dxa"/>
            <w:tcBorders>
              <w:top w:val="nil" w:sz="6" w:space="0" w:color="auto"/>
              <w:left w:val="nil" w:sz="6" w:space="0" w:color="auto"/>
              <w:bottom w:val="single" w:sz="8" w:space="0" w:color="000000"/>
              <w:right w:val="nil" w:sz="6" w:space="0" w:color="auto"/>
            </w:tcBorders>
          </w:tcPr>
          <w:p>
            <w:pPr>
              <w:pStyle w:val="TableParagraph"/>
              <w:spacing w:line="240" w:lineRule="auto" w:before="23"/>
              <w:ind w:right="77"/>
              <w:jc w:val="right"/>
              <w:rPr>
                <w:rFonts w:ascii="Times New Roman" w:hAnsi="Times New Roman" w:cs="Times New Roman" w:eastAsia="Times New Roman" w:hint="default"/>
                <w:sz w:val="13"/>
                <w:szCs w:val="13"/>
              </w:rPr>
            </w:pPr>
            <w:r>
              <w:rPr>
                <w:rFonts w:ascii="Times New Roman"/>
                <w:w w:val="95"/>
                <w:sz w:val="13"/>
              </w:rPr>
              <w:t>80</w:t>
            </w:r>
            <w:r>
              <w:rPr>
                <w:rFonts w:ascii="Times New Roman"/>
                <w:sz w:val="13"/>
              </w:rPr>
            </w:r>
          </w:p>
        </w:tc>
        <w:tc>
          <w:tcPr>
            <w:tcW w:w="993" w:type="dxa"/>
            <w:tcBorders>
              <w:top w:val="nil" w:sz="6" w:space="0" w:color="auto"/>
              <w:left w:val="nil" w:sz="6" w:space="0" w:color="auto"/>
              <w:bottom w:val="single" w:sz="8" w:space="0" w:color="000000"/>
              <w:right w:val="nil" w:sz="6" w:space="0" w:color="auto"/>
            </w:tcBorders>
          </w:tcPr>
          <w:p>
            <w:pPr>
              <w:pStyle w:val="TableParagraph"/>
              <w:spacing w:line="240" w:lineRule="auto" w:before="23"/>
              <w:ind w:right="91"/>
              <w:jc w:val="right"/>
              <w:rPr>
                <w:rFonts w:ascii="Times New Roman" w:hAnsi="Times New Roman" w:cs="Times New Roman" w:eastAsia="Times New Roman" w:hint="default"/>
                <w:sz w:val="13"/>
                <w:szCs w:val="13"/>
              </w:rPr>
            </w:pPr>
            <w:r>
              <w:rPr>
                <w:rFonts w:ascii="Times New Roman"/>
                <w:w w:val="95"/>
                <w:sz w:val="13"/>
              </w:rPr>
              <w:t>80</w:t>
            </w:r>
            <w:r>
              <w:rPr>
                <w:rFonts w:ascii="Times New Roman"/>
                <w:sz w:val="13"/>
              </w:rPr>
            </w:r>
          </w:p>
        </w:tc>
        <w:tc>
          <w:tcPr>
            <w:tcW w:w="1001" w:type="dxa"/>
            <w:tcBorders>
              <w:top w:val="nil" w:sz="6" w:space="0" w:color="auto"/>
              <w:left w:val="nil" w:sz="6" w:space="0" w:color="auto"/>
              <w:bottom w:val="single" w:sz="8" w:space="0" w:color="000000"/>
              <w:right w:val="nil" w:sz="6" w:space="0" w:color="auto"/>
            </w:tcBorders>
          </w:tcPr>
          <w:p>
            <w:pPr>
              <w:pStyle w:val="TableParagraph"/>
              <w:spacing w:line="240" w:lineRule="auto" w:before="23"/>
              <w:ind w:right="56"/>
              <w:jc w:val="right"/>
              <w:rPr>
                <w:rFonts w:ascii="Times New Roman" w:hAnsi="Times New Roman" w:cs="Times New Roman" w:eastAsia="Times New Roman" w:hint="default"/>
                <w:sz w:val="13"/>
                <w:szCs w:val="13"/>
              </w:rPr>
            </w:pPr>
            <w:r>
              <w:rPr>
                <w:rFonts w:ascii="Times New Roman"/>
                <w:w w:val="95"/>
                <w:sz w:val="13"/>
              </w:rPr>
              <w:t>73464528-9</w:t>
            </w:r>
            <w:r>
              <w:rPr>
                <w:rFonts w:ascii="Times New Roman"/>
                <w:sz w:val="13"/>
              </w:rPr>
            </w:r>
          </w:p>
        </w:tc>
      </w:tr>
    </w:tbl>
    <w:p>
      <w:pPr>
        <w:spacing w:after="0" w:line="240" w:lineRule="auto"/>
        <w:jc w:val="right"/>
        <w:rPr>
          <w:rFonts w:ascii="Times New Roman" w:hAnsi="Times New Roman" w:cs="Times New Roman" w:eastAsia="Times New Roman" w:hint="default"/>
          <w:sz w:val="13"/>
          <w:szCs w:val="13"/>
        </w:rPr>
        <w:sectPr>
          <w:pgSz w:w="16840" w:h="11900" w:orient="landscape"/>
          <w:pgMar w:header="883" w:footer="995" w:top="1600" w:bottom="1180" w:left="1300" w:right="1300"/>
        </w:sectPr>
      </w:pPr>
    </w:p>
    <w:p>
      <w:pPr>
        <w:spacing w:line="240" w:lineRule="auto" w:before="5"/>
        <w:rPr>
          <w:rFonts w:ascii="Times New Roman" w:hAnsi="Times New Roman" w:cs="Times New Roman" w:eastAsia="Times New Roman" w:hint="default"/>
          <w:sz w:val="29"/>
          <w:szCs w:val="29"/>
        </w:rPr>
      </w:pPr>
      <w:r>
        <w:rPr/>
        <w:pict>
          <v:group style="position:absolute;margin-left:101.991005pt;margin-top:89.879997pt;width:669.4pt;height:367.75pt;mso-position-horizontal-relative:page;mso-position-vertical-relative:page;z-index:-977728" coordorigin="2040,1798" coordsize="13388,7355">
            <v:group style="position:absolute;left:2049;top:1807;width:2391;height:2" coordorigin="2049,1807" coordsize="2391,2">
              <v:shape style="position:absolute;left:2049;top:1807;width:2391;height:2" coordorigin="2049,1807" coordsize="2391,0" path="m2049,1807l4440,1807e" filled="false" stroked="true" strokeweight=".95999pt" strokecolor="#000000">
                <v:path arrowok="t"/>
              </v:shape>
            </v:group>
            <v:group style="position:absolute;left:4440;top:1807;width:764;height:2" coordorigin="4440,1807" coordsize="764,2">
              <v:shape style="position:absolute;left:4440;top:1807;width:764;height:2" coordorigin="4440,1807" coordsize="764,0" path="m4440,1807l5203,1807e" filled="false" stroked="true" strokeweight=".95999pt" strokecolor="#000000">
                <v:path arrowok="t"/>
              </v:shape>
            </v:group>
            <v:group style="position:absolute;left:5203;top:1807;width:1348;height:2" coordorigin="5203,1807" coordsize="1348,2">
              <v:shape style="position:absolute;left:5203;top:1807;width:1348;height:2" coordorigin="5203,1807" coordsize="1348,0" path="m5203,1807l6551,1807e" filled="false" stroked="true" strokeweight=".95999pt" strokecolor="#000000">
                <v:path arrowok="t"/>
              </v:shape>
            </v:group>
            <v:group style="position:absolute;left:6551;top:1807;width:1175;height:2" coordorigin="6551,1807" coordsize="1175,2">
              <v:shape style="position:absolute;left:6551;top:1807;width:1175;height:2" coordorigin="6551,1807" coordsize="1175,0" path="m6551,1807l7725,1807e" filled="false" stroked="true" strokeweight=".95999pt" strokecolor="#000000">
                <v:path arrowok="t"/>
              </v:shape>
            </v:group>
            <v:group style="position:absolute;left:7725;top:1807;width:976;height:2" coordorigin="7725,1807" coordsize="976,2">
              <v:shape style="position:absolute;left:7725;top:1807;width:976;height:2" coordorigin="7725,1807" coordsize="976,0" path="m7725,1807l8701,1807e" filled="false" stroked="true" strokeweight=".95999pt" strokecolor="#000000">
                <v:path arrowok="t"/>
              </v:shape>
            </v:group>
            <v:group style="position:absolute;left:8701;top:1807;width:2414;height:2" coordorigin="8701,1807" coordsize="2414,2">
              <v:shape style="position:absolute;left:8701;top:1807;width:2414;height:2" coordorigin="8701,1807" coordsize="2414,0" path="m8701,1807l11114,1807e" filled="false" stroked="true" strokeweight=".95999pt" strokecolor="#000000">
                <v:path arrowok="t"/>
              </v:shape>
            </v:group>
            <v:group style="position:absolute;left:11114;top:1807;width:1241;height:2" coordorigin="11114,1807" coordsize="1241,2">
              <v:shape style="position:absolute;left:11114;top:1807;width:1241;height:2" coordorigin="11114,1807" coordsize="1241,0" path="m11114,1807l12355,1807e" filled="false" stroked="true" strokeweight=".95999pt" strokecolor="#000000">
                <v:path arrowok="t"/>
              </v:shape>
            </v:group>
            <v:group style="position:absolute;left:12355;top:1807;width:1052;height:2" coordorigin="12355,1807" coordsize="1052,2">
              <v:shape style="position:absolute;left:12355;top:1807;width:1052;height:2" coordorigin="12355,1807" coordsize="1052,0" path="m12355,1807l13406,1807e" filled="false" stroked="true" strokeweight=".95999pt" strokecolor="#000000">
                <v:path arrowok="t"/>
              </v:shape>
            </v:group>
            <v:group style="position:absolute;left:13406;top:1807;width:980;height:2" coordorigin="13406,1807" coordsize="980,2">
              <v:shape style="position:absolute;left:13406;top:1807;width:980;height:2" coordorigin="13406,1807" coordsize="980,0" path="m13406,1807l14385,1807e" filled="false" stroked="true" strokeweight=".95999pt" strokecolor="#000000">
                <v:path arrowok="t"/>
              </v:shape>
            </v:group>
            <v:group style="position:absolute;left:14385;top:1807;width:1032;height:2" coordorigin="14385,1807" coordsize="1032,2">
              <v:shape style="position:absolute;left:14385;top:1807;width:1032;height:2" coordorigin="14385,1807" coordsize="1032,0" path="m14385,1807l15417,1807e" filled="false" stroked="true" strokeweight=".95999pt" strokecolor="#000000">
                <v:path arrowok="t"/>
              </v:shape>
              <v:shape style="position:absolute;left:2049;top:1817;width:13378;height:7336" type="#_x0000_t75" stroked="false">
                <v:imagedata r:id="rId147" o:title=""/>
              </v:shape>
            </v:group>
            <w10:wrap type="none"/>
          </v:group>
        </w:pict>
      </w:r>
    </w:p>
    <w:tbl>
      <w:tblPr>
        <w:tblW w:w="0" w:type="auto"/>
        <w:jc w:val="left"/>
        <w:tblInd w:w="735" w:type="dxa"/>
        <w:tblLayout w:type="fixed"/>
        <w:tblCellMar>
          <w:top w:w="0" w:type="dxa"/>
          <w:left w:w="0" w:type="dxa"/>
          <w:bottom w:w="0" w:type="dxa"/>
          <w:right w:w="0" w:type="dxa"/>
        </w:tblCellMar>
        <w:tblLook w:val="01E0"/>
      </w:tblPr>
      <w:tblGrid>
        <w:gridCol w:w="2383"/>
        <w:gridCol w:w="799"/>
        <w:gridCol w:w="1169"/>
        <w:gridCol w:w="533"/>
        <w:gridCol w:w="652"/>
        <w:gridCol w:w="1091"/>
        <w:gridCol w:w="2638"/>
        <w:gridCol w:w="1141"/>
        <w:gridCol w:w="973"/>
        <w:gridCol w:w="1009"/>
        <w:gridCol w:w="1001"/>
      </w:tblGrid>
      <w:tr>
        <w:trPr>
          <w:trHeight w:val="636"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9" w:right="0"/>
              <w:jc w:val="center"/>
              <w:rPr>
                <w:rFonts w:ascii="宋体" w:hAnsi="宋体" w:cs="宋体" w:eastAsia="宋体" w:hint="default"/>
                <w:sz w:val="13"/>
                <w:szCs w:val="13"/>
              </w:rPr>
            </w:pPr>
            <w:r>
              <w:rPr>
                <w:rFonts w:ascii="宋体" w:hAnsi="宋体" w:cs="宋体" w:eastAsia="宋体" w:hint="default"/>
                <w:sz w:val="13"/>
                <w:szCs w:val="13"/>
              </w:rPr>
              <w:t>子公司全称</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2" w:right="0"/>
              <w:jc w:val="left"/>
              <w:rPr>
                <w:rFonts w:ascii="宋体" w:hAnsi="宋体" w:cs="宋体" w:eastAsia="宋体" w:hint="default"/>
                <w:sz w:val="13"/>
                <w:szCs w:val="13"/>
              </w:rPr>
            </w:pPr>
            <w:r>
              <w:rPr>
                <w:rFonts w:ascii="宋体" w:hAnsi="宋体" w:cs="宋体" w:eastAsia="宋体" w:hint="default"/>
                <w:sz w:val="13"/>
                <w:szCs w:val="13"/>
              </w:rPr>
              <w:t>子公司类型</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04" w:right="0"/>
              <w:jc w:val="left"/>
              <w:rPr>
                <w:rFonts w:ascii="宋体" w:hAnsi="宋体" w:cs="宋体" w:eastAsia="宋体" w:hint="default"/>
                <w:sz w:val="13"/>
                <w:szCs w:val="13"/>
              </w:rPr>
            </w:pPr>
            <w:r>
              <w:rPr>
                <w:rFonts w:ascii="宋体" w:hAnsi="宋体" w:cs="宋体" w:eastAsia="宋体" w:hint="default"/>
                <w:sz w:val="13"/>
                <w:szCs w:val="13"/>
              </w:rPr>
              <w:t>企业类型</w:t>
            </w:r>
          </w:p>
        </w:tc>
        <w:tc>
          <w:tcPr>
            <w:tcW w:w="533" w:type="dxa"/>
            <w:tcBorders>
              <w:top w:val="nil" w:sz="6" w:space="0" w:color="auto"/>
              <w:left w:val="nil" w:sz="6" w:space="0" w:color="auto"/>
              <w:bottom w:val="nil" w:sz="6" w:space="0" w:color="auto"/>
              <w:right w:val="nil" w:sz="6" w:space="0" w:color="auto"/>
            </w:tcBorders>
          </w:tcPr>
          <w:p>
            <w:pPr/>
          </w:p>
        </w:tc>
        <w:tc>
          <w:tcPr>
            <w:tcW w:w="65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8" w:right="0"/>
              <w:jc w:val="left"/>
              <w:rPr>
                <w:rFonts w:ascii="宋体" w:hAnsi="宋体" w:cs="宋体" w:eastAsia="宋体" w:hint="default"/>
                <w:sz w:val="13"/>
                <w:szCs w:val="13"/>
              </w:rPr>
            </w:pPr>
            <w:r>
              <w:rPr>
                <w:rFonts w:ascii="宋体" w:hAnsi="宋体" w:cs="宋体" w:eastAsia="宋体" w:hint="default"/>
                <w:sz w:val="13"/>
                <w:szCs w:val="13"/>
              </w:rPr>
              <w:t>注册地</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21" w:right="0"/>
              <w:jc w:val="left"/>
              <w:rPr>
                <w:rFonts w:ascii="宋体" w:hAnsi="宋体" w:cs="宋体" w:eastAsia="宋体" w:hint="default"/>
                <w:sz w:val="13"/>
                <w:szCs w:val="13"/>
              </w:rPr>
            </w:pPr>
            <w:r>
              <w:rPr>
                <w:rFonts w:ascii="宋体" w:hAnsi="宋体" w:cs="宋体" w:eastAsia="宋体" w:hint="default"/>
                <w:sz w:val="13"/>
                <w:szCs w:val="13"/>
              </w:rPr>
              <w:t>法定代表人</w:t>
            </w: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37"/>
              <w:jc w:val="center"/>
              <w:rPr>
                <w:rFonts w:ascii="宋体" w:hAnsi="宋体" w:cs="宋体" w:eastAsia="宋体" w:hint="default"/>
                <w:sz w:val="13"/>
                <w:szCs w:val="13"/>
              </w:rPr>
            </w:pPr>
            <w:r>
              <w:rPr>
                <w:rFonts w:ascii="宋体" w:hAnsi="宋体" w:cs="宋体" w:eastAsia="宋体" w:hint="default"/>
                <w:sz w:val="13"/>
                <w:szCs w:val="13"/>
              </w:rPr>
              <w:t>业务性质</w:t>
            </w: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3"/>
              <w:ind w:right="122"/>
              <w:jc w:val="center"/>
              <w:rPr>
                <w:rFonts w:ascii="宋体" w:hAnsi="宋体" w:cs="宋体" w:eastAsia="宋体" w:hint="default"/>
                <w:sz w:val="13"/>
                <w:szCs w:val="13"/>
              </w:rPr>
            </w:pPr>
            <w:r>
              <w:rPr>
                <w:rFonts w:ascii="宋体" w:hAnsi="宋体" w:cs="宋体" w:eastAsia="宋体" w:hint="default"/>
                <w:w w:val="99"/>
                <w:sz w:val="13"/>
                <w:szCs w:val="13"/>
              </w:rPr>
              <w:t>开发</w:t>
            </w:r>
            <w:r>
              <w:rPr>
                <w:rFonts w:ascii="宋体" w:hAnsi="宋体" w:cs="宋体" w:eastAsia="宋体" w:hint="default"/>
                <w:spacing w:val="-64"/>
                <w:w w:val="99"/>
                <w:sz w:val="13"/>
                <w:szCs w:val="13"/>
              </w:rPr>
              <w:t>、</w:t>
            </w:r>
            <w:r>
              <w:rPr>
                <w:rFonts w:ascii="宋体" w:hAnsi="宋体" w:cs="宋体" w:eastAsia="宋体" w:hint="default"/>
                <w:w w:val="99"/>
                <w:sz w:val="13"/>
                <w:szCs w:val="13"/>
              </w:rPr>
              <w:t>生</w:t>
            </w:r>
            <w:r>
              <w:rPr>
                <w:rFonts w:ascii="宋体" w:hAnsi="宋体" w:cs="宋体" w:eastAsia="宋体" w:hint="default"/>
                <w:spacing w:val="1"/>
                <w:w w:val="99"/>
                <w:sz w:val="13"/>
                <w:szCs w:val="13"/>
              </w:rPr>
              <w:t>产</w:t>
            </w:r>
            <w:r>
              <w:rPr>
                <w:rFonts w:ascii="宋体" w:hAnsi="宋体" w:cs="宋体" w:eastAsia="宋体" w:hint="default"/>
                <w:w w:val="99"/>
                <w:sz w:val="13"/>
                <w:szCs w:val="13"/>
              </w:rPr>
              <w:t>正电</w:t>
            </w:r>
            <w:r>
              <w:rPr>
                <w:rFonts w:ascii="宋体" w:hAnsi="宋体" w:cs="宋体" w:eastAsia="宋体" w:hint="default"/>
                <w:spacing w:val="1"/>
                <w:w w:val="99"/>
                <w:sz w:val="13"/>
                <w:szCs w:val="13"/>
              </w:rPr>
              <w:t>子发</w:t>
            </w:r>
            <w:r>
              <w:rPr>
                <w:rFonts w:ascii="宋体" w:hAnsi="宋体" w:cs="宋体" w:eastAsia="宋体" w:hint="default"/>
                <w:w w:val="99"/>
                <w:sz w:val="13"/>
                <w:szCs w:val="13"/>
              </w:rPr>
              <w:t>射计算</w:t>
            </w:r>
            <w:r>
              <w:rPr>
                <w:rFonts w:ascii="宋体" w:hAnsi="宋体" w:cs="宋体" w:eastAsia="宋体" w:hint="default"/>
                <w:spacing w:val="1"/>
                <w:w w:val="99"/>
                <w:sz w:val="13"/>
                <w:szCs w:val="13"/>
              </w:rPr>
              <w:t>机</w:t>
            </w:r>
            <w:r>
              <w:rPr>
                <w:rFonts w:ascii="宋体" w:hAnsi="宋体" w:cs="宋体" w:eastAsia="宋体" w:hint="default"/>
                <w:w w:val="99"/>
                <w:sz w:val="13"/>
                <w:szCs w:val="13"/>
              </w:rPr>
              <w:t>断层</w:t>
            </w:r>
            <w:r>
              <w:rPr>
                <w:rFonts w:ascii="宋体" w:hAnsi="宋体" w:cs="宋体" w:eastAsia="宋体" w:hint="default"/>
                <w:spacing w:val="1"/>
                <w:w w:val="99"/>
                <w:sz w:val="13"/>
                <w:szCs w:val="13"/>
              </w:rPr>
              <w:t>显</w:t>
            </w:r>
            <w:r>
              <w:rPr>
                <w:rFonts w:ascii="宋体" w:hAnsi="宋体" w:cs="宋体" w:eastAsia="宋体" w:hint="default"/>
                <w:w w:val="99"/>
                <w:sz w:val="13"/>
                <w:szCs w:val="13"/>
              </w:rPr>
              <w:t>像系</w:t>
            </w:r>
            <w:r>
              <w:rPr>
                <w:rFonts w:ascii="宋体" w:hAnsi="宋体" w:cs="宋体" w:eastAsia="宋体" w:hint="default"/>
                <w:sz w:val="13"/>
                <w:szCs w:val="13"/>
              </w:rPr>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79" w:right="0"/>
              <w:jc w:val="left"/>
              <w:rPr>
                <w:rFonts w:ascii="宋体" w:hAnsi="宋体" w:cs="宋体" w:eastAsia="宋体" w:hint="default"/>
                <w:sz w:val="13"/>
                <w:szCs w:val="13"/>
              </w:rPr>
            </w:pPr>
            <w:r>
              <w:rPr>
                <w:rFonts w:ascii="宋体" w:hAnsi="宋体" w:cs="宋体" w:eastAsia="宋体" w:hint="default"/>
                <w:sz w:val="13"/>
                <w:szCs w:val="13"/>
              </w:rPr>
              <w:t>注册资本</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15"/>
              <w:jc w:val="right"/>
              <w:rPr>
                <w:rFonts w:ascii="Times New Roman" w:hAnsi="Times New Roman" w:cs="Times New Roman" w:eastAsia="Times New Roman" w:hint="default"/>
                <w:sz w:val="13"/>
                <w:szCs w:val="13"/>
              </w:rPr>
            </w:pPr>
            <w:r>
              <w:rPr>
                <w:rFonts w:ascii="宋体" w:hAnsi="宋体" w:cs="宋体" w:eastAsia="宋体" w:hint="default"/>
                <w:w w:val="95"/>
                <w:sz w:val="13"/>
                <w:szCs w:val="13"/>
              </w:rPr>
              <w:t>持股比例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00"/>
              <w:jc w:val="right"/>
              <w:rPr>
                <w:rFonts w:ascii="Times New Roman" w:hAnsi="Times New Roman" w:cs="Times New Roman" w:eastAsia="Times New Roman" w:hint="default"/>
                <w:sz w:val="13"/>
                <w:szCs w:val="13"/>
              </w:rPr>
            </w:pPr>
            <w:r>
              <w:rPr>
                <w:rFonts w:ascii="宋体" w:hAnsi="宋体" w:cs="宋体" w:eastAsia="宋体" w:hint="default"/>
                <w:w w:val="95"/>
                <w:sz w:val="13"/>
                <w:szCs w:val="13"/>
              </w:rPr>
              <w:t>表决权比例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93" w:right="0"/>
              <w:jc w:val="left"/>
              <w:rPr>
                <w:rFonts w:ascii="宋体" w:hAnsi="宋体" w:cs="宋体" w:eastAsia="宋体" w:hint="default"/>
                <w:sz w:val="13"/>
                <w:szCs w:val="13"/>
              </w:rPr>
            </w:pPr>
            <w:r>
              <w:rPr>
                <w:rFonts w:ascii="宋体" w:hAnsi="宋体" w:cs="宋体" w:eastAsia="宋体" w:hint="default"/>
                <w:sz w:val="13"/>
                <w:szCs w:val="13"/>
              </w:rPr>
              <w:t>组织机构代码</w:t>
            </w:r>
          </w:p>
        </w:tc>
      </w:tr>
      <w:tr>
        <w:trPr>
          <w:trHeight w:val="455"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155" w:lineRule="exact"/>
              <w:ind w:left="91" w:right="0"/>
              <w:jc w:val="left"/>
              <w:rPr>
                <w:rFonts w:ascii="宋体" w:hAnsi="宋体" w:cs="宋体" w:eastAsia="宋体" w:hint="default"/>
                <w:sz w:val="13"/>
                <w:szCs w:val="13"/>
              </w:rPr>
            </w:pPr>
            <w:r>
              <w:rPr>
                <w:rFonts w:ascii="宋体" w:hAnsi="宋体" w:cs="宋体" w:eastAsia="宋体" w:hint="default"/>
                <w:sz w:val="13"/>
                <w:szCs w:val="13"/>
              </w:rPr>
              <w:t>沈阳东软派斯通医疗系统有限公司</w:t>
            </w:r>
          </w:p>
        </w:tc>
        <w:tc>
          <w:tcPr>
            <w:tcW w:w="799" w:type="dxa"/>
            <w:tcBorders>
              <w:top w:val="nil" w:sz="6" w:space="0" w:color="auto"/>
              <w:left w:val="nil" w:sz="6" w:space="0" w:color="auto"/>
              <w:bottom w:val="nil" w:sz="6" w:space="0" w:color="auto"/>
              <w:right w:val="nil" w:sz="6" w:space="0" w:color="auto"/>
            </w:tcBorders>
          </w:tcPr>
          <w:p>
            <w:pPr>
              <w:pStyle w:val="TableParagraph"/>
              <w:spacing w:line="155" w:lineRule="exact"/>
              <w:ind w:left="103" w:right="0"/>
              <w:jc w:val="left"/>
              <w:rPr>
                <w:rFonts w:ascii="宋体" w:hAnsi="宋体" w:cs="宋体" w:eastAsia="宋体" w:hint="default"/>
                <w:sz w:val="13"/>
                <w:szCs w:val="13"/>
              </w:rPr>
            </w:pPr>
            <w:r>
              <w:rPr>
                <w:rFonts w:ascii="宋体" w:hAnsi="宋体" w:cs="宋体" w:eastAsia="宋体" w:hint="default"/>
                <w:sz w:val="13"/>
                <w:szCs w:val="13"/>
              </w:rPr>
              <w:t>控股</w:t>
            </w:r>
          </w:p>
        </w:tc>
        <w:tc>
          <w:tcPr>
            <w:tcW w:w="1169" w:type="dxa"/>
            <w:tcBorders>
              <w:top w:val="nil" w:sz="6" w:space="0" w:color="auto"/>
              <w:left w:val="nil" w:sz="6" w:space="0" w:color="auto"/>
              <w:bottom w:val="nil" w:sz="6" w:space="0" w:color="auto"/>
              <w:right w:val="nil" w:sz="6" w:space="0" w:color="auto"/>
            </w:tcBorders>
          </w:tcPr>
          <w:p>
            <w:pPr>
              <w:pStyle w:val="TableParagraph"/>
              <w:spacing w:line="155" w:lineRule="exact"/>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155" w:lineRule="exact"/>
              <w:ind w:right="26"/>
              <w:jc w:val="right"/>
              <w:rPr>
                <w:rFonts w:ascii="宋体" w:hAnsi="宋体" w:cs="宋体" w:eastAsia="宋体" w:hint="default"/>
                <w:sz w:val="13"/>
                <w:szCs w:val="13"/>
              </w:rPr>
            </w:pPr>
            <w:r>
              <w:rPr>
                <w:rFonts w:ascii="宋体" w:hAnsi="宋体" w:cs="宋体" w:eastAsia="宋体" w:hint="default"/>
                <w:w w:val="95"/>
                <w:sz w:val="13"/>
                <w:szCs w:val="13"/>
              </w:rPr>
              <w:t>沈阳</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155" w:lineRule="exact"/>
              <w:ind w:left="235" w:right="0"/>
              <w:jc w:val="left"/>
              <w:rPr>
                <w:rFonts w:ascii="宋体" w:hAnsi="宋体" w:cs="宋体" w:eastAsia="宋体" w:hint="default"/>
                <w:sz w:val="13"/>
                <w:szCs w:val="13"/>
              </w:rPr>
            </w:pPr>
            <w:r>
              <w:rPr>
                <w:rFonts w:ascii="宋体" w:hAnsi="宋体" w:cs="宋体" w:eastAsia="宋体" w:hint="default"/>
                <w:sz w:val="13"/>
                <w:szCs w:val="13"/>
              </w:rPr>
              <w:t>郑全录</w:t>
            </w: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19" w:right="0"/>
              <w:jc w:val="left"/>
              <w:rPr>
                <w:rFonts w:ascii="宋体" w:hAnsi="宋体" w:cs="宋体" w:eastAsia="宋体" w:hint="default"/>
                <w:sz w:val="13"/>
                <w:szCs w:val="13"/>
              </w:rPr>
            </w:pPr>
            <w:r>
              <w:rPr>
                <w:rFonts w:ascii="宋体" w:hAnsi="宋体" w:cs="宋体" w:eastAsia="宋体" w:hint="default"/>
                <w:sz w:val="13"/>
                <w:szCs w:val="13"/>
              </w:rPr>
              <w:t>统，相关技术咨询、服务</w:t>
            </w:r>
          </w:p>
        </w:tc>
        <w:tc>
          <w:tcPr>
            <w:tcW w:w="1141" w:type="dxa"/>
            <w:tcBorders>
              <w:top w:val="nil" w:sz="6" w:space="0" w:color="auto"/>
              <w:left w:val="nil" w:sz="6" w:space="0" w:color="auto"/>
              <w:bottom w:val="nil" w:sz="6" w:space="0" w:color="auto"/>
              <w:right w:val="nil" w:sz="6" w:space="0" w:color="auto"/>
            </w:tcBorders>
          </w:tcPr>
          <w:p>
            <w:pPr>
              <w:pStyle w:val="TableParagraph"/>
              <w:spacing w:line="165" w:lineRule="exact"/>
              <w:ind w:right="139"/>
              <w:jc w:val="right"/>
              <w:rPr>
                <w:rFonts w:ascii="宋体" w:hAnsi="宋体" w:cs="宋体" w:eastAsia="宋体" w:hint="default"/>
                <w:sz w:val="13"/>
                <w:szCs w:val="13"/>
              </w:rPr>
            </w:pPr>
            <w:r>
              <w:rPr>
                <w:rFonts w:ascii="Times New Roman" w:hAnsi="Times New Roman" w:cs="Times New Roman" w:eastAsia="Times New Roman" w:hint="default"/>
                <w:sz w:val="13"/>
                <w:szCs w:val="13"/>
              </w:rPr>
              <w:t>350</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万美元</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1"/>
              <w:jc w:val="right"/>
              <w:rPr>
                <w:rFonts w:ascii="Times New Roman" w:hAnsi="Times New Roman" w:cs="Times New Roman" w:eastAsia="Times New Roman" w:hint="default"/>
                <w:sz w:val="13"/>
                <w:szCs w:val="13"/>
              </w:rPr>
            </w:pPr>
            <w:r>
              <w:rPr>
                <w:rFonts w:ascii="Times New Roman"/>
                <w:w w:val="95"/>
                <w:sz w:val="13"/>
              </w:rPr>
              <w:t>99</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1"/>
              <w:jc w:val="right"/>
              <w:rPr>
                <w:rFonts w:ascii="Times New Roman" w:hAnsi="Times New Roman" w:cs="Times New Roman" w:eastAsia="Times New Roman" w:hint="default"/>
                <w:sz w:val="13"/>
                <w:szCs w:val="13"/>
              </w:rPr>
            </w:pPr>
            <w:r>
              <w:rPr>
                <w:rFonts w:ascii="Times New Roman"/>
                <w:w w:val="95"/>
                <w:sz w:val="13"/>
              </w:rPr>
              <w:t>99</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6"/>
              <w:jc w:val="right"/>
              <w:rPr>
                <w:rFonts w:ascii="Times New Roman" w:hAnsi="Times New Roman" w:cs="Times New Roman" w:eastAsia="Times New Roman" w:hint="default"/>
                <w:sz w:val="13"/>
                <w:szCs w:val="13"/>
              </w:rPr>
            </w:pPr>
            <w:r>
              <w:rPr>
                <w:rFonts w:ascii="Times New Roman"/>
                <w:w w:val="95"/>
                <w:sz w:val="13"/>
              </w:rPr>
              <w:t>78005017-1</w:t>
            </w:r>
            <w:r>
              <w:rPr>
                <w:rFonts w:ascii="Times New Roman"/>
                <w:sz w:val="13"/>
              </w:rPr>
            </w:r>
          </w:p>
        </w:tc>
      </w:tr>
      <w:tr>
        <w:trPr>
          <w:trHeight w:val="378"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91" w:right="0"/>
              <w:jc w:val="left"/>
              <w:rPr>
                <w:rFonts w:ascii="宋体" w:hAnsi="宋体" w:cs="宋体" w:eastAsia="宋体" w:hint="default"/>
                <w:sz w:val="13"/>
                <w:szCs w:val="13"/>
              </w:rPr>
            </w:pPr>
            <w:r>
              <w:rPr>
                <w:rFonts w:ascii="宋体" w:hAnsi="宋体" w:cs="宋体" w:eastAsia="宋体" w:hint="default"/>
                <w:sz w:val="13"/>
                <w:szCs w:val="13"/>
              </w:rPr>
              <w:t>北京东软慧聚信息技术有限公司</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3" w:right="0"/>
              <w:jc w:val="left"/>
              <w:rPr>
                <w:rFonts w:ascii="宋体" w:hAnsi="宋体" w:cs="宋体" w:eastAsia="宋体" w:hint="default"/>
                <w:sz w:val="13"/>
                <w:szCs w:val="13"/>
              </w:rPr>
            </w:pPr>
            <w:r>
              <w:rPr>
                <w:rFonts w:ascii="宋体" w:hAnsi="宋体" w:cs="宋体" w:eastAsia="宋体" w:hint="default"/>
                <w:sz w:val="13"/>
                <w:szCs w:val="13"/>
              </w:rPr>
              <w:t>控股</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6"/>
              <w:jc w:val="right"/>
              <w:rPr>
                <w:rFonts w:ascii="宋体" w:hAnsi="宋体" w:cs="宋体" w:eastAsia="宋体" w:hint="default"/>
                <w:sz w:val="13"/>
                <w:szCs w:val="13"/>
              </w:rPr>
            </w:pPr>
            <w:r>
              <w:rPr>
                <w:rFonts w:ascii="宋体" w:hAnsi="宋体" w:cs="宋体" w:eastAsia="宋体" w:hint="default"/>
                <w:w w:val="95"/>
                <w:sz w:val="13"/>
                <w:szCs w:val="13"/>
              </w:rPr>
              <w:t>北京</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35" w:right="0"/>
              <w:jc w:val="left"/>
              <w:rPr>
                <w:rFonts w:ascii="宋体" w:hAnsi="宋体" w:cs="宋体" w:eastAsia="宋体" w:hint="default"/>
                <w:sz w:val="13"/>
                <w:szCs w:val="13"/>
              </w:rPr>
            </w:pPr>
            <w:r>
              <w:rPr>
                <w:rFonts w:ascii="宋体" w:hAnsi="宋体" w:cs="宋体" w:eastAsia="宋体" w:hint="default"/>
                <w:sz w:val="13"/>
                <w:szCs w:val="13"/>
              </w:rPr>
              <w:t>荣新节</w:t>
            </w: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9" w:right="0"/>
              <w:jc w:val="left"/>
              <w:rPr>
                <w:rFonts w:ascii="宋体" w:hAnsi="宋体" w:cs="宋体" w:eastAsia="宋体" w:hint="default"/>
                <w:sz w:val="13"/>
                <w:szCs w:val="13"/>
              </w:rPr>
            </w:pPr>
            <w:r>
              <w:rPr>
                <w:rFonts w:ascii="宋体" w:hAnsi="宋体" w:cs="宋体" w:eastAsia="宋体" w:hint="default"/>
                <w:sz w:val="13"/>
                <w:szCs w:val="13"/>
              </w:rPr>
              <w:t>计算机软硬件、技术服务</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0"/>
                <w:szCs w:val="10"/>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2,250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0"/>
                <w:szCs w:val="10"/>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60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0"/>
                <w:szCs w:val="10"/>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60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0"/>
                <w:szCs w:val="10"/>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66217772-9</w:t>
            </w:r>
            <w:r>
              <w:rPr>
                <w:rFonts w:ascii="Times New Roman"/>
                <w:sz w:val="13"/>
              </w:rPr>
            </w:r>
          </w:p>
        </w:tc>
      </w:tr>
      <w:tr>
        <w:trPr>
          <w:trHeight w:val="37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91" w:right="0"/>
              <w:jc w:val="left"/>
              <w:rPr>
                <w:rFonts w:ascii="宋体" w:hAnsi="宋体" w:cs="宋体" w:eastAsia="宋体" w:hint="default"/>
                <w:sz w:val="13"/>
                <w:szCs w:val="13"/>
              </w:rPr>
            </w:pPr>
            <w:r>
              <w:rPr>
                <w:rFonts w:ascii="宋体" w:hAnsi="宋体" w:cs="宋体" w:eastAsia="宋体" w:hint="default"/>
                <w:sz w:val="13"/>
                <w:szCs w:val="13"/>
              </w:rPr>
              <w:t>深圳市东软移动终端设计有限公司</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3" w:right="0"/>
              <w:jc w:val="left"/>
              <w:rPr>
                <w:rFonts w:ascii="宋体" w:hAnsi="宋体" w:cs="宋体" w:eastAsia="宋体" w:hint="default"/>
                <w:sz w:val="13"/>
                <w:szCs w:val="13"/>
              </w:rPr>
            </w:pPr>
            <w:r>
              <w:rPr>
                <w:rFonts w:ascii="宋体" w:hAnsi="宋体" w:cs="宋体" w:eastAsia="宋体" w:hint="default"/>
                <w:sz w:val="13"/>
                <w:szCs w:val="13"/>
              </w:rPr>
              <w:t>控股</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6"/>
              <w:jc w:val="right"/>
              <w:rPr>
                <w:rFonts w:ascii="宋体" w:hAnsi="宋体" w:cs="宋体" w:eastAsia="宋体" w:hint="default"/>
                <w:sz w:val="13"/>
                <w:szCs w:val="13"/>
              </w:rPr>
            </w:pPr>
            <w:r>
              <w:rPr>
                <w:rFonts w:ascii="宋体" w:hAnsi="宋体" w:cs="宋体" w:eastAsia="宋体" w:hint="default"/>
                <w:w w:val="95"/>
                <w:sz w:val="13"/>
                <w:szCs w:val="13"/>
              </w:rPr>
              <w:t>深圳</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5" w:right="0"/>
              <w:jc w:val="left"/>
              <w:rPr>
                <w:rFonts w:ascii="宋体" w:hAnsi="宋体" w:cs="宋体" w:eastAsia="宋体" w:hint="default"/>
                <w:sz w:val="13"/>
                <w:szCs w:val="13"/>
              </w:rPr>
            </w:pPr>
            <w:r>
              <w:rPr>
                <w:rFonts w:ascii="宋体" w:hAnsi="宋体" w:cs="宋体" w:eastAsia="宋体" w:hint="default"/>
                <w:sz w:val="13"/>
                <w:szCs w:val="13"/>
              </w:rPr>
              <w:t>陈锡民</w:t>
            </w: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9" w:right="0"/>
              <w:jc w:val="left"/>
              <w:rPr>
                <w:rFonts w:ascii="宋体" w:hAnsi="宋体" w:cs="宋体" w:eastAsia="宋体" w:hint="default"/>
                <w:sz w:val="13"/>
                <w:szCs w:val="13"/>
              </w:rPr>
            </w:pPr>
            <w:r>
              <w:rPr>
                <w:rFonts w:ascii="宋体" w:hAnsi="宋体" w:cs="宋体" w:eastAsia="宋体" w:hint="default"/>
                <w:sz w:val="13"/>
                <w:szCs w:val="13"/>
              </w:rPr>
              <w:t>电子产品技术开发销售、技术咨询</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500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70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70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68537951-8</w:t>
            </w:r>
            <w:r>
              <w:rPr>
                <w:rFonts w:ascii="Times New Roman"/>
                <w:sz w:val="13"/>
              </w:rPr>
            </w:r>
          </w:p>
        </w:tc>
      </w:tr>
      <w:tr>
        <w:trPr>
          <w:trHeight w:val="37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北京东软越通软件技术有限公司</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03" w:right="0"/>
              <w:jc w:val="left"/>
              <w:rPr>
                <w:rFonts w:ascii="宋体" w:hAnsi="宋体" w:cs="宋体" w:eastAsia="宋体" w:hint="default"/>
                <w:sz w:val="13"/>
                <w:szCs w:val="13"/>
              </w:rPr>
            </w:pPr>
            <w:r>
              <w:rPr>
                <w:rFonts w:ascii="宋体" w:hAnsi="宋体" w:cs="宋体" w:eastAsia="宋体" w:hint="default"/>
                <w:sz w:val="13"/>
                <w:szCs w:val="13"/>
              </w:rPr>
              <w:t>控股</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
              <w:jc w:val="right"/>
              <w:rPr>
                <w:rFonts w:ascii="宋体" w:hAnsi="宋体" w:cs="宋体" w:eastAsia="宋体" w:hint="default"/>
                <w:sz w:val="13"/>
                <w:szCs w:val="13"/>
              </w:rPr>
            </w:pPr>
            <w:r>
              <w:rPr>
                <w:rFonts w:ascii="宋体" w:hAnsi="宋体" w:cs="宋体" w:eastAsia="宋体" w:hint="default"/>
                <w:w w:val="95"/>
                <w:sz w:val="13"/>
                <w:szCs w:val="13"/>
              </w:rPr>
              <w:t>北京</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王立民</w:t>
            </w: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9" w:right="0"/>
              <w:jc w:val="left"/>
              <w:rPr>
                <w:rFonts w:ascii="宋体" w:hAnsi="宋体" w:cs="宋体" w:eastAsia="宋体" w:hint="default"/>
                <w:sz w:val="13"/>
                <w:szCs w:val="13"/>
              </w:rPr>
            </w:pPr>
            <w:r>
              <w:rPr>
                <w:rFonts w:ascii="宋体" w:hAnsi="宋体" w:cs="宋体" w:eastAsia="宋体" w:hint="default"/>
                <w:sz w:val="13"/>
                <w:szCs w:val="13"/>
              </w:rPr>
              <w:t>经营计算机软、硬件以及服务</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1,000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70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70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69230700-2</w:t>
            </w:r>
            <w:r>
              <w:rPr>
                <w:rFonts w:ascii="Times New Roman"/>
                <w:sz w:val="13"/>
              </w:rPr>
            </w:r>
          </w:p>
        </w:tc>
      </w:tr>
      <w:tr>
        <w:trPr>
          <w:trHeight w:val="357" w:hRule="exact"/>
        </w:trPr>
        <w:tc>
          <w:tcPr>
            <w:tcW w:w="2383" w:type="dxa"/>
            <w:tcBorders>
              <w:top w:val="nil" w:sz="6" w:space="0" w:color="auto"/>
              <w:left w:val="nil" w:sz="6" w:space="0" w:color="auto"/>
              <w:bottom w:val="nil" w:sz="6" w:space="0" w:color="auto"/>
              <w:right w:val="nil" w:sz="6" w:space="0" w:color="auto"/>
            </w:tcBorders>
          </w:tcPr>
          <w:p>
            <w:pPr/>
          </w:p>
        </w:tc>
        <w:tc>
          <w:tcPr>
            <w:tcW w:w="799"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nil" w:sz="6" w:space="0" w:color="auto"/>
            </w:tcBorders>
          </w:tcPr>
          <w:p>
            <w:pPr/>
          </w:p>
        </w:tc>
        <w:tc>
          <w:tcPr>
            <w:tcW w:w="533" w:type="dxa"/>
            <w:tcBorders>
              <w:top w:val="nil" w:sz="6" w:space="0" w:color="auto"/>
              <w:left w:val="nil" w:sz="6" w:space="0" w:color="auto"/>
              <w:bottom w:val="nil" w:sz="6" w:space="0" w:color="auto"/>
              <w:right w:val="nil" w:sz="6" w:space="0" w:color="auto"/>
            </w:tcBorders>
          </w:tcPr>
          <w:p>
            <w:pP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9" w:right="0"/>
              <w:jc w:val="left"/>
              <w:rPr>
                <w:rFonts w:ascii="宋体" w:hAnsi="宋体" w:cs="宋体" w:eastAsia="宋体" w:hint="default"/>
                <w:sz w:val="13"/>
                <w:szCs w:val="13"/>
              </w:rPr>
            </w:pPr>
            <w:r>
              <w:rPr>
                <w:rFonts w:ascii="宋体" w:hAnsi="宋体" w:cs="宋体" w:eastAsia="宋体" w:hint="default"/>
                <w:w w:val="99"/>
                <w:sz w:val="13"/>
                <w:szCs w:val="13"/>
              </w:rPr>
              <w:t>计算机</w:t>
            </w:r>
            <w:r>
              <w:rPr>
                <w:rFonts w:ascii="宋体" w:hAnsi="宋体" w:cs="宋体" w:eastAsia="宋体" w:hint="default"/>
                <w:spacing w:val="1"/>
                <w:w w:val="99"/>
                <w:sz w:val="13"/>
                <w:szCs w:val="13"/>
              </w:rPr>
              <w:t>软</w:t>
            </w:r>
            <w:r>
              <w:rPr>
                <w:rFonts w:ascii="宋体" w:hAnsi="宋体" w:cs="宋体" w:eastAsia="宋体" w:hint="default"/>
                <w:w w:val="99"/>
                <w:sz w:val="13"/>
                <w:szCs w:val="13"/>
              </w:rPr>
              <w:t>件开</w:t>
            </w:r>
            <w:r>
              <w:rPr>
                <w:rFonts w:ascii="宋体" w:hAnsi="宋体" w:cs="宋体" w:eastAsia="宋体" w:hint="default"/>
                <w:spacing w:val="1"/>
                <w:w w:val="99"/>
                <w:sz w:val="13"/>
                <w:szCs w:val="13"/>
              </w:rPr>
              <w:t>发</w:t>
            </w:r>
            <w:r>
              <w:rPr>
                <w:rFonts w:ascii="宋体" w:hAnsi="宋体" w:cs="宋体" w:eastAsia="宋体" w:hint="default"/>
                <w:w w:val="99"/>
                <w:sz w:val="13"/>
                <w:szCs w:val="13"/>
              </w:rPr>
              <w:t>及</w:t>
            </w:r>
            <w:r>
              <w:rPr>
                <w:rFonts w:ascii="宋体" w:hAnsi="宋体" w:cs="宋体" w:eastAsia="宋体" w:hint="default"/>
                <w:spacing w:val="1"/>
                <w:w w:val="99"/>
                <w:sz w:val="13"/>
                <w:szCs w:val="13"/>
              </w:rPr>
              <w:t>技</w:t>
            </w:r>
            <w:r>
              <w:rPr>
                <w:rFonts w:ascii="宋体" w:hAnsi="宋体" w:cs="宋体" w:eastAsia="宋体" w:hint="default"/>
                <w:w w:val="99"/>
                <w:sz w:val="13"/>
                <w:szCs w:val="13"/>
              </w:rPr>
              <w:t>术咨询</w:t>
            </w:r>
            <w:r>
              <w:rPr>
                <w:rFonts w:ascii="宋体" w:hAnsi="宋体" w:cs="宋体" w:eastAsia="宋体" w:hint="default"/>
                <w:spacing w:val="1"/>
                <w:w w:val="99"/>
                <w:sz w:val="13"/>
                <w:szCs w:val="13"/>
              </w:rPr>
              <w:t>服</w:t>
            </w:r>
            <w:r>
              <w:rPr>
                <w:rFonts w:ascii="宋体" w:hAnsi="宋体" w:cs="宋体" w:eastAsia="宋体" w:hint="default"/>
                <w:w w:val="99"/>
                <w:sz w:val="13"/>
                <w:szCs w:val="13"/>
              </w:rPr>
              <w:t>务</w:t>
            </w:r>
            <w:r>
              <w:rPr>
                <w:rFonts w:ascii="宋体" w:hAnsi="宋体" w:cs="宋体" w:eastAsia="宋体" w:hint="default"/>
                <w:spacing w:val="-64"/>
                <w:w w:val="99"/>
                <w:sz w:val="13"/>
                <w:szCs w:val="13"/>
              </w:rPr>
              <w:t>；</w:t>
            </w:r>
            <w:r>
              <w:rPr>
                <w:rFonts w:ascii="宋体" w:hAnsi="宋体" w:cs="宋体" w:eastAsia="宋体" w:hint="default"/>
                <w:w w:val="99"/>
                <w:sz w:val="13"/>
                <w:szCs w:val="13"/>
              </w:rPr>
              <w:t>房</w:t>
            </w:r>
            <w:r>
              <w:rPr>
                <w:rFonts w:ascii="宋体" w:hAnsi="宋体" w:cs="宋体" w:eastAsia="宋体" w:hint="default"/>
                <w:spacing w:val="1"/>
                <w:w w:val="99"/>
                <w:sz w:val="13"/>
                <w:szCs w:val="13"/>
              </w:rPr>
              <w:t>屋</w:t>
            </w:r>
            <w:r>
              <w:rPr>
                <w:rFonts w:ascii="宋体" w:hAnsi="宋体" w:cs="宋体" w:eastAsia="宋体" w:hint="default"/>
                <w:w w:val="99"/>
                <w:sz w:val="13"/>
                <w:szCs w:val="13"/>
              </w:rPr>
              <w:t>租</w:t>
            </w:r>
            <w:r>
              <w:rPr>
                <w:rFonts w:ascii="宋体" w:hAnsi="宋体" w:cs="宋体" w:eastAsia="宋体" w:hint="default"/>
                <w:sz w:val="13"/>
                <w:szCs w:val="13"/>
              </w:rPr>
            </w:r>
          </w:p>
        </w:tc>
        <w:tc>
          <w:tcPr>
            <w:tcW w:w="1141"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
        </w:tc>
        <w:tc>
          <w:tcPr>
            <w:tcW w:w="1009" w:type="dxa"/>
            <w:tcBorders>
              <w:top w:val="nil" w:sz="6" w:space="0" w:color="auto"/>
              <w:left w:val="nil" w:sz="6" w:space="0" w:color="auto"/>
              <w:bottom w:val="nil" w:sz="6" w:space="0" w:color="auto"/>
              <w:right w:val="nil" w:sz="6" w:space="0" w:color="auto"/>
            </w:tcBorders>
          </w:tcPr>
          <w:p>
            <w:pPr/>
          </w:p>
        </w:tc>
        <w:tc>
          <w:tcPr>
            <w:tcW w:w="1001" w:type="dxa"/>
            <w:tcBorders>
              <w:top w:val="nil" w:sz="6" w:space="0" w:color="auto"/>
              <w:left w:val="nil" w:sz="6" w:space="0" w:color="auto"/>
              <w:bottom w:val="nil" w:sz="6" w:space="0" w:color="auto"/>
              <w:right w:val="nil" w:sz="6" w:space="0" w:color="auto"/>
            </w:tcBorders>
          </w:tcPr>
          <w:p>
            <w:pPr/>
          </w:p>
        </w:tc>
      </w:tr>
      <w:tr>
        <w:trPr>
          <w:trHeight w:val="368"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91" w:right="0"/>
              <w:jc w:val="left"/>
              <w:rPr>
                <w:rFonts w:ascii="宋体" w:hAnsi="宋体" w:cs="宋体" w:eastAsia="宋体" w:hint="default"/>
                <w:sz w:val="13"/>
                <w:szCs w:val="13"/>
              </w:rPr>
            </w:pPr>
            <w:r>
              <w:rPr>
                <w:rFonts w:ascii="宋体" w:hAnsi="宋体" w:cs="宋体" w:eastAsia="宋体" w:hint="default"/>
                <w:sz w:val="13"/>
                <w:szCs w:val="13"/>
              </w:rPr>
              <w:t>大连东软软件园产业发展有限公司</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03" w:right="0"/>
              <w:jc w:val="left"/>
              <w:rPr>
                <w:rFonts w:ascii="宋体" w:hAnsi="宋体" w:cs="宋体" w:eastAsia="宋体" w:hint="default"/>
                <w:sz w:val="13"/>
                <w:szCs w:val="13"/>
              </w:rPr>
            </w:pPr>
            <w:r>
              <w:rPr>
                <w:rFonts w:ascii="宋体" w:hAnsi="宋体" w:cs="宋体" w:eastAsia="宋体" w:hint="default"/>
                <w:sz w:val="13"/>
                <w:szCs w:val="13"/>
              </w:rPr>
              <w:t>控股</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6"/>
              <w:jc w:val="right"/>
              <w:rPr>
                <w:rFonts w:ascii="宋体" w:hAnsi="宋体" w:cs="宋体" w:eastAsia="宋体" w:hint="default"/>
                <w:sz w:val="13"/>
                <w:szCs w:val="13"/>
              </w:rPr>
            </w:pPr>
            <w:r>
              <w:rPr>
                <w:rFonts w:ascii="宋体" w:hAnsi="宋体" w:cs="宋体" w:eastAsia="宋体" w:hint="default"/>
                <w:w w:val="95"/>
                <w:sz w:val="13"/>
                <w:szCs w:val="13"/>
              </w:rPr>
              <w:t>大连</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5" w:right="0"/>
              <w:jc w:val="left"/>
              <w:rPr>
                <w:rFonts w:ascii="宋体" w:hAnsi="宋体" w:cs="宋体" w:eastAsia="宋体" w:hint="default"/>
                <w:sz w:val="13"/>
                <w:szCs w:val="13"/>
              </w:rPr>
            </w:pPr>
            <w:r>
              <w:rPr>
                <w:rFonts w:ascii="宋体" w:hAnsi="宋体" w:cs="宋体" w:eastAsia="宋体" w:hint="default"/>
                <w:sz w:val="13"/>
                <w:szCs w:val="13"/>
              </w:rPr>
              <w:t>刘积仁</w:t>
            </w: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19" w:right="0"/>
              <w:jc w:val="left"/>
              <w:rPr>
                <w:rFonts w:ascii="宋体" w:hAnsi="宋体" w:cs="宋体" w:eastAsia="宋体" w:hint="default"/>
                <w:sz w:val="13"/>
                <w:szCs w:val="13"/>
              </w:rPr>
            </w:pPr>
            <w:r>
              <w:rPr>
                <w:rFonts w:ascii="宋体" w:hAnsi="宋体" w:cs="宋体" w:eastAsia="宋体" w:hint="default"/>
                <w:spacing w:val="-4"/>
                <w:sz w:val="13"/>
                <w:szCs w:val="13"/>
              </w:rPr>
              <w:t>赁；物业管理；国内一般贸易、货物及技</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35,900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60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60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74090764-4</w:t>
            </w:r>
            <w:r>
              <w:rPr>
                <w:rFonts w:ascii="Times New Roman"/>
                <w:sz w:val="13"/>
              </w:rPr>
            </w:r>
          </w:p>
        </w:tc>
      </w:tr>
      <w:tr>
        <w:trPr>
          <w:trHeight w:val="358" w:hRule="exact"/>
        </w:trPr>
        <w:tc>
          <w:tcPr>
            <w:tcW w:w="2383" w:type="dxa"/>
            <w:tcBorders>
              <w:top w:val="nil" w:sz="6" w:space="0" w:color="auto"/>
              <w:left w:val="nil" w:sz="6" w:space="0" w:color="auto"/>
              <w:bottom w:val="nil" w:sz="6" w:space="0" w:color="auto"/>
              <w:right w:val="nil" w:sz="6" w:space="0" w:color="auto"/>
            </w:tcBorders>
          </w:tcPr>
          <w:p>
            <w:pPr/>
          </w:p>
        </w:tc>
        <w:tc>
          <w:tcPr>
            <w:tcW w:w="799"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nil" w:sz="6" w:space="0" w:color="auto"/>
            </w:tcBorders>
          </w:tcPr>
          <w:p>
            <w:pPr/>
          </w:p>
        </w:tc>
        <w:tc>
          <w:tcPr>
            <w:tcW w:w="533" w:type="dxa"/>
            <w:tcBorders>
              <w:top w:val="nil" w:sz="6" w:space="0" w:color="auto"/>
              <w:left w:val="nil" w:sz="6" w:space="0" w:color="auto"/>
              <w:bottom w:val="nil" w:sz="6" w:space="0" w:color="auto"/>
              <w:right w:val="nil" w:sz="6" w:space="0" w:color="auto"/>
            </w:tcBorders>
          </w:tcPr>
          <w:p>
            <w:pP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19" w:right="0"/>
              <w:jc w:val="left"/>
              <w:rPr>
                <w:rFonts w:ascii="宋体" w:hAnsi="宋体" w:cs="宋体" w:eastAsia="宋体" w:hint="default"/>
                <w:sz w:val="13"/>
                <w:szCs w:val="13"/>
              </w:rPr>
            </w:pPr>
            <w:r>
              <w:rPr>
                <w:rFonts w:ascii="宋体" w:hAnsi="宋体" w:cs="宋体" w:eastAsia="宋体" w:hint="default"/>
                <w:sz w:val="13"/>
                <w:szCs w:val="13"/>
              </w:rPr>
              <w:t>术进出口</w:t>
            </w:r>
          </w:p>
        </w:tc>
        <w:tc>
          <w:tcPr>
            <w:tcW w:w="1141"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
        </w:tc>
        <w:tc>
          <w:tcPr>
            <w:tcW w:w="1009" w:type="dxa"/>
            <w:tcBorders>
              <w:top w:val="nil" w:sz="6" w:space="0" w:color="auto"/>
              <w:left w:val="nil" w:sz="6" w:space="0" w:color="auto"/>
              <w:bottom w:val="nil" w:sz="6" w:space="0" w:color="auto"/>
              <w:right w:val="nil" w:sz="6" w:space="0" w:color="auto"/>
            </w:tcBorders>
          </w:tcPr>
          <w:p>
            <w:pPr/>
          </w:p>
        </w:tc>
        <w:tc>
          <w:tcPr>
            <w:tcW w:w="1001" w:type="dxa"/>
            <w:tcBorders>
              <w:top w:val="nil" w:sz="6" w:space="0" w:color="auto"/>
              <w:left w:val="nil" w:sz="6" w:space="0" w:color="auto"/>
              <w:bottom w:val="nil" w:sz="6" w:space="0" w:color="auto"/>
              <w:right w:val="nil" w:sz="6" w:space="0" w:color="auto"/>
            </w:tcBorders>
          </w:tcPr>
          <w:p>
            <w:pPr/>
          </w:p>
        </w:tc>
      </w:tr>
      <w:tr>
        <w:trPr>
          <w:trHeight w:val="365" w:hRule="exact"/>
        </w:trPr>
        <w:tc>
          <w:tcPr>
            <w:tcW w:w="2383" w:type="dxa"/>
            <w:tcBorders>
              <w:top w:val="nil" w:sz="6" w:space="0" w:color="auto"/>
              <w:left w:val="nil" w:sz="6" w:space="0" w:color="auto"/>
              <w:bottom w:val="nil" w:sz="6" w:space="0" w:color="auto"/>
              <w:right w:val="nil" w:sz="6" w:space="0" w:color="auto"/>
            </w:tcBorders>
          </w:tcPr>
          <w:p>
            <w:pPr/>
          </w:p>
        </w:tc>
        <w:tc>
          <w:tcPr>
            <w:tcW w:w="799"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nil" w:sz="6" w:space="0" w:color="auto"/>
            </w:tcBorders>
          </w:tcPr>
          <w:p>
            <w:pPr/>
          </w:p>
        </w:tc>
        <w:tc>
          <w:tcPr>
            <w:tcW w:w="533" w:type="dxa"/>
            <w:tcBorders>
              <w:top w:val="nil" w:sz="6" w:space="0" w:color="auto"/>
              <w:left w:val="nil" w:sz="6" w:space="0" w:color="auto"/>
              <w:bottom w:val="nil" w:sz="6" w:space="0" w:color="auto"/>
              <w:right w:val="nil" w:sz="6" w:space="0" w:color="auto"/>
            </w:tcBorders>
          </w:tcPr>
          <w:p>
            <w:pP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20" w:right="0"/>
              <w:jc w:val="left"/>
              <w:rPr>
                <w:rFonts w:ascii="宋体" w:hAnsi="宋体" w:cs="宋体" w:eastAsia="宋体" w:hint="default"/>
                <w:sz w:val="13"/>
                <w:szCs w:val="13"/>
              </w:rPr>
            </w:pPr>
            <w:r>
              <w:rPr>
                <w:rFonts w:ascii="宋体" w:hAnsi="宋体" w:cs="宋体" w:eastAsia="宋体" w:hint="default"/>
                <w:w w:val="99"/>
                <w:sz w:val="13"/>
                <w:szCs w:val="13"/>
              </w:rPr>
              <w:t>对南海</w:t>
            </w:r>
            <w:r>
              <w:rPr>
                <w:rFonts w:ascii="宋体" w:hAnsi="宋体" w:cs="宋体" w:eastAsia="宋体" w:hint="default"/>
                <w:spacing w:val="1"/>
                <w:w w:val="99"/>
                <w:sz w:val="13"/>
                <w:szCs w:val="13"/>
              </w:rPr>
              <w:t>东</w:t>
            </w:r>
            <w:r>
              <w:rPr>
                <w:rFonts w:ascii="宋体" w:hAnsi="宋体" w:cs="宋体" w:eastAsia="宋体" w:hint="default"/>
                <w:w w:val="99"/>
                <w:sz w:val="13"/>
                <w:szCs w:val="13"/>
              </w:rPr>
              <w:t>软信</w:t>
            </w:r>
            <w:r>
              <w:rPr>
                <w:rFonts w:ascii="宋体" w:hAnsi="宋体" w:cs="宋体" w:eastAsia="宋体" w:hint="default"/>
                <w:spacing w:val="1"/>
                <w:w w:val="99"/>
                <w:sz w:val="13"/>
                <w:szCs w:val="13"/>
              </w:rPr>
              <w:t>息</w:t>
            </w:r>
            <w:r>
              <w:rPr>
                <w:rFonts w:ascii="宋体" w:hAnsi="宋体" w:cs="宋体" w:eastAsia="宋体" w:hint="default"/>
                <w:w w:val="99"/>
                <w:sz w:val="13"/>
                <w:szCs w:val="13"/>
              </w:rPr>
              <w:t>技</w:t>
            </w:r>
            <w:r>
              <w:rPr>
                <w:rFonts w:ascii="宋体" w:hAnsi="宋体" w:cs="宋体" w:eastAsia="宋体" w:hint="default"/>
                <w:spacing w:val="1"/>
                <w:w w:val="99"/>
                <w:sz w:val="13"/>
                <w:szCs w:val="13"/>
              </w:rPr>
              <w:t>术</w:t>
            </w:r>
            <w:r>
              <w:rPr>
                <w:rFonts w:ascii="宋体" w:hAnsi="宋体" w:cs="宋体" w:eastAsia="宋体" w:hint="default"/>
                <w:w w:val="99"/>
                <w:sz w:val="13"/>
                <w:szCs w:val="13"/>
              </w:rPr>
              <w:t>学院的</w:t>
            </w:r>
            <w:r>
              <w:rPr>
                <w:rFonts w:ascii="宋体" w:hAnsi="宋体" w:cs="宋体" w:eastAsia="宋体" w:hint="default"/>
                <w:spacing w:val="1"/>
                <w:w w:val="99"/>
                <w:sz w:val="13"/>
                <w:szCs w:val="13"/>
              </w:rPr>
              <w:t>投</w:t>
            </w:r>
            <w:r>
              <w:rPr>
                <w:rFonts w:ascii="宋体" w:hAnsi="宋体" w:cs="宋体" w:eastAsia="宋体" w:hint="default"/>
                <w:w w:val="99"/>
                <w:sz w:val="13"/>
                <w:szCs w:val="13"/>
              </w:rPr>
              <w:t>资</w:t>
            </w:r>
            <w:r>
              <w:rPr>
                <w:rFonts w:ascii="宋体" w:hAnsi="宋体" w:cs="宋体" w:eastAsia="宋体" w:hint="default"/>
                <w:spacing w:val="-64"/>
                <w:w w:val="99"/>
                <w:sz w:val="13"/>
                <w:szCs w:val="13"/>
              </w:rPr>
              <w:t>、</w:t>
            </w:r>
            <w:r>
              <w:rPr>
                <w:rFonts w:ascii="宋体" w:hAnsi="宋体" w:cs="宋体" w:eastAsia="宋体" w:hint="default"/>
                <w:w w:val="99"/>
                <w:sz w:val="13"/>
                <w:szCs w:val="13"/>
              </w:rPr>
              <w:t>建</w:t>
            </w:r>
            <w:r>
              <w:rPr>
                <w:rFonts w:ascii="宋体" w:hAnsi="宋体" w:cs="宋体" w:eastAsia="宋体" w:hint="default"/>
                <w:spacing w:val="1"/>
                <w:w w:val="99"/>
                <w:sz w:val="13"/>
                <w:szCs w:val="13"/>
              </w:rPr>
              <w:t>设</w:t>
            </w:r>
            <w:r>
              <w:rPr>
                <w:rFonts w:ascii="宋体" w:hAnsi="宋体" w:cs="宋体" w:eastAsia="宋体" w:hint="default"/>
                <w:w w:val="99"/>
                <w:sz w:val="13"/>
                <w:szCs w:val="13"/>
              </w:rPr>
              <w:t>与</w:t>
            </w:r>
            <w:r>
              <w:rPr>
                <w:rFonts w:ascii="宋体" w:hAnsi="宋体" w:cs="宋体" w:eastAsia="宋体" w:hint="default"/>
                <w:sz w:val="13"/>
                <w:szCs w:val="13"/>
              </w:rPr>
            </w:r>
          </w:p>
        </w:tc>
        <w:tc>
          <w:tcPr>
            <w:tcW w:w="1141"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
        </w:tc>
        <w:tc>
          <w:tcPr>
            <w:tcW w:w="1009" w:type="dxa"/>
            <w:tcBorders>
              <w:top w:val="nil" w:sz="6" w:space="0" w:color="auto"/>
              <w:left w:val="nil" w:sz="6" w:space="0" w:color="auto"/>
              <w:bottom w:val="nil" w:sz="6" w:space="0" w:color="auto"/>
              <w:right w:val="nil" w:sz="6" w:space="0" w:color="auto"/>
            </w:tcBorders>
          </w:tcPr>
          <w:p>
            <w:pPr/>
          </w:p>
        </w:tc>
        <w:tc>
          <w:tcPr>
            <w:tcW w:w="1001" w:type="dxa"/>
            <w:tcBorders>
              <w:top w:val="nil" w:sz="6" w:space="0" w:color="auto"/>
              <w:left w:val="nil" w:sz="6" w:space="0" w:color="auto"/>
              <w:bottom w:val="nil" w:sz="6" w:space="0" w:color="auto"/>
              <w:right w:val="nil" w:sz="6" w:space="0" w:color="auto"/>
            </w:tcBorders>
          </w:tcPr>
          <w:p>
            <w:pPr/>
          </w:p>
        </w:tc>
      </w:tr>
      <w:tr>
        <w:trPr>
          <w:trHeight w:val="368"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91" w:right="0"/>
              <w:jc w:val="left"/>
              <w:rPr>
                <w:rFonts w:ascii="宋体" w:hAnsi="宋体" w:cs="宋体" w:eastAsia="宋体" w:hint="default"/>
                <w:sz w:val="13"/>
                <w:szCs w:val="13"/>
              </w:rPr>
            </w:pPr>
            <w:r>
              <w:rPr>
                <w:rFonts w:ascii="宋体" w:hAnsi="宋体" w:cs="宋体" w:eastAsia="宋体" w:hint="default"/>
                <w:sz w:val="13"/>
                <w:szCs w:val="13"/>
              </w:rPr>
              <w:t>佛山市南海东软信息技术发展有限公司</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03" w:right="0"/>
              <w:jc w:val="left"/>
              <w:rPr>
                <w:rFonts w:ascii="宋体" w:hAnsi="宋体" w:cs="宋体" w:eastAsia="宋体" w:hint="default"/>
                <w:sz w:val="13"/>
                <w:szCs w:val="13"/>
              </w:rPr>
            </w:pPr>
            <w:r>
              <w:rPr>
                <w:rFonts w:ascii="宋体" w:hAnsi="宋体" w:cs="宋体" w:eastAsia="宋体" w:hint="default"/>
                <w:sz w:val="13"/>
                <w:szCs w:val="13"/>
              </w:rPr>
              <w:t>控股</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6"/>
              <w:jc w:val="right"/>
              <w:rPr>
                <w:rFonts w:ascii="宋体" w:hAnsi="宋体" w:cs="宋体" w:eastAsia="宋体" w:hint="default"/>
                <w:sz w:val="13"/>
                <w:szCs w:val="13"/>
              </w:rPr>
            </w:pPr>
            <w:r>
              <w:rPr>
                <w:rFonts w:ascii="宋体" w:hAnsi="宋体" w:cs="宋体" w:eastAsia="宋体" w:hint="default"/>
                <w:w w:val="95"/>
                <w:sz w:val="13"/>
                <w:szCs w:val="13"/>
              </w:rPr>
              <w:t>佛山</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35" w:right="0"/>
              <w:jc w:val="left"/>
              <w:rPr>
                <w:rFonts w:ascii="宋体" w:hAnsi="宋体" w:cs="宋体" w:eastAsia="宋体" w:hint="default"/>
                <w:sz w:val="13"/>
                <w:szCs w:val="13"/>
              </w:rPr>
            </w:pPr>
            <w:r>
              <w:rPr>
                <w:rFonts w:ascii="宋体" w:hAnsi="宋体" w:cs="宋体" w:eastAsia="宋体" w:hint="default"/>
                <w:sz w:val="13"/>
                <w:szCs w:val="13"/>
              </w:rPr>
              <w:t>刘积仁</w:t>
            </w: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20" w:right="0"/>
              <w:jc w:val="left"/>
              <w:rPr>
                <w:rFonts w:ascii="宋体" w:hAnsi="宋体" w:cs="宋体" w:eastAsia="宋体" w:hint="default"/>
                <w:sz w:val="13"/>
                <w:szCs w:val="13"/>
              </w:rPr>
            </w:pPr>
            <w:r>
              <w:rPr>
                <w:rFonts w:ascii="宋体" w:hAnsi="宋体" w:cs="宋体" w:eastAsia="宋体" w:hint="default"/>
                <w:spacing w:val="-4"/>
                <w:sz w:val="13"/>
                <w:szCs w:val="13"/>
              </w:rPr>
              <w:t>管理，信息技术、管理人才教育培训及咨</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6,000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99</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99</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73500424-8</w:t>
            </w:r>
            <w:r>
              <w:rPr>
                <w:rFonts w:ascii="Times New Roman"/>
                <w:sz w:val="13"/>
              </w:rPr>
            </w:r>
          </w:p>
        </w:tc>
      </w:tr>
      <w:tr>
        <w:trPr>
          <w:trHeight w:val="357" w:hRule="exact"/>
        </w:trPr>
        <w:tc>
          <w:tcPr>
            <w:tcW w:w="2383" w:type="dxa"/>
            <w:tcBorders>
              <w:top w:val="nil" w:sz="6" w:space="0" w:color="auto"/>
              <w:left w:val="nil" w:sz="6" w:space="0" w:color="auto"/>
              <w:bottom w:val="nil" w:sz="6" w:space="0" w:color="auto"/>
              <w:right w:val="nil" w:sz="6" w:space="0" w:color="auto"/>
            </w:tcBorders>
          </w:tcPr>
          <w:p>
            <w:pPr/>
          </w:p>
        </w:tc>
        <w:tc>
          <w:tcPr>
            <w:tcW w:w="799"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nil" w:sz="6" w:space="0" w:color="auto"/>
            </w:tcBorders>
          </w:tcPr>
          <w:p>
            <w:pPr/>
          </w:p>
        </w:tc>
        <w:tc>
          <w:tcPr>
            <w:tcW w:w="533" w:type="dxa"/>
            <w:tcBorders>
              <w:top w:val="nil" w:sz="6" w:space="0" w:color="auto"/>
              <w:left w:val="nil" w:sz="6" w:space="0" w:color="auto"/>
              <w:bottom w:val="nil" w:sz="6" w:space="0" w:color="auto"/>
              <w:right w:val="nil" w:sz="6" w:space="0" w:color="auto"/>
            </w:tcBorders>
          </w:tcPr>
          <w:p>
            <w:pP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20" w:right="0"/>
              <w:jc w:val="left"/>
              <w:rPr>
                <w:rFonts w:ascii="宋体" w:hAnsi="宋体" w:cs="宋体" w:eastAsia="宋体" w:hint="default"/>
                <w:sz w:val="13"/>
                <w:szCs w:val="13"/>
              </w:rPr>
            </w:pPr>
            <w:r>
              <w:rPr>
                <w:rFonts w:ascii="宋体" w:hAnsi="宋体" w:cs="宋体" w:eastAsia="宋体" w:hint="default"/>
                <w:sz w:val="13"/>
                <w:szCs w:val="13"/>
              </w:rPr>
              <w:t>询服务</w:t>
            </w:r>
          </w:p>
        </w:tc>
        <w:tc>
          <w:tcPr>
            <w:tcW w:w="1141"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
        </w:tc>
        <w:tc>
          <w:tcPr>
            <w:tcW w:w="1009" w:type="dxa"/>
            <w:tcBorders>
              <w:top w:val="nil" w:sz="6" w:space="0" w:color="auto"/>
              <w:left w:val="nil" w:sz="6" w:space="0" w:color="auto"/>
              <w:bottom w:val="nil" w:sz="6" w:space="0" w:color="auto"/>
              <w:right w:val="nil" w:sz="6" w:space="0" w:color="auto"/>
            </w:tcBorders>
          </w:tcPr>
          <w:p>
            <w:pPr/>
          </w:p>
        </w:tc>
        <w:tc>
          <w:tcPr>
            <w:tcW w:w="1001" w:type="dxa"/>
            <w:tcBorders>
              <w:top w:val="nil" w:sz="6" w:space="0" w:color="auto"/>
              <w:left w:val="nil" w:sz="6" w:space="0" w:color="auto"/>
              <w:bottom w:val="nil" w:sz="6" w:space="0" w:color="auto"/>
              <w:right w:val="nil" w:sz="6" w:space="0" w:color="auto"/>
            </w:tcBorders>
          </w:tcPr>
          <w:p>
            <w:pPr/>
          </w:p>
        </w:tc>
      </w:tr>
      <w:tr>
        <w:trPr>
          <w:trHeight w:val="365" w:hRule="exact"/>
        </w:trPr>
        <w:tc>
          <w:tcPr>
            <w:tcW w:w="2383" w:type="dxa"/>
            <w:tcBorders>
              <w:top w:val="nil" w:sz="6" w:space="0" w:color="auto"/>
              <w:left w:val="nil" w:sz="6" w:space="0" w:color="auto"/>
              <w:bottom w:val="nil" w:sz="6" w:space="0" w:color="auto"/>
              <w:right w:val="nil" w:sz="6" w:space="0" w:color="auto"/>
            </w:tcBorders>
          </w:tcPr>
          <w:p>
            <w:pPr/>
          </w:p>
        </w:tc>
        <w:tc>
          <w:tcPr>
            <w:tcW w:w="799"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nil" w:sz="6" w:space="0" w:color="auto"/>
            </w:tcBorders>
          </w:tcPr>
          <w:p>
            <w:pPr/>
          </w:p>
        </w:tc>
        <w:tc>
          <w:tcPr>
            <w:tcW w:w="533" w:type="dxa"/>
            <w:tcBorders>
              <w:top w:val="nil" w:sz="6" w:space="0" w:color="auto"/>
              <w:left w:val="nil" w:sz="6" w:space="0" w:color="auto"/>
              <w:bottom w:val="nil" w:sz="6" w:space="0" w:color="auto"/>
              <w:right w:val="nil" w:sz="6" w:space="0" w:color="auto"/>
            </w:tcBorders>
          </w:tcPr>
          <w:p>
            <w:pP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9" w:right="0"/>
              <w:jc w:val="left"/>
              <w:rPr>
                <w:rFonts w:ascii="宋体" w:hAnsi="宋体" w:cs="宋体" w:eastAsia="宋体" w:hint="default"/>
                <w:sz w:val="13"/>
                <w:szCs w:val="13"/>
              </w:rPr>
            </w:pPr>
            <w:r>
              <w:rPr>
                <w:rFonts w:ascii="宋体" w:hAnsi="宋体" w:cs="宋体" w:eastAsia="宋体" w:hint="default"/>
                <w:spacing w:val="-4"/>
                <w:sz w:val="13"/>
                <w:szCs w:val="13"/>
              </w:rPr>
              <w:t>计算机软硬件、教育课件开发、租赁、销</w:t>
            </w:r>
          </w:p>
        </w:tc>
        <w:tc>
          <w:tcPr>
            <w:tcW w:w="1141"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
        </w:tc>
        <w:tc>
          <w:tcPr>
            <w:tcW w:w="1009" w:type="dxa"/>
            <w:tcBorders>
              <w:top w:val="nil" w:sz="6" w:space="0" w:color="auto"/>
              <w:left w:val="nil" w:sz="6" w:space="0" w:color="auto"/>
              <w:bottom w:val="nil" w:sz="6" w:space="0" w:color="auto"/>
              <w:right w:val="nil" w:sz="6" w:space="0" w:color="auto"/>
            </w:tcBorders>
          </w:tcPr>
          <w:p>
            <w:pPr/>
          </w:p>
        </w:tc>
        <w:tc>
          <w:tcPr>
            <w:tcW w:w="1001" w:type="dxa"/>
            <w:tcBorders>
              <w:top w:val="nil" w:sz="6" w:space="0" w:color="auto"/>
              <w:left w:val="nil" w:sz="6" w:space="0" w:color="auto"/>
              <w:bottom w:val="nil" w:sz="6" w:space="0" w:color="auto"/>
              <w:right w:val="nil" w:sz="6" w:space="0" w:color="auto"/>
            </w:tcBorders>
          </w:tcPr>
          <w:p>
            <w:pPr/>
          </w:p>
        </w:tc>
      </w:tr>
      <w:tr>
        <w:trPr>
          <w:trHeight w:val="270" w:hRule="exact"/>
        </w:trPr>
        <w:tc>
          <w:tcPr>
            <w:tcW w:w="2383" w:type="dxa"/>
            <w:tcBorders>
              <w:top w:val="nil" w:sz="6" w:space="0" w:color="auto"/>
              <w:left w:val="nil" w:sz="6" w:space="0" w:color="auto"/>
              <w:bottom w:val="nil" w:sz="6" w:space="0" w:color="auto"/>
              <w:right w:val="nil" w:sz="6" w:space="0" w:color="auto"/>
            </w:tcBorders>
          </w:tcPr>
          <w:p>
            <w:pPr/>
          </w:p>
        </w:tc>
        <w:tc>
          <w:tcPr>
            <w:tcW w:w="799"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nil" w:sz="6" w:space="0" w:color="auto"/>
            </w:tcBorders>
          </w:tcPr>
          <w:p>
            <w:pPr/>
          </w:p>
        </w:tc>
        <w:tc>
          <w:tcPr>
            <w:tcW w:w="533" w:type="dxa"/>
            <w:tcBorders>
              <w:top w:val="nil" w:sz="6" w:space="0" w:color="auto"/>
              <w:left w:val="nil" w:sz="6" w:space="0" w:color="auto"/>
              <w:bottom w:val="nil" w:sz="6" w:space="0" w:color="auto"/>
              <w:right w:val="nil" w:sz="6" w:space="0" w:color="auto"/>
            </w:tcBorders>
          </w:tcPr>
          <w:p>
            <w:pP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19" w:right="0"/>
              <w:jc w:val="left"/>
              <w:rPr>
                <w:rFonts w:ascii="宋体" w:hAnsi="宋体" w:cs="宋体" w:eastAsia="宋体" w:hint="default"/>
                <w:sz w:val="13"/>
                <w:szCs w:val="13"/>
              </w:rPr>
            </w:pPr>
            <w:r>
              <w:rPr>
                <w:rFonts w:ascii="宋体" w:hAnsi="宋体" w:cs="宋体" w:eastAsia="宋体" w:hint="default"/>
                <w:spacing w:val="-4"/>
                <w:sz w:val="13"/>
                <w:szCs w:val="13"/>
              </w:rPr>
              <w:t>售；房地产开发、销售；物业管理、场地</w:t>
            </w:r>
          </w:p>
        </w:tc>
        <w:tc>
          <w:tcPr>
            <w:tcW w:w="1141"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
        </w:tc>
        <w:tc>
          <w:tcPr>
            <w:tcW w:w="1009" w:type="dxa"/>
            <w:tcBorders>
              <w:top w:val="nil" w:sz="6" w:space="0" w:color="auto"/>
              <w:left w:val="nil" w:sz="6" w:space="0" w:color="auto"/>
              <w:bottom w:val="nil" w:sz="6" w:space="0" w:color="auto"/>
              <w:right w:val="nil" w:sz="6" w:space="0" w:color="auto"/>
            </w:tcBorders>
          </w:tcPr>
          <w:p>
            <w:pPr/>
          </w:p>
        </w:tc>
        <w:tc>
          <w:tcPr>
            <w:tcW w:w="1001" w:type="dxa"/>
            <w:tcBorders>
              <w:top w:val="nil" w:sz="6" w:space="0" w:color="auto"/>
              <w:left w:val="nil" w:sz="6" w:space="0" w:color="auto"/>
              <w:bottom w:val="nil" w:sz="6" w:space="0" w:color="auto"/>
              <w:right w:val="nil" w:sz="6" w:space="0" w:color="auto"/>
            </w:tcBorders>
          </w:tcPr>
          <w:p>
            <w:pPr/>
          </w:p>
        </w:tc>
      </w:tr>
      <w:tr>
        <w:trPr>
          <w:trHeight w:val="45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155" w:lineRule="exact"/>
              <w:ind w:left="91" w:right="0"/>
              <w:jc w:val="left"/>
              <w:rPr>
                <w:rFonts w:ascii="宋体" w:hAnsi="宋体" w:cs="宋体" w:eastAsia="宋体" w:hint="default"/>
                <w:sz w:val="13"/>
                <w:szCs w:val="13"/>
              </w:rPr>
            </w:pPr>
            <w:r>
              <w:rPr>
                <w:rFonts w:ascii="宋体" w:hAnsi="宋体" w:cs="宋体" w:eastAsia="宋体" w:hint="default"/>
                <w:sz w:val="13"/>
                <w:szCs w:val="13"/>
              </w:rPr>
              <w:t>成都东软信息技术发展有限公司</w:t>
            </w:r>
          </w:p>
        </w:tc>
        <w:tc>
          <w:tcPr>
            <w:tcW w:w="799" w:type="dxa"/>
            <w:tcBorders>
              <w:top w:val="nil" w:sz="6" w:space="0" w:color="auto"/>
              <w:left w:val="nil" w:sz="6" w:space="0" w:color="auto"/>
              <w:bottom w:val="nil" w:sz="6" w:space="0" w:color="auto"/>
              <w:right w:val="nil" w:sz="6" w:space="0" w:color="auto"/>
            </w:tcBorders>
          </w:tcPr>
          <w:p>
            <w:pPr>
              <w:pStyle w:val="TableParagraph"/>
              <w:spacing w:line="155" w:lineRule="exact"/>
              <w:ind w:left="103" w:right="0"/>
              <w:jc w:val="left"/>
              <w:rPr>
                <w:rFonts w:ascii="宋体" w:hAnsi="宋体" w:cs="宋体" w:eastAsia="宋体" w:hint="default"/>
                <w:sz w:val="13"/>
                <w:szCs w:val="13"/>
              </w:rPr>
            </w:pPr>
            <w:r>
              <w:rPr>
                <w:rFonts w:ascii="宋体" w:hAnsi="宋体" w:cs="宋体" w:eastAsia="宋体" w:hint="default"/>
                <w:sz w:val="13"/>
                <w:szCs w:val="13"/>
              </w:rPr>
              <w:t>控股</w:t>
            </w:r>
          </w:p>
        </w:tc>
        <w:tc>
          <w:tcPr>
            <w:tcW w:w="1169" w:type="dxa"/>
            <w:tcBorders>
              <w:top w:val="nil" w:sz="6" w:space="0" w:color="auto"/>
              <w:left w:val="nil" w:sz="6" w:space="0" w:color="auto"/>
              <w:bottom w:val="nil" w:sz="6" w:space="0" w:color="auto"/>
              <w:right w:val="nil" w:sz="6" w:space="0" w:color="auto"/>
            </w:tcBorders>
          </w:tcPr>
          <w:p>
            <w:pPr>
              <w:pStyle w:val="TableParagraph"/>
              <w:spacing w:line="155" w:lineRule="exact"/>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155" w:lineRule="exact"/>
              <w:ind w:right="26"/>
              <w:jc w:val="right"/>
              <w:rPr>
                <w:rFonts w:ascii="宋体" w:hAnsi="宋体" w:cs="宋体" w:eastAsia="宋体" w:hint="default"/>
                <w:sz w:val="13"/>
                <w:szCs w:val="13"/>
              </w:rPr>
            </w:pPr>
            <w:r>
              <w:rPr>
                <w:rFonts w:ascii="宋体" w:hAnsi="宋体" w:cs="宋体" w:eastAsia="宋体" w:hint="default"/>
                <w:w w:val="95"/>
                <w:sz w:val="13"/>
                <w:szCs w:val="13"/>
              </w:rPr>
              <w:t>成都</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155" w:lineRule="exact"/>
              <w:ind w:left="235" w:right="0"/>
              <w:jc w:val="left"/>
              <w:rPr>
                <w:rFonts w:ascii="宋体" w:hAnsi="宋体" w:cs="宋体" w:eastAsia="宋体" w:hint="default"/>
                <w:sz w:val="13"/>
                <w:szCs w:val="13"/>
              </w:rPr>
            </w:pPr>
            <w:r>
              <w:rPr>
                <w:rFonts w:ascii="宋体" w:hAnsi="宋体" w:cs="宋体" w:eastAsia="宋体" w:hint="default"/>
                <w:sz w:val="13"/>
                <w:szCs w:val="13"/>
              </w:rPr>
              <w:t>刘积仁</w:t>
            </w: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19" w:right="0"/>
              <w:jc w:val="left"/>
              <w:rPr>
                <w:rFonts w:ascii="宋体" w:hAnsi="宋体" w:cs="宋体" w:eastAsia="宋体" w:hint="default"/>
                <w:sz w:val="13"/>
                <w:szCs w:val="13"/>
              </w:rPr>
            </w:pPr>
            <w:r>
              <w:rPr>
                <w:rFonts w:ascii="宋体" w:hAnsi="宋体" w:cs="宋体" w:eastAsia="宋体" w:hint="default"/>
                <w:sz w:val="13"/>
                <w:szCs w:val="13"/>
              </w:rPr>
              <w:t>租赁；信息技术、管理人才培训及顾问、</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9"/>
              <w:jc w:val="right"/>
              <w:rPr>
                <w:rFonts w:ascii="Times New Roman" w:hAnsi="Times New Roman" w:cs="Times New Roman" w:eastAsia="Times New Roman" w:hint="default"/>
                <w:sz w:val="13"/>
                <w:szCs w:val="13"/>
              </w:rPr>
            </w:pPr>
            <w:r>
              <w:rPr>
                <w:rFonts w:ascii="Times New Roman"/>
                <w:w w:val="95"/>
                <w:sz w:val="13"/>
              </w:rPr>
              <w:t>6,000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1"/>
              <w:jc w:val="right"/>
              <w:rPr>
                <w:rFonts w:ascii="Times New Roman" w:hAnsi="Times New Roman" w:cs="Times New Roman" w:eastAsia="Times New Roman" w:hint="default"/>
                <w:sz w:val="13"/>
                <w:szCs w:val="13"/>
              </w:rPr>
            </w:pPr>
            <w:r>
              <w:rPr>
                <w:rFonts w:ascii="Times New Roman"/>
                <w:w w:val="95"/>
                <w:sz w:val="13"/>
              </w:rPr>
              <w:t>99</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1"/>
              <w:jc w:val="right"/>
              <w:rPr>
                <w:rFonts w:ascii="Times New Roman" w:hAnsi="Times New Roman" w:cs="Times New Roman" w:eastAsia="Times New Roman" w:hint="default"/>
                <w:sz w:val="13"/>
                <w:szCs w:val="13"/>
              </w:rPr>
            </w:pPr>
            <w:r>
              <w:rPr>
                <w:rFonts w:ascii="Times New Roman"/>
                <w:w w:val="95"/>
                <w:sz w:val="13"/>
              </w:rPr>
              <w:t>99</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6"/>
              <w:jc w:val="right"/>
              <w:rPr>
                <w:rFonts w:ascii="Times New Roman" w:hAnsi="Times New Roman" w:cs="Times New Roman" w:eastAsia="Times New Roman" w:hint="default"/>
                <w:sz w:val="13"/>
                <w:szCs w:val="13"/>
              </w:rPr>
            </w:pPr>
            <w:r>
              <w:rPr>
                <w:rFonts w:ascii="Times New Roman"/>
                <w:w w:val="95"/>
                <w:sz w:val="13"/>
              </w:rPr>
              <w:t>74031031-1</w:t>
            </w:r>
            <w:r>
              <w:rPr>
                <w:rFonts w:ascii="Times New Roman"/>
                <w:sz w:val="13"/>
              </w:rPr>
            </w:r>
          </w:p>
        </w:tc>
      </w:tr>
      <w:tr>
        <w:trPr>
          <w:trHeight w:val="365" w:hRule="exact"/>
        </w:trPr>
        <w:tc>
          <w:tcPr>
            <w:tcW w:w="2383" w:type="dxa"/>
            <w:tcBorders>
              <w:top w:val="nil" w:sz="6" w:space="0" w:color="auto"/>
              <w:left w:val="nil" w:sz="6" w:space="0" w:color="auto"/>
              <w:bottom w:val="nil" w:sz="6" w:space="0" w:color="auto"/>
              <w:right w:val="nil" w:sz="6" w:space="0" w:color="auto"/>
            </w:tcBorders>
          </w:tcPr>
          <w:p>
            <w:pPr/>
          </w:p>
        </w:tc>
        <w:tc>
          <w:tcPr>
            <w:tcW w:w="799"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nil" w:sz="6" w:space="0" w:color="auto"/>
            </w:tcBorders>
          </w:tcPr>
          <w:p>
            <w:pPr/>
          </w:p>
        </w:tc>
        <w:tc>
          <w:tcPr>
            <w:tcW w:w="533" w:type="dxa"/>
            <w:tcBorders>
              <w:top w:val="nil" w:sz="6" w:space="0" w:color="auto"/>
              <w:left w:val="nil" w:sz="6" w:space="0" w:color="auto"/>
              <w:bottom w:val="nil" w:sz="6" w:space="0" w:color="auto"/>
              <w:right w:val="nil" w:sz="6" w:space="0" w:color="auto"/>
            </w:tcBorders>
          </w:tcPr>
          <w:p>
            <w:pP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19" w:right="0"/>
              <w:jc w:val="left"/>
              <w:rPr>
                <w:rFonts w:ascii="宋体" w:hAnsi="宋体" w:cs="宋体" w:eastAsia="宋体" w:hint="default"/>
                <w:sz w:val="13"/>
                <w:szCs w:val="13"/>
              </w:rPr>
            </w:pPr>
            <w:r>
              <w:rPr>
                <w:rFonts w:ascii="宋体" w:hAnsi="宋体" w:cs="宋体" w:eastAsia="宋体" w:hint="default"/>
                <w:sz w:val="13"/>
                <w:szCs w:val="13"/>
              </w:rPr>
              <w:t>咨询服务</w:t>
            </w:r>
          </w:p>
        </w:tc>
        <w:tc>
          <w:tcPr>
            <w:tcW w:w="1141"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
        </w:tc>
        <w:tc>
          <w:tcPr>
            <w:tcW w:w="1009" w:type="dxa"/>
            <w:tcBorders>
              <w:top w:val="nil" w:sz="6" w:space="0" w:color="auto"/>
              <w:left w:val="nil" w:sz="6" w:space="0" w:color="auto"/>
              <w:bottom w:val="nil" w:sz="6" w:space="0" w:color="auto"/>
              <w:right w:val="nil" w:sz="6" w:space="0" w:color="auto"/>
            </w:tcBorders>
          </w:tcPr>
          <w:p>
            <w:pPr/>
          </w:p>
        </w:tc>
        <w:tc>
          <w:tcPr>
            <w:tcW w:w="1001" w:type="dxa"/>
            <w:tcBorders>
              <w:top w:val="nil" w:sz="6" w:space="0" w:color="auto"/>
              <w:left w:val="nil" w:sz="6" w:space="0" w:color="auto"/>
              <w:bottom w:val="nil" w:sz="6" w:space="0" w:color="auto"/>
              <w:right w:val="nil" w:sz="6" w:space="0" w:color="auto"/>
            </w:tcBorders>
          </w:tcPr>
          <w:p>
            <w:pPr/>
          </w:p>
        </w:tc>
      </w:tr>
      <w:tr>
        <w:trPr>
          <w:trHeight w:val="378"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91" w:right="0"/>
              <w:jc w:val="left"/>
              <w:rPr>
                <w:rFonts w:ascii="宋体" w:hAnsi="宋体" w:cs="宋体" w:eastAsia="宋体" w:hint="default"/>
                <w:sz w:val="13"/>
                <w:szCs w:val="13"/>
              </w:rPr>
            </w:pPr>
            <w:r>
              <w:rPr>
                <w:rFonts w:ascii="宋体" w:hAnsi="宋体" w:cs="宋体" w:eastAsia="宋体" w:hint="default"/>
                <w:sz w:val="13"/>
                <w:szCs w:val="13"/>
              </w:rPr>
              <w:t>北京英博睿智咨询有限公司</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6"/>
              <w:jc w:val="right"/>
              <w:rPr>
                <w:rFonts w:ascii="宋体" w:hAnsi="宋体" w:cs="宋体" w:eastAsia="宋体" w:hint="default"/>
                <w:sz w:val="13"/>
                <w:szCs w:val="13"/>
              </w:rPr>
            </w:pPr>
            <w:r>
              <w:rPr>
                <w:rFonts w:ascii="宋体" w:hAnsi="宋体" w:cs="宋体" w:eastAsia="宋体" w:hint="default"/>
                <w:w w:val="95"/>
                <w:sz w:val="13"/>
                <w:szCs w:val="13"/>
              </w:rPr>
              <w:t>北京</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35" w:right="0"/>
              <w:jc w:val="left"/>
              <w:rPr>
                <w:rFonts w:ascii="宋体" w:hAnsi="宋体" w:cs="宋体" w:eastAsia="宋体" w:hint="default"/>
                <w:sz w:val="13"/>
                <w:szCs w:val="13"/>
              </w:rPr>
            </w:pPr>
            <w:r>
              <w:rPr>
                <w:rFonts w:ascii="宋体" w:hAnsi="宋体" w:cs="宋体" w:eastAsia="宋体" w:hint="default"/>
                <w:sz w:val="13"/>
                <w:szCs w:val="13"/>
              </w:rPr>
              <w:t>宋丽</w:t>
            </w: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0" w:right="0"/>
              <w:jc w:val="left"/>
              <w:rPr>
                <w:rFonts w:ascii="宋体" w:hAnsi="宋体" w:cs="宋体" w:eastAsia="宋体" w:hint="default"/>
                <w:sz w:val="13"/>
                <w:szCs w:val="13"/>
              </w:rPr>
            </w:pPr>
            <w:r>
              <w:rPr>
                <w:rFonts w:ascii="宋体" w:hAnsi="宋体" w:cs="宋体" w:eastAsia="宋体" w:hint="default"/>
                <w:sz w:val="13"/>
                <w:szCs w:val="13"/>
              </w:rPr>
              <w:t>招聘外包和提供猎头服务</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0"/>
                <w:szCs w:val="10"/>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10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0"/>
                <w:szCs w:val="10"/>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0"/>
                <w:szCs w:val="10"/>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0"/>
                <w:szCs w:val="10"/>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69231782-5</w:t>
            </w:r>
            <w:r>
              <w:rPr>
                <w:rFonts w:ascii="Times New Roman"/>
                <w:sz w:val="13"/>
              </w:rPr>
            </w:r>
          </w:p>
        </w:tc>
      </w:tr>
      <w:tr>
        <w:trPr>
          <w:trHeight w:val="37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91" w:right="0"/>
              <w:jc w:val="left"/>
              <w:rPr>
                <w:rFonts w:ascii="宋体" w:hAnsi="宋体" w:cs="宋体" w:eastAsia="宋体" w:hint="default"/>
                <w:sz w:val="13"/>
                <w:szCs w:val="13"/>
              </w:rPr>
            </w:pPr>
            <w:r>
              <w:rPr>
                <w:rFonts w:ascii="宋体" w:hAnsi="宋体" w:cs="宋体" w:eastAsia="宋体" w:hint="default"/>
                <w:sz w:val="13"/>
                <w:szCs w:val="13"/>
              </w:rPr>
              <w:t>大连东软商业流程咨询服务有限公司</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0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6"/>
              <w:jc w:val="right"/>
              <w:rPr>
                <w:rFonts w:ascii="宋体" w:hAnsi="宋体" w:cs="宋体" w:eastAsia="宋体" w:hint="default"/>
                <w:sz w:val="13"/>
                <w:szCs w:val="13"/>
              </w:rPr>
            </w:pPr>
            <w:r>
              <w:rPr>
                <w:rFonts w:ascii="宋体" w:hAnsi="宋体" w:cs="宋体" w:eastAsia="宋体" w:hint="default"/>
                <w:w w:val="95"/>
                <w:sz w:val="13"/>
                <w:szCs w:val="13"/>
              </w:rPr>
              <w:t>大连</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9" w:right="0"/>
              <w:jc w:val="left"/>
              <w:rPr>
                <w:rFonts w:ascii="宋体" w:hAnsi="宋体" w:cs="宋体" w:eastAsia="宋体" w:hint="default"/>
                <w:sz w:val="13"/>
                <w:szCs w:val="13"/>
              </w:rPr>
            </w:pPr>
            <w:r>
              <w:rPr>
                <w:rFonts w:ascii="宋体" w:hAnsi="宋体" w:cs="宋体" w:eastAsia="宋体" w:hint="default"/>
                <w:sz w:val="13"/>
                <w:szCs w:val="13"/>
              </w:rPr>
              <w:t>经营计算机软、硬件</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500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9"/>
                <w:szCs w:val="9"/>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69600028-6</w:t>
            </w:r>
            <w:r>
              <w:rPr>
                <w:rFonts w:ascii="Times New Roman"/>
                <w:sz w:val="13"/>
              </w:rPr>
            </w:r>
          </w:p>
        </w:tc>
      </w:tr>
      <w:tr>
        <w:trPr>
          <w:trHeight w:val="370" w:hRule="exact"/>
        </w:trPr>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合肥东软信息技术有限公司</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03" w:right="0"/>
              <w:jc w:val="left"/>
              <w:rPr>
                <w:rFonts w:ascii="宋体" w:hAnsi="宋体" w:cs="宋体" w:eastAsia="宋体" w:hint="default"/>
                <w:sz w:val="13"/>
                <w:szCs w:val="13"/>
              </w:rPr>
            </w:pPr>
            <w:r>
              <w:rPr>
                <w:rFonts w:ascii="宋体" w:hAnsi="宋体" w:cs="宋体" w:eastAsia="宋体" w:hint="default"/>
                <w:sz w:val="13"/>
                <w:szCs w:val="13"/>
              </w:rPr>
              <w:t>全资</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
              <w:jc w:val="right"/>
              <w:rPr>
                <w:rFonts w:ascii="宋体" w:hAnsi="宋体" w:cs="宋体" w:eastAsia="宋体" w:hint="default"/>
                <w:sz w:val="13"/>
                <w:szCs w:val="13"/>
              </w:rPr>
            </w:pPr>
            <w:r>
              <w:rPr>
                <w:rFonts w:ascii="宋体" w:hAnsi="宋体" w:cs="宋体" w:eastAsia="宋体" w:hint="default"/>
                <w:w w:val="95"/>
                <w:sz w:val="13"/>
                <w:szCs w:val="13"/>
              </w:rPr>
              <w:t>合肥</w:t>
            </w:r>
            <w:r>
              <w:rPr>
                <w:rFonts w:ascii="宋体" w:hAnsi="宋体" w:cs="宋体" w:eastAsia="宋体" w:hint="default"/>
                <w:sz w:val="13"/>
                <w:szCs w:val="13"/>
              </w:rPr>
            </w:r>
          </w:p>
        </w:tc>
        <w:tc>
          <w:tcPr>
            <w:tcW w:w="652"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王勇峰</w:t>
            </w:r>
          </w:p>
        </w:tc>
        <w:tc>
          <w:tcPr>
            <w:tcW w:w="263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20" w:right="0"/>
              <w:jc w:val="left"/>
              <w:rPr>
                <w:rFonts w:ascii="宋体" w:hAnsi="宋体" w:cs="宋体" w:eastAsia="宋体" w:hint="default"/>
                <w:sz w:val="13"/>
                <w:szCs w:val="13"/>
              </w:rPr>
            </w:pPr>
            <w:r>
              <w:rPr>
                <w:rFonts w:ascii="宋体" w:hAnsi="宋体" w:cs="宋体" w:eastAsia="宋体" w:hint="default"/>
                <w:spacing w:val="-4"/>
                <w:sz w:val="13"/>
                <w:szCs w:val="13"/>
              </w:rPr>
              <w:t>计算机软硬件、系统集成、技术咨询服务</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50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77735490-8</w:t>
            </w:r>
            <w:r>
              <w:rPr>
                <w:rFonts w:ascii="Times New Roman"/>
                <w:sz w:val="13"/>
              </w:rPr>
            </w:r>
          </w:p>
        </w:tc>
      </w:tr>
      <w:tr>
        <w:trPr>
          <w:trHeight w:val="274" w:hRule="exact"/>
        </w:trPr>
        <w:tc>
          <w:tcPr>
            <w:tcW w:w="2383" w:type="dxa"/>
            <w:tcBorders>
              <w:top w:val="nil" w:sz="6" w:space="0" w:color="auto"/>
              <w:left w:val="nil" w:sz="6" w:space="0" w:color="auto"/>
              <w:bottom w:val="single" w:sz="8" w:space="0" w:color="000000"/>
              <w:right w:val="nil" w:sz="6" w:space="0" w:color="auto"/>
            </w:tcBorders>
          </w:tcPr>
          <w:p>
            <w:pPr>
              <w:pStyle w:val="TableParagraph"/>
              <w:spacing w:line="240" w:lineRule="auto" w:before="71"/>
              <w:ind w:left="91" w:right="0"/>
              <w:jc w:val="left"/>
              <w:rPr>
                <w:rFonts w:ascii="宋体" w:hAnsi="宋体" w:cs="宋体" w:eastAsia="宋体" w:hint="default"/>
                <w:sz w:val="13"/>
                <w:szCs w:val="13"/>
              </w:rPr>
            </w:pPr>
            <w:r>
              <w:rPr>
                <w:rFonts w:ascii="宋体" w:hAnsi="宋体" w:cs="宋体" w:eastAsia="宋体" w:hint="default"/>
                <w:sz w:val="13"/>
                <w:szCs w:val="13"/>
              </w:rPr>
              <w:t>北京源越通软件技术有限公司</w:t>
            </w:r>
          </w:p>
        </w:tc>
        <w:tc>
          <w:tcPr>
            <w:tcW w:w="799" w:type="dxa"/>
            <w:tcBorders>
              <w:top w:val="nil" w:sz="6" w:space="0" w:color="auto"/>
              <w:left w:val="nil" w:sz="6" w:space="0" w:color="auto"/>
              <w:bottom w:val="single" w:sz="8" w:space="0" w:color="000000"/>
              <w:right w:val="nil" w:sz="6" w:space="0" w:color="auto"/>
            </w:tcBorders>
          </w:tcPr>
          <w:p>
            <w:pPr>
              <w:pStyle w:val="TableParagraph"/>
              <w:spacing w:line="240" w:lineRule="auto" w:before="71"/>
              <w:ind w:left="103" w:right="0"/>
              <w:jc w:val="left"/>
              <w:rPr>
                <w:rFonts w:ascii="宋体" w:hAnsi="宋体" w:cs="宋体" w:eastAsia="宋体" w:hint="default"/>
                <w:sz w:val="13"/>
                <w:szCs w:val="13"/>
              </w:rPr>
            </w:pPr>
            <w:r>
              <w:rPr>
                <w:rFonts w:ascii="宋体" w:hAnsi="宋体" w:cs="宋体" w:eastAsia="宋体" w:hint="default"/>
                <w:sz w:val="13"/>
                <w:szCs w:val="13"/>
              </w:rPr>
              <w:t>控股</w:t>
            </w:r>
          </w:p>
        </w:tc>
        <w:tc>
          <w:tcPr>
            <w:tcW w:w="1169" w:type="dxa"/>
            <w:tcBorders>
              <w:top w:val="nil" w:sz="6" w:space="0" w:color="auto"/>
              <w:left w:val="nil" w:sz="6" w:space="0" w:color="auto"/>
              <w:bottom w:val="single" w:sz="8" w:space="0" w:color="000000"/>
              <w:right w:val="nil" w:sz="6" w:space="0" w:color="auto"/>
            </w:tcBorders>
          </w:tcPr>
          <w:p>
            <w:pPr>
              <w:pStyle w:val="TableParagraph"/>
              <w:spacing w:line="240" w:lineRule="auto" w:before="71"/>
              <w:ind w:left="67" w:right="0"/>
              <w:jc w:val="left"/>
              <w:rPr>
                <w:rFonts w:ascii="宋体" w:hAnsi="宋体" w:cs="宋体" w:eastAsia="宋体" w:hint="default"/>
                <w:sz w:val="13"/>
                <w:szCs w:val="13"/>
              </w:rPr>
            </w:pPr>
            <w:r>
              <w:rPr>
                <w:rFonts w:ascii="宋体" w:hAnsi="宋体" w:cs="宋体" w:eastAsia="宋体" w:hint="default"/>
                <w:sz w:val="13"/>
                <w:szCs w:val="13"/>
              </w:rPr>
              <w:t>有限责任公司</w:t>
            </w:r>
          </w:p>
        </w:tc>
        <w:tc>
          <w:tcPr>
            <w:tcW w:w="533" w:type="dxa"/>
            <w:tcBorders>
              <w:top w:val="nil" w:sz="6" w:space="0" w:color="auto"/>
              <w:left w:val="nil" w:sz="6" w:space="0" w:color="auto"/>
              <w:bottom w:val="single" w:sz="8" w:space="0" w:color="000000"/>
              <w:right w:val="nil" w:sz="6" w:space="0" w:color="auto"/>
            </w:tcBorders>
          </w:tcPr>
          <w:p>
            <w:pPr>
              <w:pStyle w:val="TableParagraph"/>
              <w:spacing w:line="240" w:lineRule="auto" w:before="71"/>
              <w:ind w:right="26"/>
              <w:jc w:val="right"/>
              <w:rPr>
                <w:rFonts w:ascii="宋体" w:hAnsi="宋体" w:cs="宋体" w:eastAsia="宋体" w:hint="default"/>
                <w:sz w:val="13"/>
                <w:szCs w:val="13"/>
              </w:rPr>
            </w:pPr>
            <w:r>
              <w:rPr>
                <w:rFonts w:ascii="宋体" w:hAnsi="宋体" w:cs="宋体" w:eastAsia="宋体" w:hint="default"/>
                <w:w w:val="95"/>
                <w:sz w:val="13"/>
                <w:szCs w:val="13"/>
              </w:rPr>
              <w:t>北京</w:t>
            </w:r>
            <w:r>
              <w:rPr>
                <w:rFonts w:ascii="宋体" w:hAnsi="宋体" w:cs="宋体" w:eastAsia="宋体" w:hint="default"/>
                <w:sz w:val="13"/>
                <w:szCs w:val="13"/>
              </w:rPr>
            </w:r>
          </w:p>
        </w:tc>
        <w:tc>
          <w:tcPr>
            <w:tcW w:w="652" w:type="dxa"/>
            <w:tcBorders>
              <w:top w:val="nil" w:sz="6" w:space="0" w:color="auto"/>
              <w:left w:val="nil" w:sz="6" w:space="0" w:color="auto"/>
              <w:bottom w:val="single" w:sz="8" w:space="0" w:color="000000"/>
              <w:right w:val="nil" w:sz="6" w:space="0" w:color="auto"/>
            </w:tcBorders>
          </w:tcPr>
          <w:p>
            <w:pPr/>
          </w:p>
        </w:tc>
        <w:tc>
          <w:tcPr>
            <w:tcW w:w="1091" w:type="dxa"/>
            <w:tcBorders>
              <w:top w:val="nil" w:sz="6" w:space="0" w:color="auto"/>
              <w:left w:val="nil" w:sz="6" w:space="0" w:color="auto"/>
              <w:bottom w:val="single" w:sz="8" w:space="0" w:color="000000"/>
              <w:right w:val="nil" w:sz="6" w:space="0" w:color="auto"/>
            </w:tcBorders>
          </w:tcPr>
          <w:p>
            <w:pPr>
              <w:pStyle w:val="TableParagraph"/>
              <w:spacing w:line="240" w:lineRule="auto" w:before="71"/>
              <w:ind w:left="235" w:right="0"/>
              <w:jc w:val="left"/>
              <w:rPr>
                <w:rFonts w:ascii="宋体" w:hAnsi="宋体" w:cs="宋体" w:eastAsia="宋体" w:hint="default"/>
                <w:sz w:val="13"/>
                <w:szCs w:val="13"/>
              </w:rPr>
            </w:pPr>
            <w:r>
              <w:rPr>
                <w:rFonts w:ascii="宋体" w:hAnsi="宋体" w:cs="宋体" w:eastAsia="宋体" w:hint="default"/>
                <w:sz w:val="13"/>
                <w:szCs w:val="13"/>
              </w:rPr>
              <w:t>王成鹏</w:t>
            </w:r>
          </w:p>
        </w:tc>
        <w:tc>
          <w:tcPr>
            <w:tcW w:w="2638" w:type="dxa"/>
            <w:tcBorders>
              <w:top w:val="nil" w:sz="6" w:space="0" w:color="auto"/>
              <w:left w:val="nil" w:sz="6" w:space="0" w:color="auto"/>
              <w:bottom w:val="single" w:sz="8" w:space="0" w:color="000000"/>
              <w:right w:val="nil" w:sz="6" w:space="0" w:color="auto"/>
            </w:tcBorders>
          </w:tcPr>
          <w:p>
            <w:pPr>
              <w:pStyle w:val="TableParagraph"/>
              <w:spacing w:line="240" w:lineRule="auto" w:before="71"/>
              <w:ind w:left="120" w:right="0"/>
              <w:jc w:val="left"/>
              <w:rPr>
                <w:rFonts w:ascii="宋体" w:hAnsi="宋体" w:cs="宋体" w:eastAsia="宋体" w:hint="default"/>
                <w:sz w:val="13"/>
                <w:szCs w:val="13"/>
              </w:rPr>
            </w:pPr>
            <w:r>
              <w:rPr>
                <w:rFonts w:ascii="宋体" w:hAnsi="宋体" w:cs="宋体" w:eastAsia="宋体" w:hint="default"/>
                <w:sz w:val="13"/>
                <w:szCs w:val="13"/>
              </w:rPr>
              <w:t>计算机软件开发、服务</w:t>
            </w:r>
          </w:p>
        </w:tc>
        <w:tc>
          <w:tcPr>
            <w:tcW w:w="1141" w:type="dxa"/>
            <w:tcBorders>
              <w:top w:val="nil" w:sz="6" w:space="0" w:color="auto"/>
              <w:left w:val="nil" w:sz="6" w:space="0" w:color="auto"/>
              <w:bottom w:val="single" w:sz="8"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139"/>
              <w:jc w:val="right"/>
              <w:rPr>
                <w:rFonts w:ascii="Times New Roman" w:hAnsi="Times New Roman" w:cs="Times New Roman" w:eastAsia="Times New Roman" w:hint="default"/>
                <w:sz w:val="13"/>
                <w:szCs w:val="13"/>
              </w:rPr>
            </w:pPr>
            <w:r>
              <w:rPr>
                <w:rFonts w:ascii="Times New Roman"/>
                <w:w w:val="95"/>
                <w:sz w:val="13"/>
              </w:rPr>
              <w:t>100</w:t>
            </w:r>
            <w:r>
              <w:rPr>
                <w:rFonts w:ascii="Times New Roman"/>
                <w:sz w:val="13"/>
              </w:rPr>
            </w:r>
          </w:p>
        </w:tc>
        <w:tc>
          <w:tcPr>
            <w:tcW w:w="973" w:type="dxa"/>
            <w:tcBorders>
              <w:top w:val="nil" w:sz="6" w:space="0" w:color="auto"/>
              <w:left w:val="nil" w:sz="6" w:space="0" w:color="auto"/>
              <w:bottom w:val="single" w:sz="8"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61"/>
              <w:jc w:val="right"/>
              <w:rPr>
                <w:rFonts w:ascii="Times New Roman" w:hAnsi="Times New Roman" w:cs="Times New Roman" w:eastAsia="Times New Roman" w:hint="default"/>
                <w:sz w:val="13"/>
                <w:szCs w:val="13"/>
              </w:rPr>
            </w:pPr>
            <w:r>
              <w:rPr>
                <w:rFonts w:ascii="Times New Roman"/>
                <w:w w:val="95"/>
                <w:sz w:val="13"/>
              </w:rPr>
              <w:t>74</w:t>
            </w:r>
            <w:r>
              <w:rPr>
                <w:rFonts w:ascii="Times New Roman"/>
                <w:sz w:val="13"/>
              </w:rPr>
            </w:r>
          </w:p>
        </w:tc>
        <w:tc>
          <w:tcPr>
            <w:tcW w:w="1009" w:type="dxa"/>
            <w:tcBorders>
              <w:top w:val="nil" w:sz="6" w:space="0" w:color="auto"/>
              <w:left w:val="nil" w:sz="6" w:space="0" w:color="auto"/>
              <w:bottom w:val="single" w:sz="8"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91"/>
              <w:jc w:val="right"/>
              <w:rPr>
                <w:rFonts w:ascii="Times New Roman" w:hAnsi="Times New Roman" w:cs="Times New Roman" w:eastAsia="Times New Roman" w:hint="default"/>
                <w:sz w:val="13"/>
                <w:szCs w:val="13"/>
              </w:rPr>
            </w:pPr>
            <w:r>
              <w:rPr>
                <w:rFonts w:ascii="Times New Roman"/>
                <w:w w:val="95"/>
                <w:sz w:val="13"/>
              </w:rPr>
              <w:t>74</w:t>
            </w:r>
            <w:r>
              <w:rPr>
                <w:rFonts w:ascii="Times New Roman"/>
                <w:sz w:val="13"/>
              </w:rPr>
            </w:r>
          </w:p>
        </w:tc>
        <w:tc>
          <w:tcPr>
            <w:tcW w:w="1001" w:type="dxa"/>
            <w:tcBorders>
              <w:top w:val="nil" w:sz="6" w:space="0" w:color="auto"/>
              <w:left w:val="nil" w:sz="6" w:space="0" w:color="auto"/>
              <w:bottom w:val="single" w:sz="8"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9"/>
                <w:szCs w:val="9"/>
              </w:rPr>
            </w:pPr>
          </w:p>
          <w:p>
            <w:pPr>
              <w:pStyle w:val="TableParagraph"/>
              <w:spacing w:line="240" w:lineRule="auto"/>
              <w:ind w:right="56"/>
              <w:jc w:val="right"/>
              <w:rPr>
                <w:rFonts w:ascii="Times New Roman" w:hAnsi="Times New Roman" w:cs="Times New Roman" w:eastAsia="Times New Roman" w:hint="default"/>
                <w:sz w:val="13"/>
                <w:szCs w:val="13"/>
              </w:rPr>
            </w:pPr>
            <w:r>
              <w:rPr>
                <w:rFonts w:ascii="Times New Roman"/>
                <w:w w:val="95"/>
                <w:sz w:val="13"/>
              </w:rPr>
              <w:t>76679629-2</w:t>
            </w:r>
            <w:r>
              <w:rPr>
                <w:rFonts w:ascii="Times New Roman"/>
                <w:sz w:val="13"/>
              </w:rPr>
            </w:r>
          </w:p>
        </w:tc>
      </w:tr>
    </w:tbl>
    <w:p>
      <w:pPr>
        <w:spacing w:after="0" w:line="240" w:lineRule="auto"/>
        <w:jc w:val="right"/>
        <w:rPr>
          <w:rFonts w:ascii="Times New Roman" w:hAnsi="Times New Roman" w:cs="Times New Roman" w:eastAsia="Times New Roman" w:hint="default"/>
          <w:sz w:val="13"/>
          <w:szCs w:val="13"/>
        </w:rPr>
        <w:sectPr>
          <w:pgSz w:w="16840" w:h="11900" w:orient="landscape"/>
          <w:pgMar w:header="883" w:footer="995" w:top="1600" w:bottom="1180" w:left="1300" w:right="1300"/>
        </w:sectPr>
      </w:pPr>
    </w:p>
    <w:p>
      <w:pPr>
        <w:spacing w:line="240" w:lineRule="auto" w:before="2"/>
        <w:rPr>
          <w:rFonts w:ascii="Times New Roman" w:hAnsi="Times New Roman" w:cs="Times New Roman" w:eastAsia="Times New Roman" w:hint="default"/>
          <w:sz w:val="22"/>
          <w:szCs w:val="22"/>
        </w:rPr>
      </w:pPr>
    </w:p>
    <w:tbl>
      <w:tblPr>
        <w:tblW w:w="0" w:type="auto"/>
        <w:jc w:val="left"/>
        <w:tblInd w:w="110" w:type="dxa"/>
        <w:tblLayout w:type="fixed"/>
        <w:tblCellMar>
          <w:top w:w="0" w:type="dxa"/>
          <w:left w:w="0" w:type="dxa"/>
          <w:bottom w:w="0" w:type="dxa"/>
          <w:right w:w="0" w:type="dxa"/>
        </w:tblCellMar>
        <w:tblLook w:val="01E0"/>
      </w:tblPr>
      <w:tblGrid>
        <w:gridCol w:w="659"/>
        <w:gridCol w:w="2960"/>
        <w:gridCol w:w="888"/>
        <w:gridCol w:w="1174"/>
        <w:gridCol w:w="650"/>
        <w:gridCol w:w="829"/>
        <w:gridCol w:w="1176"/>
        <w:gridCol w:w="868"/>
        <w:gridCol w:w="869"/>
        <w:gridCol w:w="878"/>
        <w:gridCol w:w="890"/>
        <w:gridCol w:w="2186"/>
      </w:tblGrid>
      <w:tr>
        <w:trPr>
          <w:trHeight w:val="351"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2960" w:type="dxa"/>
            <w:tcBorders>
              <w:top w:val="nil" w:sz="6" w:space="0" w:color="auto"/>
              <w:left w:val="nil" w:sz="6" w:space="0" w:color="auto"/>
              <w:bottom w:val="single" w:sz="8" w:space="0" w:color="000000"/>
              <w:right w:val="nil" w:sz="6" w:space="0" w:color="auto"/>
            </w:tcBorders>
          </w:tcPr>
          <w:p>
            <w:pPr>
              <w:pStyle w:val="TableParagraph"/>
              <w:spacing w:line="240" w:lineRule="auto" w:before="35"/>
              <w:ind w:left="146" w:right="0"/>
              <w:jc w:val="left"/>
              <w:rPr>
                <w:rFonts w:ascii="宋体" w:hAnsi="宋体" w:cs="宋体" w:eastAsia="宋体" w:hint="default"/>
                <w:sz w:val="21"/>
                <w:szCs w:val="21"/>
              </w:rPr>
            </w:pPr>
            <w:r>
              <w:rPr>
                <w:rFonts w:ascii="宋体" w:hAnsi="宋体" w:cs="宋体" w:eastAsia="宋体" w:hint="default"/>
                <w:sz w:val="21"/>
                <w:szCs w:val="21"/>
              </w:rPr>
              <w:t>本企业的合营和联营企业情况</w:t>
            </w:r>
          </w:p>
        </w:tc>
        <w:tc>
          <w:tcPr>
            <w:tcW w:w="888" w:type="dxa"/>
            <w:tcBorders>
              <w:top w:val="nil" w:sz="6" w:space="0" w:color="auto"/>
              <w:left w:val="nil" w:sz="6" w:space="0" w:color="auto"/>
              <w:bottom w:val="single" w:sz="8" w:space="0" w:color="000000"/>
              <w:right w:val="nil" w:sz="6" w:space="0" w:color="auto"/>
            </w:tcBorders>
          </w:tcPr>
          <w:p>
            <w:pPr/>
          </w:p>
        </w:tc>
        <w:tc>
          <w:tcPr>
            <w:tcW w:w="1174" w:type="dxa"/>
            <w:tcBorders>
              <w:top w:val="nil" w:sz="6" w:space="0" w:color="auto"/>
              <w:left w:val="nil" w:sz="6" w:space="0" w:color="auto"/>
              <w:bottom w:val="single" w:sz="8" w:space="0" w:color="000000"/>
              <w:right w:val="nil" w:sz="6" w:space="0" w:color="auto"/>
            </w:tcBorders>
          </w:tcPr>
          <w:p>
            <w:pPr/>
          </w:p>
        </w:tc>
        <w:tc>
          <w:tcPr>
            <w:tcW w:w="650" w:type="dxa"/>
            <w:tcBorders>
              <w:top w:val="nil" w:sz="6" w:space="0" w:color="auto"/>
              <w:left w:val="nil" w:sz="6" w:space="0" w:color="auto"/>
              <w:bottom w:val="single" w:sz="8" w:space="0" w:color="000000"/>
              <w:right w:val="nil" w:sz="6" w:space="0" w:color="auto"/>
            </w:tcBorders>
          </w:tcPr>
          <w:p>
            <w:pPr/>
          </w:p>
        </w:tc>
        <w:tc>
          <w:tcPr>
            <w:tcW w:w="829" w:type="dxa"/>
            <w:tcBorders>
              <w:top w:val="nil" w:sz="6" w:space="0" w:color="auto"/>
              <w:left w:val="nil" w:sz="6" w:space="0" w:color="auto"/>
              <w:bottom w:val="single" w:sz="8" w:space="0" w:color="000000"/>
              <w:right w:val="nil" w:sz="6" w:space="0" w:color="auto"/>
            </w:tcBorders>
          </w:tcPr>
          <w:p>
            <w:pPr/>
          </w:p>
        </w:tc>
        <w:tc>
          <w:tcPr>
            <w:tcW w:w="1176" w:type="dxa"/>
            <w:tcBorders>
              <w:top w:val="nil" w:sz="6" w:space="0" w:color="auto"/>
              <w:left w:val="nil" w:sz="6" w:space="0" w:color="auto"/>
              <w:bottom w:val="single" w:sz="8" w:space="0" w:color="000000"/>
              <w:right w:val="nil" w:sz="6" w:space="0" w:color="auto"/>
            </w:tcBorders>
          </w:tcPr>
          <w:p>
            <w:pPr/>
          </w:p>
        </w:tc>
        <w:tc>
          <w:tcPr>
            <w:tcW w:w="868" w:type="dxa"/>
            <w:tcBorders>
              <w:top w:val="nil" w:sz="6" w:space="0" w:color="auto"/>
              <w:left w:val="nil" w:sz="6" w:space="0" w:color="auto"/>
              <w:bottom w:val="single" w:sz="8" w:space="0" w:color="000000"/>
              <w:right w:val="nil" w:sz="6" w:space="0" w:color="auto"/>
            </w:tcBorders>
          </w:tcPr>
          <w:p>
            <w:pPr/>
          </w:p>
        </w:tc>
        <w:tc>
          <w:tcPr>
            <w:tcW w:w="869" w:type="dxa"/>
            <w:tcBorders>
              <w:top w:val="nil" w:sz="6" w:space="0" w:color="auto"/>
              <w:left w:val="nil" w:sz="6" w:space="0" w:color="auto"/>
              <w:bottom w:val="single" w:sz="8" w:space="0" w:color="000000"/>
              <w:right w:val="nil" w:sz="6" w:space="0" w:color="auto"/>
            </w:tcBorders>
          </w:tcPr>
          <w:p>
            <w:pPr/>
          </w:p>
        </w:tc>
        <w:tc>
          <w:tcPr>
            <w:tcW w:w="878" w:type="dxa"/>
            <w:tcBorders>
              <w:top w:val="nil" w:sz="6" w:space="0" w:color="auto"/>
              <w:left w:val="nil" w:sz="6" w:space="0" w:color="auto"/>
              <w:bottom w:val="single" w:sz="8" w:space="0" w:color="000000"/>
              <w:right w:val="nil" w:sz="6" w:space="0" w:color="auto"/>
            </w:tcBorders>
          </w:tcPr>
          <w:p>
            <w:pPr/>
          </w:p>
        </w:tc>
        <w:tc>
          <w:tcPr>
            <w:tcW w:w="890" w:type="dxa"/>
            <w:tcBorders>
              <w:top w:val="nil" w:sz="6" w:space="0" w:color="auto"/>
              <w:left w:val="nil" w:sz="6" w:space="0" w:color="auto"/>
              <w:bottom w:val="single" w:sz="8" w:space="0" w:color="000000"/>
              <w:right w:val="nil" w:sz="6" w:space="0" w:color="auto"/>
            </w:tcBorders>
          </w:tcPr>
          <w:p>
            <w:pPr/>
          </w:p>
        </w:tc>
        <w:tc>
          <w:tcPr>
            <w:tcW w:w="2186" w:type="dxa"/>
            <w:tcBorders>
              <w:top w:val="nil" w:sz="6" w:space="0" w:color="auto"/>
              <w:left w:val="nil" w:sz="6" w:space="0" w:color="auto"/>
              <w:bottom w:val="single" w:sz="8" w:space="0" w:color="000000"/>
              <w:right w:val="nil" w:sz="6" w:space="0" w:color="auto"/>
            </w:tcBorders>
          </w:tcPr>
          <w:p>
            <w:pPr>
              <w:pStyle w:val="TableParagraph"/>
              <w:spacing w:line="240" w:lineRule="auto" w:before="70"/>
              <w:ind w:left="388" w:right="0"/>
              <w:jc w:val="left"/>
              <w:rPr>
                <w:rFonts w:ascii="宋体" w:hAnsi="宋体" w:cs="宋体" w:eastAsia="宋体" w:hint="default"/>
                <w:sz w:val="18"/>
                <w:szCs w:val="18"/>
              </w:rPr>
            </w:pPr>
            <w:r>
              <w:rPr>
                <w:rFonts w:ascii="宋体" w:hAnsi="宋体" w:cs="宋体" w:eastAsia="宋体" w:hint="default"/>
                <w:sz w:val="18"/>
                <w:szCs w:val="18"/>
              </w:rPr>
              <w:t>（金额单位：万元）</w:t>
            </w:r>
          </w:p>
        </w:tc>
      </w:tr>
      <w:tr>
        <w:trPr>
          <w:trHeight w:val="291" w:hRule="exact"/>
        </w:trPr>
        <w:tc>
          <w:tcPr>
            <w:tcW w:w="659" w:type="dxa"/>
            <w:tcBorders>
              <w:top w:val="nil" w:sz="6" w:space="0" w:color="auto"/>
              <w:left w:val="nil" w:sz="6" w:space="0" w:color="auto"/>
              <w:bottom w:val="nil" w:sz="6" w:space="0" w:color="auto"/>
              <w:right w:val="nil" w:sz="6" w:space="0" w:color="auto"/>
            </w:tcBorders>
          </w:tcPr>
          <w:p>
            <w:pPr/>
          </w:p>
        </w:tc>
        <w:tc>
          <w:tcPr>
            <w:tcW w:w="2960" w:type="dxa"/>
            <w:tcBorders>
              <w:top w:val="single" w:sz="8" w:space="0" w:color="000000"/>
              <w:left w:val="nil" w:sz="6" w:space="0" w:color="auto"/>
              <w:bottom w:val="nil" w:sz="6" w:space="0" w:color="auto"/>
              <w:right w:val="nil" w:sz="6" w:space="0" w:color="auto"/>
            </w:tcBorders>
          </w:tcPr>
          <w:p>
            <w:pPr/>
          </w:p>
        </w:tc>
        <w:tc>
          <w:tcPr>
            <w:tcW w:w="888" w:type="dxa"/>
            <w:tcBorders>
              <w:top w:val="single" w:sz="8" w:space="0" w:color="000000"/>
              <w:left w:val="nil" w:sz="6" w:space="0" w:color="auto"/>
              <w:bottom w:val="nil" w:sz="6" w:space="0" w:color="auto"/>
              <w:right w:val="nil" w:sz="6" w:space="0" w:color="auto"/>
            </w:tcBorders>
          </w:tcPr>
          <w:p>
            <w:pPr/>
          </w:p>
        </w:tc>
        <w:tc>
          <w:tcPr>
            <w:tcW w:w="1174" w:type="dxa"/>
            <w:tcBorders>
              <w:top w:val="single" w:sz="8" w:space="0" w:color="000000"/>
              <w:left w:val="nil" w:sz="6" w:space="0" w:color="auto"/>
              <w:bottom w:val="nil" w:sz="6" w:space="0" w:color="auto"/>
              <w:right w:val="nil" w:sz="6" w:space="0" w:color="auto"/>
            </w:tcBorders>
          </w:tcPr>
          <w:p>
            <w:pPr/>
          </w:p>
        </w:tc>
        <w:tc>
          <w:tcPr>
            <w:tcW w:w="650" w:type="dxa"/>
            <w:tcBorders>
              <w:top w:val="single" w:sz="8" w:space="0" w:color="000000"/>
              <w:left w:val="nil" w:sz="6" w:space="0" w:color="auto"/>
              <w:bottom w:val="nil" w:sz="6" w:space="0" w:color="auto"/>
              <w:right w:val="nil" w:sz="6" w:space="0" w:color="auto"/>
            </w:tcBorders>
          </w:tcPr>
          <w:p>
            <w:pPr/>
          </w:p>
        </w:tc>
        <w:tc>
          <w:tcPr>
            <w:tcW w:w="829" w:type="dxa"/>
            <w:tcBorders>
              <w:top w:val="single" w:sz="8" w:space="0" w:color="000000"/>
              <w:left w:val="nil" w:sz="6" w:space="0" w:color="auto"/>
              <w:bottom w:val="nil" w:sz="6" w:space="0" w:color="auto"/>
              <w:right w:val="nil" w:sz="6" w:space="0" w:color="auto"/>
            </w:tcBorders>
          </w:tcPr>
          <w:p>
            <w:pPr/>
          </w:p>
        </w:tc>
        <w:tc>
          <w:tcPr>
            <w:tcW w:w="1176" w:type="dxa"/>
            <w:tcBorders>
              <w:top w:val="single" w:sz="8" w:space="0" w:color="000000"/>
              <w:left w:val="nil" w:sz="6" w:space="0" w:color="auto"/>
              <w:bottom w:val="nil" w:sz="6" w:space="0" w:color="auto"/>
              <w:right w:val="nil" w:sz="6" w:space="0" w:color="auto"/>
            </w:tcBorders>
          </w:tcPr>
          <w:p>
            <w:pPr>
              <w:pStyle w:val="TableParagraph"/>
              <w:spacing w:line="240" w:lineRule="auto" w:before="82"/>
              <w:ind w:right="149"/>
              <w:jc w:val="right"/>
              <w:rPr>
                <w:rFonts w:ascii="宋体" w:hAnsi="宋体" w:cs="宋体" w:eastAsia="宋体" w:hint="default"/>
                <w:sz w:val="13"/>
                <w:szCs w:val="13"/>
              </w:rPr>
            </w:pPr>
            <w:r>
              <w:rPr>
                <w:rFonts w:ascii="宋体" w:hAnsi="宋体" w:cs="宋体" w:eastAsia="宋体" w:hint="default"/>
                <w:w w:val="95"/>
                <w:sz w:val="13"/>
                <w:szCs w:val="13"/>
              </w:rPr>
              <w:t>本企业在被投资</w:t>
            </w:r>
            <w:r>
              <w:rPr>
                <w:rFonts w:ascii="宋体" w:hAnsi="宋体" w:cs="宋体" w:eastAsia="宋体" w:hint="default"/>
                <w:sz w:val="13"/>
                <w:szCs w:val="13"/>
              </w:rPr>
            </w:r>
          </w:p>
        </w:tc>
        <w:tc>
          <w:tcPr>
            <w:tcW w:w="868" w:type="dxa"/>
            <w:tcBorders>
              <w:top w:val="single" w:sz="8" w:space="0" w:color="000000"/>
              <w:left w:val="nil" w:sz="6" w:space="0" w:color="auto"/>
              <w:bottom w:val="nil" w:sz="6" w:space="0" w:color="auto"/>
              <w:right w:val="nil" w:sz="6" w:space="0" w:color="auto"/>
            </w:tcBorders>
          </w:tcPr>
          <w:p>
            <w:pPr/>
          </w:p>
        </w:tc>
        <w:tc>
          <w:tcPr>
            <w:tcW w:w="869" w:type="dxa"/>
            <w:tcBorders>
              <w:top w:val="single" w:sz="8" w:space="0" w:color="000000"/>
              <w:left w:val="nil" w:sz="6" w:space="0" w:color="auto"/>
              <w:bottom w:val="nil" w:sz="6" w:space="0" w:color="auto"/>
              <w:right w:val="nil" w:sz="6" w:space="0" w:color="auto"/>
            </w:tcBorders>
          </w:tcPr>
          <w:p>
            <w:pPr/>
          </w:p>
        </w:tc>
        <w:tc>
          <w:tcPr>
            <w:tcW w:w="878" w:type="dxa"/>
            <w:tcBorders>
              <w:top w:val="single" w:sz="8" w:space="0" w:color="000000"/>
              <w:left w:val="nil" w:sz="6" w:space="0" w:color="auto"/>
              <w:bottom w:val="nil" w:sz="6" w:space="0" w:color="auto"/>
              <w:right w:val="nil" w:sz="6" w:space="0" w:color="auto"/>
            </w:tcBorders>
          </w:tcPr>
          <w:p>
            <w:pPr/>
          </w:p>
        </w:tc>
        <w:tc>
          <w:tcPr>
            <w:tcW w:w="890" w:type="dxa"/>
            <w:tcBorders>
              <w:top w:val="single" w:sz="8" w:space="0" w:color="000000"/>
              <w:left w:val="nil" w:sz="6" w:space="0" w:color="auto"/>
              <w:bottom w:val="nil" w:sz="6" w:space="0" w:color="auto"/>
              <w:right w:val="nil" w:sz="6" w:space="0" w:color="auto"/>
            </w:tcBorders>
          </w:tcPr>
          <w:p>
            <w:pPr/>
          </w:p>
        </w:tc>
        <w:tc>
          <w:tcPr>
            <w:tcW w:w="2186" w:type="dxa"/>
            <w:tcBorders>
              <w:top w:val="single" w:sz="8" w:space="0" w:color="000000"/>
              <w:left w:val="nil" w:sz="6" w:space="0" w:color="auto"/>
              <w:bottom w:val="nil" w:sz="6" w:space="0" w:color="auto"/>
              <w:right w:val="nil" w:sz="6" w:space="0" w:color="auto"/>
            </w:tcBorders>
          </w:tcPr>
          <w:p>
            <w:pPr/>
          </w:p>
        </w:tc>
      </w:tr>
      <w:tr>
        <w:trPr>
          <w:trHeight w:val="187" w:hRule="exact"/>
        </w:trPr>
        <w:tc>
          <w:tcPr>
            <w:tcW w:w="659" w:type="dxa"/>
            <w:tcBorders>
              <w:top w:val="nil" w:sz="6" w:space="0" w:color="auto"/>
              <w:left w:val="nil" w:sz="6" w:space="0" w:color="auto"/>
              <w:bottom w:val="nil" w:sz="6" w:space="0" w:color="auto"/>
              <w:right w:val="nil" w:sz="6" w:space="0" w:color="auto"/>
            </w:tcBorders>
          </w:tcPr>
          <w:p>
            <w:pPr/>
          </w:p>
        </w:tc>
        <w:tc>
          <w:tcPr>
            <w:tcW w:w="2960" w:type="dxa"/>
            <w:tcBorders>
              <w:top w:val="nil" w:sz="6" w:space="0" w:color="auto"/>
              <w:left w:val="nil" w:sz="6" w:space="0" w:color="auto"/>
              <w:bottom w:val="nil" w:sz="6" w:space="0" w:color="auto"/>
              <w:right w:val="nil" w:sz="6" w:space="0" w:color="auto"/>
            </w:tcBorders>
          </w:tcPr>
          <w:p>
            <w:pPr>
              <w:pStyle w:val="TableParagraph"/>
              <w:tabs>
                <w:tab w:pos="627" w:val="left" w:leader="none"/>
              </w:tabs>
              <w:spacing w:line="158" w:lineRule="exact"/>
              <w:ind w:right="123"/>
              <w:jc w:val="right"/>
              <w:rPr>
                <w:rFonts w:ascii="宋体" w:hAnsi="宋体" w:cs="宋体" w:eastAsia="宋体" w:hint="default"/>
                <w:sz w:val="13"/>
                <w:szCs w:val="13"/>
              </w:rPr>
            </w:pPr>
            <w:r>
              <w:rPr>
                <w:rFonts w:ascii="宋体" w:hAnsi="宋体" w:cs="宋体" w:eastAsia="宋体" w:hint="default"/>
                <w:w w:val="95"/>
                <w:sz w:val="13"/>
                <w:szCs w:val="13"/>
              </w:rPr>
              <w:t>企业类</w:t>
              <w:tab/>
              <w:t>注册</w:t>
            </w:r>
            <w:r>
              <w:rPr>
                <w:rFonts w:ascii="宋体" w:hAnsi="宋体" w:cs="宋体" w:eastAsia="宋体" w:hint="default"/>
                <w:sz w:val="13"/>
                <w:szCs w:val="13"/>
              </w:rPr>
            </w:r>
          </w:p>
        </w:tc>
        <w:tc>
          <w:tcPr>
            <w:tcW w:w="888"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650" w:type="dxa"/>
            <w:tcBorders>
              <w:top w:val="nil" w:sz="6" w:space="0" w:color="auto"/>
              <w:left w:val="nil" w:sz="6" w:space="0" w:color="auto"/>
              <w:bottom w:val="nil" w:sz="6" w:space="0" w:color="auto"/>
              <w:right w:val="nil" w:sz="6" w:space="0" w:color="auto"/>
            </w:tcBorders>
          </w:tcPr>
          <w:p>
            <w:pPr>
              <w:pStyle w:val="TableParagraph"/>
              <w:spacing w:line="158" w:lineRule="exact"/>
              <w:ind w:right="132"/>
              <w:jc w:val="right"/>
              <w:rPr>
                <w:rFonts w:ascii="宋体" w:hAnsi="宋体" w:cs="宋体" w:eastAsia="宋体" w:hint="default"/>
                <w:sz w:val="13"/>
                <w:szCs w:val="13"/>
              </w:rPr>
            </w:pPr>
            <w:r>
              <w:rPr>
                <w:rFonts w:ascii="宋体" w:hAnsi="宋体" w:cs="宋体" w:eastAsia="宋体" w:hint="default"/>
                <w:w w:val="95"/>
                <w:sz w:val="13"/>
                <w:szCs w:val="13"/>
              </w:rPr>
              <w:t>注册资</w:t>
            </w:r>
            <w:r>
              <w:rPr>
                <w:rFonts w:ascii="宋体" w:hAnsi="宋体" w:cs="宋体" w:eastAsia="宋体" w:hint="default"/>
                <w:sz w:val="13"/>
                <w:szCs w:val="13"/>
              </w:rPr>
            </w:r>
          </w:p>
        </w:tc>
        <w:tc>
          <w:tcPr>
            <w:tcW w:w="829" w:type="dxa"/>
            <w:tcBorders>
              <w:top w:val="nil" w:sz="6" w:space="0" w:color="auto"/>
              <w:left w:val="nil" w:sz="6" w:space="0" w:color="auto"/>
              <w:bottom w:val="nil" w:sz="6" w:space="0" w:color="auto"/>
              <w:right w:val="nil" w:sz="6" w:space="0" w:color="auto"/>
            </w:tcBorders>
          </w:tcPr>
          <w:p>
            <w:pPr>
              <w:pStyle w:val="TableParagraph"/>
              <w:spacing w:line="158" w:lineRule="exact"/>
              <w:ind w:right="173"/>
              <w:jc w:val="right"/>
              <w:rPr>
                <w:rFonts w:ascii="宋体" w:hAnsi="宋体" w:cs="宋体" w:eastAsia="宋体" w:hint="default"/>
                <w:sz w:val="13"/>
                <w:szCs w:val="13"/>
              </w:rPr>
            </w:pPr>
            <w:r>
              <w:rPr>
                <w:rFonts w:ascii="宋体" w:hAnsi="宋体" w:cs="宋体" w:eastAsia="宋体" w:hint="default"/>
                <w:w w:val="95"/>
                <w:sz w:val="13"/>
                <w:szCs w:val="13"/>
              </w:rPr>
              <w:t>本企业持</w:t>
            </w:r>
            <w:r>
              <w:rPr>
                <w:rFonts w:ascii="宋体" w:hAnsi="宋体" w:cs="宋体" w:eastAsia="宋体" w:hint="default"/>
                <w:sz w:val="13"/>
                <w:szCs w:val="13"/>
              </w:rPr>
            </w:r>
          </w:p>
        </w:tc>
        <w:tc>
          <w:tcPr>
            <w:tcW w:w="1176"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Style w:val="TableParagraph"/>
              <w:spacing w:line="158" w:lineRule="exact"/>
              <w:ind w:right="18"/>
              <w:jc w:val="center"/>
              <w:rPr>
                <w:rFonts w:ascii="宋体" w:hAnsi="宋体" w:cs="宋体" w:eastAsia="宋体" w:hint="default"/>
                <w:sz w:val="13"/>
                <w:szCs w:val="13"/>
              </w:rPr>
            </w:pPr>
            <w:r>
              <w:rPr>
                <w:rFonts w:ascii="宋体" w:hAnsi="宋体" w:cs="宋体" w:eastAsia="宋体" w:hint="default"/>
                <w:sz w:val="13"/>
                <w:szCs w:val="13"/>
              </w:rPr>
              <w:t>期末资产总</w:t>
            </w:r>
          </w:p>
        </w:tc>
        <w:tc>
          <w:tcPr>
            <w:tcW w:w="869" w:type="dxa"/>
            <w:tcBorders>
              <w:top w:val="nil" w:sz="6" w:space="0" w:color="auto"/>
              <w:left w:val="nil" w:sz="6" w:space="0" w:color="auto"/>
              <w:bottom w:val="nil" w:sz="6" w:space="0" w:color="auto"/>
              <w:right w:val="nil" w:sz="6" w:space="0" w:color="auto"/>
            </w:tcBorders>
          </w:tcPr>
          <w:p>
            <w:pPr>
              <w:pStyle w:val="TableParagraph"/>
              <w:spacing w:line="158" w:lineRule="exact"/>
              <w:ind w:right="118"/>
              <w:jc w:val="right"/>
              <w:rPr>
                <w:rFonts w:ascii="宋体" w:hAnsi="宋体" w:cs="宋体" w:eastAsia="宋体" w:hint="default"/>
                <w:sz w:val="13"/>
                <w:szCs w:val="13"/>
              </w:rPr>
            </w:pPr>
            <w:r>
              <w:rPr>
                <w:rFonts w:ascii="宋体" w:hAnsi="宋体" w:cs="宋体" w:eastAsia="宋体" w:hint="default"/>
                <w:w w:val="95"/>
                <w:sz w:val="13"/>
                <w:szCs w:val="13"/>
              </w:rPr>
              <w:t>期末负债总</w:t>
            </w:r>
            <w:r>
              <w:rPr>
                <w:rFonts w:ascii="宋体" w:hAnsi="宋体" w:cs="宋体" w:eastAsia="宋体" w:hint="default"/>
                <w:sz w:val="13"/>
                <w:szCs w:val="13"/>
              </w:rPr>
            </w:r>
          </w:p>
        </w:tc>
        <w:tc>
          <w:tcPr>
            <w:tcW w:w="878" w:type="dxa"/>
            <w:tcBorders>
              <w:top w:val="nil" w:sz="6" w:space="0" w:color="auto"/>
              <w:left w:val="nil" w:sz="6" w:space="0" w:color="auto"/>
              <w:bottom w:val="nil" w:sz="6" w:space="0" w:color="auto"/>
              <w:right w:val="nil" w:sz="6" w:space="0" w:color="auto"/>
            </w:tcBorders>
          </w:tcPr>
          <w:p>
            <w:pPr>
              <w:pStyle w:val="TableParagraph"/>
              <w:spacing w:line="158" w:lineRule="exact"/>
              <w:ind w:right="126"/>
              <w:jc w:val="right"/>
              <w:rPr>
                <w:rFonts w:ascii="宋体" w:hAnsi="宋体" w:cs="宋体" w:eastAsia="宋体" w:hint="default"/>
                <w:sz w:val="13"/>
                <w:szCs w:val="13"/>
              </w:rPr>
            </w:pPr>
            <w:r>
              <w:rPr>
                <w:rFonts w:ascii="宋体" w:hAnsi="宋体" w:cs="宋体" w:eastAsia="宋体" w:hint="default"/>
                <w:w w:val="95"/>
                <w:sz w:val="13"/>
                <w:szCs w:val="13"/>
              </w:rPr>
              <w:t>期末净资产</w:t>
            </w:r>
            <w:r>
              <w:rPr>
                <w:rFonts w:ascii="宋体" w:hAnsi="宋体" w:cs="宋体" w:eastAsia="宋体" w:hint="default"/>
                <w:sz w:val="13"/>
                <w:szCs w:val="13"/>
              </w:rPr>
            </w:r>
          </w:p>
        </w:tc>
        <w:tc>
          <w:tcPr>
            <w:tcW w:w="890" w:type="dxa"/>
            <w:tcBorders>
              <w:top w:val="nil" w:sz="6" w:space="0" w:color="auto"/>
              <w:left w:val="nil" w:sz="6" w:space="0" w:color="auto"/>
              <w:bottom w:val="nil" w:sz="6" w:space="0" w:color="auto"/>
              <w:right w:val="nil" w:sz="6" w:space="0" w:color="auto"/>
            </w:tcBorders>
          </w:tcPr>
          <w:p>
            <w:pPr>
              <w:pStyle w:val="TableParagraph"/>
              <w:spacing w:line="158" w:lineRule="exact"/>
              <w:ind w:right="134"/>
              <w:jc w:val="right"/>
              <w:rPr>
                <w:rFonts w:ascii="宋体" w:hAnsi="宋体" w:cs="宋体" w:eastAsia="宋体" w:hint="default"/>
                <w:sz w:val="13"/>
                <w:szCs w:val="13"/>
              </w:rPr>
            </w:pPr>
            <w:r>
              <w:rPr>
                <w:rFonts w:ascii="宋体" w:hAnsi="宋体" w:cs="宋体" w:eastAsia="宋体" w:hint="default"/>
                <w:w w:val="95"/>
                <w:sz w:val="13"/>
                <w:szCs w:val="13"/>
              </w:rPr>
              <w:t>本期营业收</w:t>
            </w:r>
            <w:r>
              <w:rPr>
                <w:rFonts w:ascii="宋体" w:hAnsi="宋体" w:cs="宋体" w:eastAsia="宋体" w:hint="default"/>
                <w:sz w:val="13"/>
                <w:szCs w:val="13"/>
              </w:rPr>
            </w:r>
          </w:p>
        </w:tc>
        <w:tc>
          <w:tcPr>
            <w:tcW w:w="2186" w:type="dxa"/>
            <w:tcBorders>
              <w:top w:val="nil" w:sz="6" w:space="0" w:color="auto"/>
              <w:left w:val="nil" w:sz="6" w:space="0" w:color="auto"/>
              <w:bottom w:val="nil" w:sz="6" w:space="0" w:color="auto"/>
              <w:right w:val="nil" w:sz="6" w:space="0" w:color="auto"/>
            </w:tcBorders>
          </w:tcPr>
          <w:p>
            <w:pPr>
              <w:pStyle w:val="TableParagraph"/>
              <w:tabs>
                <w:tab w:pos="921" w:val="left" w:leader="none"/>
                <w:tab w:pos="1442" w:val="left" w:leader="none"/>
              </w:tabs>
              <w:spacing w:line="158" w:lineRule="exact"/>
              <w:ind w:left="121" w:right="0"/>
              <w:jc w:val="left"/>
              <w:rPr>
                <w:rFonts w:ascii="宋体" w:hAnsi="宋体" w:cs="宋体" w:eastAsia="宋体" w:hint="default"/>
                <w:sz w:val="13"/>
                <w:szCs w:val="13"/>
              </w:rPr>
            </w:pPr>
            <w:r>
              <w:rPr>
                <w:rFonts w:ascii="宋体" w:hAnsi="宋体" w:cs="宋体" w:eastAsia="宋体" w:hint="default"/>
                <w:w w:val="95"/>
                <w:sz w:val="13"/>
                <w:szCs w:val="13"/>
              </w:rPr>
              <w:t>本期净利</w:t>
              <w:tab/>
              <w:t>关联</w:t>
              <w:tab/>
            </w:r>
            <w:r>
              <w:rPr>
                <w:rFonts w:ascii="宋体" w:hAnsi="宋体" w:cs="宋体" w:eastAsia="宋体" w:hint="default"/>
                <w:sz w:val="13"/>
                <w:szCs w:val="13"/>
              </w:rPr>
              <w:t>组织机构代</w:t>
            </w:r>
          </w:p>
        </w:tc>
      </w:tr>
      <w:tr>
        <w:trPr>
          <w:trHeight w:val="187" w:hRule="exact"/>
        </w:trPr>
        <w:tc>
          <w:tcPr>
            <w:tcW w:w="659" w:type="dxa"/>
            <w:tcBorders>
              <w:top w:val="nil" w:sz="6" w:space="0" w:color="auto"/>
              <w:left w:val="nil" w:sz="6" w:space="0" w:color="auto"/>
              <w:bottom w:val="nil" w:sz="6" w:space="0" w:color="auto"/>
              <w:right w:val="nil" w:sz="6" w:space="0" w:color="auto"/>
            </w:tcBorders>
          </w:tcPr>
          <w:p>
            <w:pPr/>
          </w:p>
        </w:tc>
        <w:tc>
          <w:tcPr>
            <w:tcW w:w="2960" w:type="dxa"/>
            <w:tcBorders>
              <w:top w:val="nil" w:sz="6" w:space="0" w:color="auto"/>
              <w:left w:val="nil" w:sz="6" w:space="0" w:color="auto"/>
              <w:bottom w:val="nil" w:sz="6" w:space="0" w:color="auto"/>
              <w:right w:val="nil" w:sz="6" w:space="0" w:color="auto"/>
            </w:tcBorders>
          </w:tcPr>
          <w:p>
            <w:pPr>
              <w:pStyle w:val="TableParagraph"/>
              <w:spacing w:line="158" w:lineRule="exact"/>
              <w:ind w:left="464" w:right="0"/>
              <w:jc w:val="left"/>
              <w:rPr>
                <w:rFonts w:ascii="宋体" w:hAnsi="宋体" w:cs="宋体" w:eastAsia="宋体" w:hint="default"/>
                <w:sz w:val="13"/>
                <w:szCs w:val="13"/>
              </w:rPr>
            </w:pPr>
            <w:r>
              <w:rPr>
                <w:rFonts w:ascii="宋体" w:hAnsi="宋体" w:cs="宋体" w:eastAsia="宋体" w:hint="default"/>
                <w:sz w:val="13"/>
                <w:szCs w:val="13"/>
              </w:rPr>
              <w:t>被投资单位名称</w:t>
            </w:r>
          </w:p>
        </w:tc>
        <w:tc>
          <w:tcPr>
            <w:tcW w:w="888" w:type="dxa"/>
            <w:tcBorders>
              <w:top w:val="nil" w:sz="6" w:space="0" w:color="auto"/>
              <w:left w:val="nil" w:sz="6" w:space="0" w:color="auto"/>
              <w:bottom w:val="nil" w:sz="6" w:space="0" w:color="auto"/>
              <w:right w:val="nil" w:sz="6" w:space="0" w:color="auto"/>
            </w:tcBorders>
          </w:tcPr>
          <w:p>
            <w:pPr>
              <w:pStyle w:val="TableParagraph"/>
              <w:spacing w:line="158" w:lineRule="exact"/>
              <w:ind w:left="202" w:right="0"/>
              <w:jc w:val="left"/>
              <w:rPr>
                <w:rFonts w:ascii="宋体" w:hAnsi="宋体" w:cs="宋体" w:eastAsia="宋体" w:hint="default"/>
                <w:sz w:val="13"/>
                <w:szCs w:val="13"/>
              </w:rPr>
            </w:pPr>
            <w:r>
              <w:rPr>
                <w:rFonts w:ascii="宋体" w:hAnsi="宋体" w:cs="宋体" w:eastAsia="宋体" w:hint="default"/>
                <w:sz w:val="13"/>
                <w:szCs w:val="13"/>
              </w:rPr>
              <w:t>法人代表</w:t>
            </w:r>
          </w:p>
        </w:tc>
        <w:tc>
          <w:tcPr>
            <w:tcW w:w="1174" w:type="dxa"/>
            <w:tcBorders>
              <w:top w:val="nil" w:sz="6" w:space="0" w:color="auto"/>
              <w:left w:val="nil" w:sz="6" w:space="0" w:color="auto"/>
              <w:bottom w:val="nil" w:sz="6" w:space="0" w:color="auto"/>
              <w:right w:val="nil" w:sz="6" w:space="0" w:color="auto"/>
            </w:tcBorders>
          </w:tcPr>
          <w:p>
            <w:pPr>
              <w:pStyle w:val="TableParagraph"/>
              <w:spacing w:line="158" w:lineRule="exact"/>
              <w:ind w:left="357" w:right="0"/>
              <w:jc w:val="left"/>
              <w:rPr>
                <w:rFonts w:ascii="宋体" w:hAnsi="宋体" w:cs="宋体" w:eastAsia="宋体" w:hint="default"/>
                <w:sz w:val="13"/>
                <w:szCs w:val="13"/>
              </w:rPr>
            </w:pPr>
            <w:r>
              <w:rPr>
                <w:rFonts w:ascii="宋体" w:hAnsi="宋体" w:cs="宋体" w:eastAsia="宋体" w:hint="default"/>
                <w:sz w:val="13"/>
                <w:szCs w:val="13"/>
              </w:rPr>
              <w:t>业务性质</w:t>
            </w:r>
          </w:p>
        </w:tc>
        <w:tc>
          <w:tcPr>
            <w:tcW w:w="650" w:type="dxa"/>
            <w:tcBorders>
              <w:top w:val="nil" w:sz="6" w:space="0" w:color="auto"/>
              <w:left w:val="nil" w:sz="6" w:space="0" w:color="auto"/>
              <w:bottom w:val="nil" w:sz="6" w:space="0" w:color="auto"/>
              <w:right w:val="nil" w:sz="6" w:space="0" w:color="auto"/>
            </w:tcBorders>
          </w:tcPr>
          <w:p>
            <w:pPr/>
          </w:p>
        </w:tc>
        <w:tc>
          <w:tcPr>
            <w:tcW w:w="829"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158" w:lineRule="exact"/>
              <w:ind w:right="149"/>
              <w:jc w:val="right"/>
              <w:rPr>
                <w:rFonts w:ascii="宋体" w:hAnsi="宋体" w:cs="宋体" w:eastAsia="宋体" w:hint="default"/>
                <w:sz w:val="13"/>
                <w:szCs w:val="13"/>
              </w:rPr>
            </w:pPr>
            <w:r>
              <w:rPr>
                <w:rFonts w:ascii="宋体" w:hAnsi="宋体" w:cs="宋体" w:eastAsia="宋体" w:hint="default"/>
                <w:w w:val="95"/>
                <w:sz w:val="13"/>
                <w:szCs w:val="13"/>
              </w:rPr>
              <w:t>单位表决权比例</w:t>
            </w:r>
            <w:r>
              <w:rPr>
                <w:rFonts w:ascii="宋体" w:hAnsi="宋体" w:cs="宋体" w:eastAsia="宋体" w:hint="default"/>
                <w:sz w:val="13"/>
                <w:szCs w:val="13"/>
              </w:rPr>
            </w:r>
          </w:p>
        </w:tc>
        <w:tc>
          <w:tcPr>
            <w:tcW w:w="868"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
        </w:tc>
        <w:tc>
          <w:tcPr>
            <w:tcW w:w="2186" w:type="dxa"/>
            <w:tcBorders>
              <w:top w:val="nil" w:sz="6" w:space="0" w:color="auto"/>
              <w:left w:val="nil" w:sz="6" w:space="0" w:color="auto"/>
              <w:bottom w:val="nil" w:sz="6" w:space="0" w:color="auto"/>
              <w:right w:val="nil" w:sz="6" w:space="0" w:color="auto"/>
            </w:tcBorders>
          </w:tcPr>
          <w:p>
            <w:pPr/>
          </w:p>
        </w:tc>
      </w:tr>
      <w:tr>
        <w:trPr>
          <w:trHeight w:val="194" w:hRule="exact"/>
        </w:trPr>
        <w:tc>
          <w:tcPr>
            <w:tcW w:w="659" w:type="dxa"/>
            <w:tcBorders>
              <w:top w:val="nil" w:sz="6" w:space="0" w:color="auto"/>
              <w:left w:val="nil" w:sz="6" w:space="0" w:color="auto"/>
              <w:bottom w:val="nil" w:sz="6" w:space="0" w:color="auto"/>
              <w:right w:val="nil" w:sz="6" w:space="0" w:color="auto"/>
            </w:tcBorders>
          </w:tcPr>
          <w:p>
            <w:pPr/>
          </w:p>
        </w:tc>
        <w:tc>
          <w:tcPr>
            <w:tcW w:w="2960" w:type="dxa"/>
            <w:tcBorders>
              <w:top w:val="nil" w:sz="6" w:space="0" w:color="auto"/>
              <w:left w:val="nil" w:sz="6" w:space="0" w:color="auto"/>
              <w:bottom w:val="nil" w:sz="6" w:space="0" w:color="auto"/>
              <w:right w:val="nil" w:sz="6" w:space="0" w:color="auto"/>
            </w:tcBorders>
          </w:tcPr>
          <w:p>
            <w:pPr>
              <w:pStyle w:val="TableParagraph"/>
              <w:tabs>
                <w:tab w:pos="561" w:val="left" w:leader="none"/>
              </w:tabs>
              <w:spacing w:line="158" w:lineRule="exact"/>
              <w:ind w:right="188"/>
              <w:jc w:val="right"/>
              <w:rPr>
                <w:rFonts w:ascii="宋体" w:hAnsi="宋体" w:cs="宋体" w:eastAsia="宋体" w:hint="default"/>
                <w:sz w:val="13"/>
                <w:szCs w:val="13"/>
              </w:rPr>
            </w:pPr>
            <w:r>
              <w:rPr>
                <w:rFonts w:ascii="宋体" w:hAnsi="宋体" w:cs="宋体" w:eastAsia="宋体" w:hint="default"/>
                <w:w w:val="95"/>
                <w:sz w:val="13"/>
                <w:szCs w:val="13"/>
              </w:rPr>
              <w:t>型</w:t>
              <w:tab/>
              <w:t>地</w:t>
            </w:r>
            <w:r>
              <w:rPr>
                <w:rFonts w:ascii="宋体" w:hAnsi="宋体" w:cs="宋体" w:eastAsia="宋体" w:hint="default"/>
                <w:sz w:val="13"/>
                <w:szCs w:val="13"/>
              </w:rPr>
            </w:r>
          </w:p>
        </w:tc>
        <w:tc>
          <w:tcPr>
            <w:tcW w:w="888"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650" w:type="dxa"/>
            <w:tcBorders>
              <w:top w:val="nil" w:sz="6" w:space="0" w:color="auto"/>
              <w:left w:val="nil" w:sz="6" w:space="0" w:color="auto"/>
              <w:bottom w:val="nil" w:sz="6" w:space="0" w:color="auto"/>
              <w:right w:val="nil" w:sz="6" w:space="0" w:color="auto"/>
            </w:tcBorders>
          </w:tcPr>
          <w:p>
            <w:pPr>
              <w:pStyle w:val="TableParagraph"/>
              <w:spacing w:line="158" w:lineRule="exact"/>
              <w:ind w:right="3"/>
              <w:jc w:val="center"/>
              <w:rPr>
                <w:rFonts w:ascii="宋体" w:hAnsi="宋体" w:cs="宋体" w:eastAsia="宋体" w:hint="default"/>
                <w:sz w:val="13"/>
                <w:szCs w:val="13"/>
              </w:rPr>
            </w:pPr>
            <w:r>
              <w:rPr>
                <w:rFonts w:ascii="宋体" w:hAnsi="宋体" w:cs="宋体" w:eastAsia="宋体" w:hint="default"/>
                <w:w w:val="99"/>
                <w:sz w:val="13"/>
                <w:szCs w:val="13"/>
              </w:rPr>
              <w:t>本</w:t>
            </w:r>
            <w:r>
              <w:rPr>
                <w:rFonts w:ascii="宋体" w:hAnsi="宋体" w:cs="宋体" w:eastAsia="宋体" w:hint="default"/>
                <w:sz w:val="13"/>
                <w:szCs w:val="13"/>
              </w:rPr>
            </w:r>
          </w:p>
        </w:tc>
        <w:tc>
          <w:tcPr>
            <w:tcW w:w="829" w:type="dxa"/>
            <w:tcBorders>
              <w:top w:val="nil" w:sz="6" w:space="0" w:color="auto"/>
              <w:left w:val="nil" w:sz="6" w:space="0" w:color="auto"/>
              <w:bottom w:val="nil" w:sz="6" w:space="0" w:color="auto"/>
              <w:right w:val="nil" w:sz="6" w:space="0" w:color="auto"/>
            </w:tcBorders>
          </w:tcPr>
          <w:p>
            <w:pPr>
              <w:pStyle w:val="TableParagraph"/>
              <w:spacing w:line="168" w:lineRule="exact"/>
              <w:ind w:right="140"/>
              <w:jc w:val="right"/>
              <w:rPr>
                <w:rFonts w:ascii="Times New Roman" w:hAnsi="Times New Roman" w:cs="Times New Roman" w:eastAsia="Times New Roman" w:hint="default"/>
                <w:sz w:val="13"/>
                <w:szCs w:val="13"/>
              </w:rPr>
            </w:pPr>
            <w:r>
              <w:rPr>
                <w:rFonts w:ascii="宋体" w:hAnsi="宋体" w:cs="宋体" w:eastAsia="宋体" w:hint="default"/>
                <w:w w:val="95"/>
                <w:sz w:val="13"/>
                <w:szCs w:val="13"/>
              </w:rPr>
              <w:t>股比例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c>
        <w:tc>
          <w:tcPr>
            <w:tcW w:w="1176"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Style w:val="TableParagraph"/>
              <w:spacing w:line="158" w:lineRule="exact"/>
              <w:ind w:right="17"/>
              <w:jc w:val="center"/>
              <w:rPr>
                <w:rFonts w:ascii="宋体" w:hAnsi="宋体" w:cs="宋体" w:eastAsia="宋体" w:hint="default"/>
                <w:sz w:val="13"/>
                <w:szCs w:val="13"/>
              </w:rPr>
            </w:pPr>
            <w:r>
              <w:rPr>
                <w:rFonts w:ascii="宋体" w:hAnsi="宋体" w:cs="宋体" w:eastAsia="宋体" w:hint="default"/>
                <w:w w:val="99"/>
                <w:sz w:val="13"/>
                <w:szCs w:val="13"/>
              </w:rPr>
              <w:t>额</w:t>
            </w:r>
            <w:r>
              <w:rPr>
                <w:rFonts w:ascii="宋体" w:hAnsi="宋体" w:cs="宋体" w:eastAsia="宋体" w:hint="default"/>
                <w:sz w:val="13"/>
                <w:szCs w:val="13"/>
              </w:rPr>
            </w:r>
          </w:p>
        </w:tc>
        <w:tc>
          <w:tcPr>
            <w:tcW w:w="869" w:type="dxa"/>
            <w:tcBorders>
              <w:top w:val="nil" w:sz="6" w:space="0" w:color="auto"/>
              <w:left w:val="nil" w:sz="6" w:space="0" w:color="auto"/>
              <w:bottom w:val="nil" w:sz="6" w:space="0" w:color="auto"/>
              <w:right w:val="nil" w:sz="6" w:space="0" w:color="auto"/>
            </w:tcBorders>
          </w:tcPr>
          <w:p>
            <w:pPr>
              <w:pStyle w:val="TableParagraph"/>
              <w:spacing w:line="158" w:lineRule="exact"/>
              <w:ind w:right="18"/>
              <w:jc w:val="center"/>
              <w:rPr>
                <w:rFonts w:ascii="宋体" w:hAnsi="宋体" w:cs="宋体" w:eastAsia="宋体" w:hint="default"/>
                <w:sz w:val="13"/>
                <w:szCs w:val="13"/>
              </w:rPr>
            </w:pPr>
            <w:r>
              <w:rPr>
                <w:rFonts w:ascii="宋体" w:hAnsi="宋体" w:cs="宋体" w:eastAsia="宋体" w:hint="default"/>
                <w:w w:val="99"/>
                <w:sz w:val="13"/>
                <w:szCs w:val="13"/>
              </w:rPr>
              <w:t>额</w:t>
            </w:r>
            <w:r>
              <w:rPr>
                <w:rFonts w:ascii="宋体" w:hAnsi="宋体" w:cs="宋体" w:eastAsia="宋体" w:hint="default"/>
                <w:sz w:val="13"/>
                <w:szCs w:val="13"/>
              </w:rPr>
            </w:r>
          </w:p>
        </w:tc>
        <w:tc>
          <w:tcPr>
            <w:tcW w:w="878" w:type="dxa"/>
            <w:tcBorders>
              <w:top w:val="nil" w:sz="6" w:space="0" w:color="auto"/>
              <w:left w:val="nil" w:sz="6" w:space="0" w:color="auto"/>
              <w:bottom w:val="nil" w:sz="6" w:space="0" w:color="auto"/>
              <w:right w:val="nil" w:sz="6" w:space="0" w:color="auto"/>
            </w:tcBorders>
          </w:tcPr>
          <w:p>
            <w:pPr>
              <w:pStyle w:val="TableParagraph"/>
              <w:spacing w:line="158" w:lineRule="exact"/>
              <w:ind w:right="26"/>
              <w:jc w:val="center"/>
              <w:rPr>
                <w:rFonts w:ascii="宋体" w:hAnsi="宋体" w:cs="宋体" w:eastAsia="宋体" w:hint="default"/>
                <w:sz w:val="13"/>
                <w:szCs w:val="13"/>
              </w:rPr>
            </w:pPr>
            <w:r>
              <w:rPr>
                <w:rFonts w:ascii="宋体" w:hAnsi="宋体" w:cs="宋体" w:eastAsia="宋体" w:hint="default"/>
                <w:sz w:val="13"/>
                <w:szCs w:val="13"/>
              </w:rPr>
              <w:t>总额</w:t>
            </w:r>
          </w:p>
        </w:tc>
        <w:tc>
          <w:tcPr>
            <w:tcW w:w="890" w:type="dxa"/>
            <w:tcBorders>
              <w:top w:val="nil" w:sz="6" w:space="0" w:color="auto"/>
              <w:left w:val="nil" w:sz="6" w:space="0" w:color="auto"/>
              <w:bottom w:val="nil" w:sz="6" w:space="0" w:color="auto"/>
              <w:right w:val="nil" w:sz="6" w:space="0" w:color="auto"/>
            </w:tcBorders>
          </w:tcPr>
          <w:p>
            <w:pPr>
              <w:pStyle w:val="TableParagraph"/>
              <w:spacing w:line="158" w:lineRule="exact"/>
              <w:ind w:left="235" w:right="0"/>
              <w:jc w:val="left"/>
              <w:rPr>
                <w:rFonts w:ascii="宋体" w:hAnsi="宋体" w:cs="宋体" w:eastAsia="宋体" w:hint="default"/>
                <w:sz w:val="13"/>
                <w:szCs w:val="13"/>
              </w:rPr>
            </w:pPr>
            <w:r>
              <w:rPr>
                <w:rFonts w:ascii="宋体" w:hAnsi="宋体" w:cs="宋体" w:eastAsia="宋体" w:hint="default"/>
                <w:sz w:val="13"/>
                <w:szCs w:val="13"/>
              </w:rPr>
              <w:t>入总额</w:t>
            </w:r>
          </w:p>
        </w:tc>
        <w:tc>
          <w:tcPr>
            <w:tcW w:w="2186" w:type="dxa"/>
            <w:tcBorders>
              <w:top w:val="nil" w:sz="6" w:space="0" w:color="auto"/>
              <w:left w:val="nil" w:sz="6" w:space="0" w:color="auto"/>
              <w:bottom w:val="nil" w:sz="6" w:space="0" w:color="auto"/>
              <w:right w:val="nil" w:sz="6" w:space="0" w:color="auto"/>
            </w:tcBorders>
          </w:tcPr>
          <w:p>
            <w:pPr>
              <w:pStyle w:val="TableParagraph"/>
              <w:tabs>
                <w:tab w:pos="922" w:val="left" w:leader="none"/>
                <w:tab w:pos="1702" w:val="left" w:leader="none"/>
              </w:tabs>
              <w:spacing w:line="158" w:lineRule="exact"/>
              <w:ind w:left="315" w:right="0"/>
              <w:jc w:val="left"/>
              <w:rPr>
                <w:rFonts w:ascii="宋体" w:hAnsi="宋体" w:cs="宋体" w:eastAsia="宋体" w:hint="default"/>
                <w:sz w:val="13"/>
                <w:szCs w:val="13"/>
              </w:rPr>
            </w:pPr>
            <w:r>
              <w:rPr>
                <w:rFonts w:ascii="宋体" w:hAnsi="宋体" w:cs="宋体" w:eastAsia="宋体" w:hint="default"/>
                <w:w w:val="95"/>
                <w:sz w:val="13"/>
                <w:szCs w:val="13"/>
              </w:rPr>
              <w:t>润</w:t>
              <w:tab/>
              <w:t>关系</w:t>
              <w:tab/>
            </w:r>
            <w:r>
              <w:rPr>
                <w:rFonts w:ascii="宋体" w:hAnsi="宋体" w:cs="宋体" w:eastAsia="宋体" w:hint="default"/>
                <w:sz w:val="13"/>
                <w:szCs w:val="13"/>
              </w:rPr>
              <w:t>码</w:t>
            </w:r>
          </w:p>
        </w:tc>
      </w:tr>
      <w:tr>
        <w:trPr>
          <w:trHeight w:val="281" w:hRule="exact"/>
        </w:trPr>
        <w:tc>
          <w:tcPr>
            <w:tcW w:w="659" w:type="dxa"/>
            <w:tcBorders>
              <w:top w:val="nil" w:sz="6" w:space="0" w:color="auto"/>
              <w:left w:val="nil" w:sz="6" w:space="0" w:color="auto"/>
              <w:bottom w:val="nil" w:sz="6" w:space="0" w:color="auto"/>
              <w:right w:val="nil" w:sz="6" w:space="0" w:color="auto"/>
            </w:tcBorders>
          </w:tcPr>
          <w:p>
            <w:pPr/>
          </w:p>
        </w:tc>
        <w:tc>
          <w:tcPr>
            <w:tcW w:w="2960" w:type="dxa"/>
            <w:tcBorders>
              <w:top w:val="nil" w:sz="6" w:space="0" w:color="auto"/>
              <w:left w:val="nil" w:sz="6" w:space="0" w:color="auto"/>
              <w:bottom w:val="nil" w:sz="6" w:space="0" w:color="auto"/>
              <w:right w:val="nil" w:sz="6" w:space="0" w:color="auto"/>
            </w:tcBorders>
          </w:tcPr>
          <w:p>
            <w:pPr/>
          </w:p>
        </w:tc>
        <w:tc>
          <w:tcPr>
            <w:tcW w:w="888"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650" w:type="dxa"/>
            <w:tcBorders>
              <w:top w:val="nil" w:sz="6" w:space="0" w:color="auto"/>
              <w:left w:val="nil" w:sz="6" w:space="0" w:color="auto"/>
              <w:bottom w:val="nil" w:sz="6" w:space="0" w:color="auto"/>
              <w:right w:val="nil" w:sz="6" w:space="0" w:color="auto"/>
            </w:tcBorders>
          </w:tcPr>
          <w:p>
            <w:pPr/>
          </w:p>
        </w:tc>
        <w:tc>
          <w:tcPr>
            <w:tcW w:w="829"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2"/>
              <w:jc w:val="center"/>
              <w:rPr>
                <w:rFonts w:ascii="Times New Roman" w:hAnsi="Times New Roman" w:cs="Times New Roman" w:eastAsia="Times New Roman" w:hint="default"/>
                <w:sz w:val="13"/>
                <w:szCs w:val="13"/>
              </w:rPr>
            </w:pPr>
            <w:r>
              <w:rPr>
                <w:rFonts w:ascii="Times New Roman"/>
                <w:sz w:val="13"/>
              </w:rPr>
              <w:t>(%)</w:t>
            </w:r>
          </w:p>
        </w:tc>
        <w:tc>
          <w:tcPr>
            <w:tcW w:w="868"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
        </w:tc>
        <w:tc>
          <w:tcPr>
            <w:tcW w:w="2186" w:type="dxa"/>
            <w:tcBorders>
              <w:top w:val="nil" w:sz="6" w:space="0" w:color="auto"/>
              <w:left w:val="nil" w:sz="6" w:space="0" w:color="auto"/>
              <w:bottom w:val="nil" w:sz="6" w:space="0" w:color="auto"/>
              <w:right w:val="nil" w:sz="6" w:space="0" w:color="auto"/>
            </w:tcBorders>
          </w:tcPr>
          <w:p>
            <w:pPr/>
          </w:p>
        </w:tc>
      </w:tr>
      <w:tr>
        <w:trPr>
          <w:trHeight w:val="380" w:hRule="exact"/>
        </w:trPr>
        <w:tc>
          <w:tcPr>
            <w:tcW w:w="659" w:type="dxa"/>
            <w:tcBorders>
              <w:top w:val="nil" w:sz="6" w:space="0" w:color="auto"/>
              <w:left w:val="nil" w:sz="6" w:space="0" w:color="auto"/>
              <w:bottom w:val="nil" w:sz="6" w:space="0" w:color="auto"/>
              <w:right w:val="nil" w:sz="6" w:space="0" w:color="auto"/>
            </w:tcBorders>
          </w:tcPr>
          <w:p>
            <w:pPr/>
          </w:p>
        </w:tc>
        <w:tc>
          <w:tcPr>
            <w:tcW w:w="2960"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07" w:right="0"/>
              <w:jc w:val="left"/>
              <w:rPr>
                <w:rFonts w:ascii="宋体" w:hAnsi="宋体" w:cs="宋体" w:eastAsia="宋体" w:hint="default"/>
                <w:sz w:val="13"/>
                <w:szCs w:val="13"/>
              </w:rPr>
            </w:pPr>
            <w:r>
              <w:rPr>
                <w:rFonts w:ascii="宋体" w:hAnsi="宋体" w:cs="宋体" w:eastAsia="宋体" w:hint="default"/>
                <w:sz w:val="13"/>
                <w:szCs w:val="13"/>
              </w:rPr>
              <w:t>联营企业</w:t>
            </w:r>
          </w:p>
        </w:tc>
        <w:tc>
          <w:tcPr>
            <w:tcW w:w="888"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650" w:type="dxa"/>
            <w:tcBorders>
              <w:top w:val="nil" w:sz="6" w:space="0" w:color="auto"/>
              <w:left w:val="nil" w:sz="6" w:space="0" w:color="auto"/>
              <w:bottom w:val="nil" w:sz="6" w:space="0" w:color="auto"/>
              <w:right w:val="nil" w:sz="6" w:space="0" w:color="auto"/>
            </w:tcBorders>
          </w:tcPr>
          <w:p>
            <w:pPr/>
          </w:p>
        </w:tc>
        <w:tc>
          <w:tcPr>
            <w:tcW w:w="829"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
        </w:tc>
        <w:tc>
          <w:tcPr>
            <w:tcW w:w="2186" w:type="dxa"/>
            <w:tcBorders>
              <w:top w:val="nil" w:sz="6" w:space="0" w:color="auto"/>
              <w:left w:val="nil" w:sz="6" w:space="0" w:color="auto"/>
              <w:bottom w:val="nil" w:sz="6" w:space="0" w:color="auto"/>
              <w:right w:val="nil" w:sz="6" w:space="0" w:color="auto"/>
            </w:tcBorders>
          </w:tcPr>
          <w:p>
            <w:pPr/>
          </w:p>
        </w:tc>
      </w:tr>
      <w:tr>
        <w:trPr>
          <w:trHeight w:val="477" w:hRule="exact"/>
        </w:trPr>
        <w:tc>
          <w:tcPr>
            <w:tcW w:w="659" w:type="dxa"/>
            <w:tcBorders>
              <w:top w:val="nil" w:sz="6" w:space="0" w:color="auto"/>
              <w:left w:val="nil" w:sz="6" w:space="0" w:color="auto"/>
              <w:bottom w:val="nil" w:sz="6" w:space="0" w:color="auto"/>
              <w:right w:val="nil" w:sz="6" w:space="0" w:color="auto"/>
            </w:tcBorders>
          </w:tcPr>
          <w:p>
            <w:pPr/>
          </w:p>
        </w:tc>
        <w:tc>
          <w:tcPr>
            <w:tcW w:w="2960" w:type="dxa"/>
            <w:tcBorders>
              <w:top w:val="nil" w:sz="6" w:space="0" w:color="auto"/>
              <w:left w:val="nil" w:sz="6" w:space="0" w:color="auto"/>
              <w:bottom w:val="nil" w:sz="6" w:space="0" w:color="auto"/>
              <w:right w:val="nil" w:sz="6" w:space="0" w:color="auto"/>
            </w:tcBorders>
          </w:tcPr>
          <w:p>
            <w:pPr>
              <w:pStyle w:val="TableParagraph"/>
              <w:tabs>
                <w:tab w:pos="1909" w:val="left" w:leader="none"/>
              </w:tabs>
              <w:spacing w:line="240" w:lineRule="auto" w:before="87"/>
              <w:ind w:left="107" w:right="0"/>
              <w:jc w:val="left"/>
              <w:rPr>
                <w:rFonts w:ascii="宋体" w:hAnsi="宋体" w:cs="宋体" w:eastAsia="宋体" w:hint="default"/>
                <w:sz w:val="13"/>
                <w:szCs w:val="13"/>
              </w:rPr>
            </w:pPr>
            <w:r>
              <w:rPr>
                <w:rFonts w:ascii="宋体" w:hAnsi="宋体" w:cs="宋体" w:eastAsia="宋体" w:hint="default"/>
                <w:w w:val="95"/>
                <w:sz w:val="13"/>
                <w:szCs w:val="13"/>
              </w:rPr>
              <w:t>北京东大阿尔派中电科电力</w:t>
              <w:tab/>
            </w:r>
            <w:r>
              <w:rPr>
                <w:rFonts w:ascii="宋体" w:hAnsi="宋体" w:cs="宋体" w:eastAsia="宋体" w:hint="default"/>
                <w:sz w:val="13"/>
                <w:szCs w:val="13"/>
              </w:rPr>
              <w:t>有限责</w:t>
            </w:r>
          </w:p>
          <w:p>
            <w:pPr>
              <w:pStyle w:val="TableParagraph"/>
              <w:spacing w:line="240" w:lineRule="auto" w:before="17"/>
              <w:ind w:right="141"/>
              <w:jc w:val="right"/>
              <w:rPr>
                <w:rFonts w:ascii="宋体" w:hAnsi="宋体" w:cs="宋体" w:eastAsia="宋体" w:hint="default"/>
                <w:sz w:val="13"/>
                <w:szCs w:val="13"/>
              </w:rPr>
            </w:pPr>
            <w:r>
              <w:rPr>
                <w:rFonts w:ascii="宋体" w:hAnsi="宋体" w:cs="宋体" w:eastAsia="宋体" w:hint="default"/>
                <w:w w:val="95"/>
                <w:sz w:val="13"/>
                <w:szCs w:val="13"/>
              </w:rPr>
              <w:t>北京</w:t>
            </w:r>
            <w:r>
              <w:rPr>
                <w:rFonts w:ascii="宋体" w:hAnsi="宋体" w:cs="宋体" w:eastAsia="宋体" w:hint="default"/>
                <w:sz w:val="13"/>
                <w:szCs w:val="13"/>
              </w:rPr>
            </w:r>
          </w:p>
        </w:tc>
        <w:tc>
          <w:tcPr>
            <w:tcW w:w="8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10"/>
              <w:ind w:right="0"/>
              <w:jc w:val="left"/>
              <w:rPr>
                <w:rFonts w:ascii="Times New Roman" w:hAnsi="Times New Roman" w:cs="Times New Roman" w:eastAsia="Times New Roman" w:hint="default"/>
                <w:sz w:val="11"/>
                <w:szCs w:val="11"/>
              </w:rPr>
            </w:pPr>
          </w:p>
          <w:p>
            <w:pPr>
              <w:pStyle w:val="TableParagraph"/>
              <w:spacing w:line="240" w:lineRule="auto"/>
              <w:ind w:left="73" w:right="0"/>
              <w:jc w:val="left"/>
              <w:rPr>
                <w:rFonts w:ascii="宋体" w:hAnsi="宋体" w:cs="宋体" w:eastAsia="宋体" w:hint="default"/>
                <w:sz w:val="13"/>
                <w:szCs w:val="13"/>
              </w:rPr>
            </w:pPr>
            <w:r>
              <w:rPr>
                <w:rFonts w:ascii="宋体" w:hAnsi="宋体" w:cs="宋体" w:eastAsia="宋体" w:hint="default"/>
                <w:sz w:val="13"/>
                <w:szCs w:val="13"/>
              </w:rPr>
              <w:t>何万龄</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42" w:right="0"/>
              <w:jc w:val="left"/>
              <w:rPr>
                <w:rFonts w:ascii="宋体" w:hAnsi="宋体" w:cs="宋体" w:eastAsia="宋体" w:hint="default"/>
                <w:sz w:val="13"/>
                <w:szCs w:val="13"/>
              </w:rPr>
            </w:pPr>
            <w:r>
              <w:rPr>
                <w:rFonts w:ascii="宋体" w:hAnsi="宋体" w:cs="宋体" w:eastAsia="宋体" w:hint="default"/>
                <w:sz w:val="13"/>
                <w:szCs w:val="13"/>
              </w:rPr>
              <w:t>电力系统机械电</w:t>
            </w:r>
          </w:p>
        </w:tc>
        <w:tc>
          <w:tcPr>
            <w:tcW w:w="65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2"/>
              <w:jc w:val="right"/>
              <w:rPr>
                <w:rFonts w:ascii="宋体" w:hAnsi="宋体" w:cs="宋体" w:eastAsia="宋体" w:hint="default"/>
                <w:sz w:val="13"/>
                <w:szCs w:val="13"/>
              </w:rPr>
            </w:pPr>
            <w:r>
              <w:rPr>
                <w:rFonts w:ascii="Times New Roman" w:hAnsi="Times New Roman" w:cs="Times New Roman" w:eastAsia="Times New Roman" w:hint="default"/>
                <w:sz w:val="13"/>
                <w:szCs w:val="13"/>
              </w:rPr>
              <w:t>110</w:t>
            </w:r>
            <w:r>
              <w:rPr>
                <w:rFonts w:ascii="Times New Roman" w:hAnsi="Times New Roman" w:cs="Times New Roman" w:eastAsia="Times New Roman" w:hint="default"/>
                <w:spacing w:val="-7"/>
                <w:sz w:val="13"/>
                <w:szCs w:val="13"/>
              </w:rPr>
              <w:t> </w:t>
            </w:r>
            <w:r>
              <w:rPr>
                <w:rFonts w:ascii="宋体" w:hAnsi="宋体" w:cs="宋体" w:eastAsia="宋体" w:hint="default"/>
                <w:sz w:val="13"/>
                <w:szCs w:val="13"/>
              </w:rPr>
              <w:t>万</w:t>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13"/>
              <w:jc w:val="right"/>
              <w:rPr>
                <w:rFonts w:ascii="Times New Roman" w:hAnsi="Times New Roman" w:cs="Times New Roman" w:eastAsia="Times New Roman" w:hint="default"/>
                <w:sz w:val="13"/>
                <w:szCs w:val="13"/>
              </w:rPr>
            </w:pPr>
            <w:r>
              <w:rPr>
                <w:rFonts w:ascii="Times New Roman"/>
                <w:w w:val="95"/>
                <w:sz w:val="13"/>
              </w:rPr>
              <w:t>40.00</w:t>
            </w:r>
            <w:r>
              <w:rPr>
                <w:rFonts w:ascii="Times New Roman"/>
                <w:sz w:val="13"/>
              </w:rPr>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97"/>
              <w:jc w:val="right"/>
              <w:rPr>
                <w:rFonts w:ascii="Times New Roman" w:hAnsi="Times New Roman" w:cs="Times New Roman" w:eastAsia="Times New Roman" w:hint="default"/>
                <w:sz w:val="13"/>
                <w:szCs w:val="13"/>
              </w:rPr>
            </w:pPr>
            <w:r>
              <w:rPr>
                <w:rFonts w:ascii="Times New Roman"/>
                <w:w w:val="95"/>
                <w:sz w:val="13"/>
              </w:rPr>
              <w:t>40.00</w:t>
            </w:r>
            <w:r>
              <w:rPr>
                <w:rFonts w:ascii="Times New Roman"/>
                <w:sz w:val="13"/>
              </w:rPr>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51" w:right="0"/>
              <w:jc w:val="center"/>
              <w:rPr>
                <w:rFonts w:ascii="Times New Roman" w:hAnsi="Times New Roman" w:cs="Times New Roman" w:eastAsia="Times New Roman" w:hint="default"/>
                <w:sz w:val="13"/>
                <w:szCs w:val="13"/>
              </w:rPr>
            </w:pPr>
            <w:r>
              <w:rPr>
                <w:rFonts w:ascii="Times New Roman"/>
                <w:sz w:val="13"/>
              </w:rPr>
              <w:t>2,384,284</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98"/>
              <w:jc w:val="right"/>
              <w:rPr>
                <w:rFonts w:ascii="Times New Roman" w:hAnsi="Times New Roman" w:cs="Times New Roman" w:eastAsia="Times New Roman" w:hint="default"/>
                <w:sz w:val="13"/>
                <w:szCs w:val="13"/>
              </w:rPr>
            </w:pPr>
            <w:r>
              <w:rPr>
                <w:rFonts w:ascii="Times New Roman"/>
                <w:w w:val="95"/>
                <w:sz w:val="13"/>
              </w:rPr>
              <w:t>1,664,186</w:t>
            </w:r>
            <w:r>
              <w:rPr>
                <w:rFonts w:ascii="Times New Roman"/>
                <w:sz w:val="13"/>
              </w:rPr>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Times New Roman" w:hAnsi="Times New Roman" w:cs="Times New Roman" w:eastAsia="Times New Roman" w:hint="default"/>
                <w:sz w:val="13"/>
                <w:szCs w:val="13"/>
              </w:rPr>
            </w:pPr>
            <w:r>
              <w:rPr>
                <w:rFonts w:ascii="Times New Roman"/>
                <w:w w:val="95"/>
                <w:sz w:val="13"/>
              </w:rPr>
              <w:t>720,098</w:t>
            </w:r>
            <w:r>
              <w:rPr>
                <w:rFonts w:ascii="Times New Roman"/>
                <w:sz w:val="13"/>
              </w:rPr>
            </w:r>
          </w:p>
        </w:tc>
        <w:tc>
          <w:tcPr>
            <w:tcW w:w="890" w:type="dxa"/>
            <w:tcBorders>
              <w:top w:val="nil" w:sz="6" w:space="0" w:color="auto"/>
              <w:left w:val="nil" w:sz="6" w:space="0" w:color="auto"/>
              <w:bottom w:val="nil" w:sz="6" w:space="0" w:color="auto"/>
              <w:right w:val="nil" w:sz="6" w:space="0" w:color="auto"/>
            </w:tcBorders>
          </w:tcPr>
          <w:p>
            <w:pP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82"/>
              <w:jc w:val="center"/>
              <w:rPr>
                <w:rFonts w:ascii="宋体" w:hAnsi="宋体" w:cs="宋体" w:eastAsia="宋体" w:hint="default"/>
                <w:sz w:val="13"/>
                <w:szCs w:val="13"/>
              </w:rPr>
            </w:pPr>
            <w:r>
              <w:rPr>
                <w:rFonts w:ascii="宋体" w:hAnsi="宋体" w:cs="宋体" w:eastAsia="宋体" w:hint="default"/>
                <w:sz w:val="13"/>
                <w:szCs w:val="13"/>
              </w:rPr>
              <w:t>联营</w:t>
            </w:r>
          </w:p>
          <w:p>
            <w:pPr>
              <w:pStyle w:val="TableParagraph"/>
              <w:spacing w:line="240" w:lineRule="auto" w:before="47"/>
              <w:ind w:right="62"/>
              <w:jc w:val="right"/>
              <w:rPr>
                <w:rFonts w:ascii="Times New Roman" w:hAnsi="Times New Roman" w:cs="Times New Roman" w:eastAsia="Times New Roman" w:hint="default"/>
                <w:sz w:val="13"/>
                <w:szCs w:val="13"/>
              </w:rPr>
            </w:pPr>
            <w:r>
              <w:rPr>
                <w:rFonts w:ascii="Times New Roman"/>
                <w:w w:val="95"/>
                <w:sz w:val="13"/>
              </w:rPr>
              <w:t>70024139-0</w:t>
            </w:r>
            <w:r>
              <w:rPr>
                <w:rFonts w:ascii="Times New Roman"/>
                <w:sz w:val="13"/>
              </w:rPr>
            </w:r>
          </w:p>
        </w:tc>
      </w:tr>
      <w:tr>
        <w:trPr>
          <w:trHeight w:val="286" w:hRule="exact"/>
        </w:trPr>
        <w:tc>
          <w:tcPr>
            <w:tcW w:w="659" w:type="dxa"/>
            <w:tcBorders>
              <w:top w:val="nil" w:sz="6" w:space="0" w:color="auto"/>
              <w:left w:val="nil" w:sz="6" w:space="0" w:color="auto"/>
              <w:bottom w:val="nil" w:sz="6" w:space="0" w:color="auto"/>
              <w:right w:val="nil" w:sz="6" w:space="0" w:color="auto"/>
            </w:tcBorders>
          </w:tcPr>
          <w:p>
            <w:pPr/>
          </w:p>
        </w:tc>
        <w:tc>
          <w:tcPr>
            <w:tcW w:w="2960" w:type="dxa"/>
            <w:tcBorders>
              <w:top w:val="nil" w:sz="6" w:space="0" w:color="auto"/>
              <w:left w:val="nil" w:sz="6" w:space="0" w:color="auto"/>
              <w:bottom w:val="nil" w:sz="6" w:space="0" w:color="auto"/>
              <w:right w:val="nil" w:sz="6" w:space="0" w:color="auto"/>
            </w:tcBorders>
          </w:tcPr>
          <w:p>
            <w:pPr>
              <w:pStyle w:val="TableParagraph"/>
              <w:tabs>
                <w:tab w:pos="1909" w:val="left" w:leader="none"/>
              </w:tabs>
              <w:spacing w:line="165" w:lineRule="exact"/>
              <w:ind w:left="107" w:right="0"/>
              <w:jc w:val="left"/>
              <w:rPr>
                <w:rFonts w:ascii="宋体" w:hAnsi="宋体" w:cs="宋体" w:eastAsia="宋体" w:hint="default"/>
                <w:sz w:val="13"/>
                <w:szCs w:val="13"/>
              </w:rPr>
            </w:pPr>
            <w:r>
              <w:rPr>
                <w:rFonts w:ascii="宋体" w:hAnsi="宋体" w:cs="宋体" w:eastAsia="宋体" w:hint="default"/>
                <w:sz w:val="13"/>
                <w:szCs w:val="13"/>
              </w:rPr>
              <w:t>系统技术有限责任公司</w:t>
            </w:r>
            <w:r>
              <w:rPr>
                <w:rFonts w:ascii="宋体" w:hAnsi="宋体" w:cs="宋体" w:eastAsia="宋体" w:hint="default"/>
                <w:spacing w:val="-3"/>
                <w:sz w:val="13"/>
                <w:szCs w:val="13"/>
              </w:rPr>
              <w:t> </w:t>
            </w:r>
            <w:r>
              <w:rPr>
                <w:rFonts w:ascii="Times New Roman" w:hAnsi="Times New Roman" w:cs="Times New Roman" w:eastAsia="Times New Roman" w:hint="default"/>
                <w:sz w:val="13"/>
                <w:szCs w:val="13"/>
              </w:rPr>
              <w:t>(1)</w:t>
              <w:tab/>
            </w:r>
            <w:r>
              <w:rPr>
                <w:rFonts w:ascii="宋体" w:hAnsi="宋体" w:cs="宋体" w:eastAsia="宋体" w:hint="default"/>
                <w:sz w:val="13"/>
                <w:szCs w:val="13"/>
              </w:rPr>
              <w:t>任公司</w:t>
            </w:r>
          </w:p>
        </w:tc>
        <w:tc>
          <w:tcPr>
            <w:tcW w:w="888"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155" w:lineRule="exact"/>
              <w:ind w:left="142" w:right="0"/>
              <w:jc w:val="left"/>
              <w:rPr>
                <w:rFonts w:ascii="宋体" w:hAnsi="宋体" w:cs="宋体" w:eastAsia="宋体" w:hint="default"/>
                <w:sz w:val="13"/>
                <w:szCs w:val="13"/>
              </w:rPr>
            </w:pPr>
            <w:r>
              <w:rPr>
                <w:rFonts w:ascii="宋体" w:hAnsi="宋体" w:cs="宋体" w:eastAsia="宋体" w:hint="default"/>
                <w:sz w:val="13"/>
                <w:szCs w:val="13"/>
              </w:rPr>
              <w:t>力等</w:t>
            </w:r>
          </w:p>
        </w:tc>
        <w:tc>
          <w:tcPr>
            <w:tcW w:w="650" w:type="dxa"/>
            <w:tcBorders>
              <w:top w:val="nil" w:sz="6" w:space="0" w:color="auto"/>
              <w:left w:val="nil" w:sz="6" w:space="0" w:color="auto"/>
              <w:bottom w:val="nil" w:sz="6" w:space="0" w:color="auto"/>
              <w:right w:val="nil" w:sz="6" w:space="0" w:color="auto"/>
            </w:tcBorders>
          </w:tcPr>
          <w:p>
            <w:pPr>
              <w:pStyle w:val="TableParagraph"/>
              <w:spacing w:line="155" w:lineRule="exact"/>
              <w:ind w:right="101"/>
              <w:jc w:val="right"/>
              <w:rPr>
                <w:rFonts w:ascii="宋体" w:hAnsi="宋体" w:cs="宋体" w:eastAsia="宋体" w:hint="default"/>
                <w:sz w:val="13"/>
                <w:szCs w:val="13"/>
              </w:rPr>
            </w:pPr>
            <w:r>
              <w:rPr>
                <w:rFonts w:ascii="宋体" w:hAnsi="宋体" w:cs="宋体" w:eastAsia="宋体" w:hint="default"/>
                <w:w w:val="99"/>
                <w:sz w:val="13"/>
                <w:szCs w:val="13"/>
              </w:rPr>
              <w:t>元</w:t>
            </w:r>
            <w:r>
              <w:rPr>
                <w:rFonts w:ascii="宋体" w:hAnsi="宋体" w:cs="宋体" w:eastAsia="宋体" w:hint="default"/>
                <w:sz w:val="13"/>
                <w:szCs w:val="13"/>
              </w:rPr>
            </w:r>
          </w:p>
        </w:tc>
        <w:tc>
          <w:tcPr>
            <w:tcW w:w="829"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
        </w:tc>
        <w:tc>
          <w:tcPr>
            <w:tcW w:w="2186" w:type="dxa"/>
            <w:tcBorders>
              <w:top w:val="nil" w:sz="6" w:space="0" w:color="auto"/>
              <w:left w:val="nil" w:sz="6" w:space="0" w:color="auto"/>
              <w:bottom w:val="nil" w:sz="6" w:space="0" w:color="auto"/>
              <w:right w:val="nil" w:sz="6" w:space="0" w:color="auto"/>
            </w:tcBorders>
          </w:tcPr>
          <w:p>
            <w:pPr>
              <w:pStyle w:val="TableParagraph"/>
              <w:spacing w:line="155" w:lineRule="exact"/>
              <w:ind w:right="182"/>
              <w:jc w:val="center"/>
              <w:rPr>
                <w:rFonts w:ascii="宋体" w:hAnsi="宋体" w:cs="宋体" w:eastAsia="宋体" w:hint="default"/>
                <w:sz w:val="13"/>
                <w:szCs w:val="13"/>
              </w:rPr>
            </w:pPr>
            <w:r>
              <w:rPr>
                <w:rFonts w:ascii="宋体" w:hAnsi="宋体" w:cs="宋体" w:eastAsia="宋体" w:hint="default"/>
                <w:sz w:val="13"/>
                <w:szCs w:val="13"/>
              </w:rPr>
              <w:t>公司</w:t>
            </w:r>
          </w:p>
        </w:tc>
      </w:tr>
      <w:tr>
        <w:trPr>
          <w:trHeight w:val="473" w:hRule="exact"/>
        </w:trPr>
        <w:tc>
          <w:tcPr>
            <w:tcW w:w="659" w:type="dxa"/>
            <w:tcBorders>
              <w:top w:val="nil" w:sz="6" w:space="0" w:color="auto"/>
              <w:left w:val="nil" w:sz="6" w:space="0" w:color="auto"/>
              <w:bottom w:val="nil" w:sz="6" w:space="0" w:color="auto"/>
              <w:right w:val="nil" w:sz="6" w:space="0" w:color="auto"/>
            </w:tcBorders>
          </w:tcPr>
          <w:p>
            <w:pPr/>
          </w:p>
        </w:tc>
        <w:tc>
          <w:tcPr>
            <w:tcW w:w="2960" w:type="dxa"/>
            <w:tcBorders>
              <w:top w:val="nil" w:sz="6" w:space="0" w:color="auto"/>
              <w:left w:val="nil" w:sz="6" w:space="0" w:color="auto"/>
              <w:bottom w:val="nil" w:sz="6" w:space="0" w:color="auto"/>
              <w:right w:val="nil" w:sz="6" w:space="0" w:color="auto"/>
            </w:tcBorders>
          </w:tcPr>
          <w:p>
            <w:pPr>
              <w:pStyle w:val="TableParagraph"/>
              <w:tabs>
                <w:tab w:pos="1909" w:val="left" w:leader="none"/>
              </w:tabs>
              <w:spacing w:line="240" w:lineRule="auto" w:before="83"/>
              <w:ind w:left="107" w:right="0"/>
              <w:jc w:val="left"/>
              <w:rPr>
                <w:rFonts w:ascii="宋体" w:hAnsi="宋体" w:cs="宋体" w:eastAsia="宋体" w:hint="default"/>
                <w:sz w:val="13"/>
                <w:szCs w:val="13"/>
              </w:rPr>
            </w:pPr>
            <w:r>
              <w:rPr>
                <w:rFonts w:ascii="宋体" w:hAnsi="宋体" w:cs="宋体" w:eastAsia="宋体" w:hint="default"/>
                <w:w w:val="95"/>
                <w:sz w:val="13"/>
                <w:szCs w:val="13"/>
              </w:rPr>
              <w:t>诺基亚西门子东软通信技术</w:t>
              <w:tab/>
            </w:r>
            <w:r>
              <w:rPr>
                <w:rFonts w:ascii="宋体" w:hAnsi="宋体" w:cs="宋体" w:eastAsia="宋体" w:hint="default"/>
                <w:sz w:val="13"/>
                <w:szCs w:val="13"/>
              </w:rPr>
              <w:t>有限责</w:t>
            </w:r>
          </w:p>
          <w:p>
            <w:pPr>
              <w:pStyle w:val="TableParagraph"/>
              <w:spacing w:line="240" w:lineRule="auto" w:before="17"/>
              <w:ind w:right="143"/>
              <w:jc w:val="right"/>
              <w:rPr>
                <w:rFonts w:ascii="宋体" w:hAnsi="宋体" w:cs="宋体" w:eastAsia="宋体" w:hint="default"/>
                <w:sz w:val="13"/>
                <w:szCs w:val="13"/>
              </w:rPr>
            </w:pPr>
            <w:r>
              <w:rPr>
                <w:rFonts w:ascii="宋体" w:hAnsi="宋体" w:cs="宋体" w:eastAsia="宋体" w:hint="default"/>
                <w:w w:val="95"/>
                <w:sz w:val="13"/>
                <w:szCs w:val="13"/>
              </w:rPr>
              <w:t>大连</w:t>
            </w:r>
            <w:r>
              <w:rPr>
                <w:rFonts w:ascii="宋体" w:hAnsi="宋体" w:cs="宋体" w:eastAsia="宋体" w:hint="default"/>
                <w:sz w:val="13"/>
                <w:szCs w:val="13"/>
              </w:rPr>
            </w:r>
          </w:p>
        </w:tc>
        <w:tc>
          <w:tcPr>
            <w:tcW w:w="8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9"/>
                <w:szCs w:val="9"/>
              </w:rPr>
            </w:pPr>
          </w:p>
          <w:p>
            <w:pPr>
              <w:pStyle w:val="TableParagraph"/>
              <w:spacing w:line="240" w:lineRule="auto"/>
              <w:ind w:left="73" w:right="0"/>
              <w:jc w:val="left"/>
              <w:rPr>
                <w:rFonts w:ascii="Times New Roman" w:hAnsi="Times New Roman" w:cs="Times New Roman" w:eastAsia="Times New Roman" w:hint="default"/>
                <w:sz w:val="13"/>
                <w:szCs w:val="13"/>
              </w:rPr>
            </w:pPr>
            <w:r>
              <w:rPr>
                <w:rFonts w:ascii="Times New Roman"/>
                <w:sz w:val="13"/>
              </w:rPr>
              <w:t>Steven</w:t>
            </w:r>
            <w:r>
              <w:rPr>
                <w:rFonts w:ascii="Times New Roman"/>
                <w:spacing w:val="-6"/>
                <w:sz w:val="13"/>
              </w:rPr>
              <w:t> </w:t>
            </w:r>
            <w:r>
              <w:rPr>
                <w:rFonts w:ascii="Times New Roman"/>
                <w:sz w:val="13"/>
              </w:rPr>
              <w:t>Shaw</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42" w:right="0"/>
              <w:jc w:val="left"/>
              <w:rPr>
                <w:rFonts w:ascii="宋体" w:hAnsi="宋体" w:cs="宋体" w:eastAsia="宋体" w:hint="default"/>
                <w:sz w:val="13"/>
                <w:szCs w:val="13"/>
              </w:rPr>
            </w:pPr>
            <w:r>
              <w:rPr>
                <w:rFonts w:ascii="宋体" w:hAnsi="宋体" w:cs="宋体" w:eastAsia="宋体" w:hint="default"/>
                <w:sz w:val="13"/>
                <w:szCs w:val="13"/>
              </w:rPr>
              <w:t>无线应用产品及</w:t>
            </w:r>
          </w:p>
        </w:tc>
        <w:tc>
          <w:tcPr>
            <w:tcW w:w="65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2"/>
              <w:jc w:val="right"/>
              <w:rPr>
                <w:rFonts w:ascii="宋体" w:hAnsi="宋体" w:cs="宋体" w:eastAsia="宋体" w:hint="default"/>
                <w:sz w:val="13"/>
                <w:szCs w:val="13"/>
              </w:rPr>
            </w:pPr>
            <w:r>
              <w:rPr>
                <w:rFonts w:ascii="Times New Roman" w:hAnsi="Times New Roman" w:cs="Times New Roman" w:eastAsia="Times New Roman" w:hint="default"/>
                <w:sz w:val="13"/>
                <w:szCs w:val="13"/>
              </w:rPr>
              <w:t>700</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万</w:t>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13"/>
              <w:jc w:val="right"/>
              <w:rPr>
                <w:rFonts w:ascii="Times New Roman" w:hAnsi="Times New Roman" w:cs="Times New Roman" w:eastAsia="Times New Roman" w:hint="default"/>
                <w:sz w:val="13"/>
                <w:szCs w:val="13"/>
              </w:rPr>
            </w:pPr>
            <w:r>
              <w:rPr>
                <w:rFonts w:ascii="Times New Roman"/>
                <w:w w:val="95"/>
                <w:sz w:val="13"/>
              </w:rPr>
              <w:t>46.00</w:t>
            </w:r>
            <w:r>
              <w:rPr>
                <w:rFonts w:ascii="Times New Roman"/>
                <w:sz w:val="13"/>
              </w:rPr>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97"/>
              <w:jc w:val="right"/>
              <w:rPr>
                <w:rFonts w:ascii="Times New Roman" w:hAnsi="Times New Roman" w:cs="Times New Roman" w:eastAsia="Times New Roman" w:hint="default"/>
                <w:sz w:val="13"/>
                <w:szCs w:val="13"/>
              </w:rPr>
            </w:pPr>
            <w:r>
              <w:rPr>
                <w:rFonts w:ascii="Times New Roman"/>
                <w:w w:val="95"/>
                <w:sz w:val="13"/>
              </w:rPr>
              <w:t>46.00</w:t>
            </w:r>
            <w:r>
              <w:rPr>
                <w:rFonts w:ascii="Times New Roman"/>
                <w:sz w:val="13"/>
              </w:rPr>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20" w:right="0"/>
              <w:jc w:val="center"/>
              <w:rPr>
                <w:rFonts w:ascii="Times New Roman" w:hAnsi="Times New Roman" w:cs="Times New Roman" w:eastAsia="Times New Roman" w:hint="default"/>
                <w:sz w:val="13"/>
                <w:szCs w:val="13"/>
              </w:rPr>
            </w:pPr>
            <w:r>
              <w:rPr>
                <w:rFonts w:ascii="Times New Roman"/>
                <w:sz w:val="13"/>
              </w:rPr>
              <w:t>417,555,828</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98"/>
              <w:jc w:val="right"/>
              <w:rPr>
                <w:rFonts w:ascii="Times New Roman" w:hAnsi="Times New Roman" w:cs="Times New Roman" w:eastAsia="Times New Roman" w:hint="default"/>
                <w:sz w:val="13"/>
                <w:szCs w:val="13"/>
              </w:rPr>
            </w:pPr>
            <w:r>
              <w:rPr>
                <w:rFonts w:ascii="Times New Roman"/>
                <w:w w:val="95"/>
                <w:sz w:val="13"/>
              </w:rPr>
              <w:t>339,894,394</w:t>
            </w:r>
            <w:r>
              <w:rPr>
                <w:rFonts w:ascii="Times New Roman"/>
                <w:sz w:val="13"/>
              </w:rPr>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Times New Roman" w:hAnsi="Times New Roman" w:cs="Times New Roman" w:eastAsia="Times New Roman" w:hint="default"/>
                <w:sz w:val="13"/>
                <w:szCs w:val="13"/>
              </w:rPr>
            </w:pPr>
            <w:r>
              <w:rPr>
                <w:rFonts w:ascii="Times New Roman"/>
                <w:w w:val="95"/>
                <w:sz w:val="13"/>
              </w:rPr>
              <w:t>77,661,434</w:t>
            </w:r>
            <w:r>
              <w:rPr>
                <w:rFonts w:ascii="Times New Roman"/>
                <w:sz w:val="13"/>
              </w:rPr>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5"/>
                <w:sz w:val="13"/>
              </w:rPr>
              <w:t>354,009,389</w:t>
            </w:r>
            <w:r>
              <w:rPr>
                <w:rFonts w:ascii="Times New Roman"/>
                <w:sz w:val="13"/>
              </w:rPr>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82"/>
              <w:jc w:val="center"/>
              <w:rPr>
                <w:rFonts w:ascii="宋体" w:hAnsi="宋体" w:cs="宋体" w:eastAsia="宋体" w:hint="default"/>
                <w:sz w:val="13"/>
                <w:szCs w:val="13"/>
              </w:rPr>
            </w:pPr>
            <w:r>
              <w:rPr>
                <w:rFonts w:ascii="宋体" w:hAnsi="宋体" w:cs="宋体" w:eastAsia="宋体" w:hint="default"/>
                <w:sz w:val="13"/>
                <w:szCs w:val="13"/>
              </w:rPr>
              <w:t>联营</w:t>
            </w:r>
          </w:p>
          <w:p>
            <w:pPr>
              <w:pStyle w:val="TableParagraph"/>
              <w:tabs>
                <w:tab w:pos="1465" w:val="left" w:leader="none"/>
              </w:tabs>
              <w:spacing w:line="240" w:lineRule="auto" w:before="47"/>
              <w:ind w:left="129" w:right="0"/>
              <w:jc w:val="left"/>
              <w:rPr>
                <w:rFonts w:ascii="Times New Roman" w:hAnsi="Times New Roman" w:cs="Times New Roman" w:eastAsia="Times New Roman" w:hint="default"/>
                <w:sz w:val="13"/>
                <w:szCs w:val="13"/>
              </w:rPr>
            </w:pPr>
            <w:r>
              <w:rPr>
                <w:rFonts w:ascii="Times New Roman"/>
                <w:w w:val="95"/>
                <w:sz w:val="13"/>
              </w:rPr>
              <w:t>-1,175,598</w:t>
              <w:tab/>
            </w:r>
            <w:r>
              <w:rPr>
                <w:rFonts w:ascii="Times New Roman"/>
                <w:sz w:val="13"/>
              </w:rPr>
              <w:t>71699395-X</w:t>
            </w:r>
          </w:p>
        </w:tc>
      </w:tr>
      <w:tr>
        <w:trPr>
          <w:trHeight w:val="286" w:hRule="exact"/>
        </w:trPr>
        <w:tc>
          <w:tcPr>
            <w:tcW w:w="659" w:type="dxa"/>
            <w:tcBorders>
              <w:top w:val="nil" w:sz="6" w:space="0" w:color="auto"/>
              <w:left w:val="nil" w:sz="6" w:space="0" w:color="auto"/>
              <w:bottom w:val="nil" w:sz="6" w:space="0" w:color="auto"/>
              <w:right w:val="nil" w:sz="6" w:space="0" w:color="auto"/>
            </w:tcBorders>
          </w:tcPr>
          <w:p>
            <w:pPr/>
          </w:p>
        </w:tc>
        <w:tc>
          <w:tcPr>
            <w:tcW w:w="2960" w:type="dxa"/>
            <w:tcBorders>
              <w:top w:val="nil" w:sz="6" w:space="0" w:color="auto"/>
              <w:left w:val="nil" w:sz="6" w:space="0" w:color="auto"/>
              <w:bottom w:val="nil" w:sz="6" w:space="0" w:color="auto"/>
              <w:right w:val="nil" w:sz="6" w:space="0" w:color="auto"/>
            </w:tcBorders>
          </w:tcPr>
          <w:p>
            <w:pPr>
              <w:pStyle w:val="TableParagraph"/>
              <w:tabs>
                <w:tab w:pos="1909" w:val="left" w:leader="none"/>
              </w:tabs>
              <w:spacing w:line="165" w:lineRule="exact"/>
              <w:ind w:left="107" w:right="0"/>
              <w:jc w:val="left"/>
              <w:rPr>
                <w:rFonts w:ascii="宋体" w:hAnsi="宋体" w:cs="宋体" w:eastAsia="宋体" w:hint="default"/>
                <w:sz w:val="13"/>
                <w:szCs w:val="13"/>
              </w:rPr>
            </w:pPr>
            <w:r>
              <w:rPr>
                <w:rFonts w:ascii="宋体" w:hAnsi="宋体" w:cs="宋体" w:eastAsia="宋体" w:hint="default"/>
                <w:w w:val="95"/>
                <w:sz w:val="13"/>
                <w:szCs w:val="13"/>
              </w:rPr>
              <w:t>有限公司（</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诺西东软</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w:t>
              <w:tab/>
            </w:r>
            <w:r>
              <w:rPr>
                <w:rFonts w:ascii="宋体" w:hAnsi="宋体" w:cs="宋体" w:eastAsia="宋体" w:hint="default"/>
                <w:sz w:val="13"/>
                <w:szCs w:val="13"/>
              </w:rPr>
              <w:t>任公司</w:t>
            </w:r>
          </w:p>
        </w:tc>
        <w:tc>
          <w:tcPr>
            <w:tcW w:w="88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3" w:right="0"/>
              <w:jc w:val="left"/>
              <w:rPr>
                <w:rFonts w:ascii="Times New Roman" w:hAnsi="Times New Roman" w:cs="Times New Roman" w:eastAsia="Times New Roman" w:hint="default"/>
                <w:sz w:val="13"/>
                <w:szCs w:val="13"/>
              </w:rPr>
            </w:pPr>
            <w:r>
              <w:rPr>
                <w:rFonts w:ascii="Times New Roman"/>
                <w:sz w:val="13"/>
              </w:rPr>
              <w:t>Kuang-Hwa</w:t>
            </w:r>
          </w:p>
        </w:tc>
        <w:tc>
          <w:tcPr>
            <w:tcW w:w="1174" w:type="dxa"/>
            <w:tcBorders>
              <w:top w:val="nil" w:sz="6" w:space="0" w:color="auto"/>
              <w:left w:val="nil" w:sz="6" w:space="0" w:color="auto"/>
              <w:bottom w:val="nil" w:sz="6" w:space="0" w:color="auto"/>
              <w:right w:val="nil" w:sz="6" w:space="0" w:color="auto"/>
            </w:tcBorders>
          </w:tcPr>
          <w:p>
            <w:pPr>
              <w:pStyle w:val="TableParagraph"/>
              <w:spacing w:line="155" w:lineRule="exact"/>
              <w:ind w:left="142" w:right="0"/>
              <w:jc w:val="left"/>
              <w:rPr>
                <w:rFonts w:ascii="宋体" w:hAnsi="宋体" w:cs="宋体" w:eastAsia="宋体" w:hint="default"/>
                <w:sz w:val="13"/>
                <w:szCs w:val="13"/>
              </w:rPr>
            </w:pPr>
            <w:r>
              <w:rPr>
                <w:rFonts w:ascii="宋体" w:hAnsi="宋体" w:cs="宋体" w:eastAsia="宋体" w:hint="default"/>
                <w:sz w:val="13"/>
                <w:szCs w:val="13"/>
              </w:rPr>
              <w:t>解决方案</w:t>
            </w:r>
          </w:p>
        </w:tc>
        <w:tc>
          <w:tcPr>
            <w:tcW w:w="650" w:type="dxa"/>
            <w:tcBorders>
              <w:top w:val="nil" w:sz="6" w:space="0" w:color="auto"/>
              <w:left w:val="nil" w:sz="6" w:space="0" w:color="auto"/>
              <w:bottom w:val="nil" w:sz="6" w:space="0" w:color="auto"/>
              <w:right w:val="nil" w:sz="6" w:space="0" w:color="auto"/>
            </w:tcBorders>
          </w:tcPr>
          <w:p>
            <w:pPr>
              <w:pStyle w:val="TableParagraph"/>
              <w:spacing w:line="155" w:lineRule="exact"/>
              <w:ind w:right="101"/>
              <w:jc w:val="right"/>
              <w:rPr>
                <w:rFonts w:ascii="宋体" w:hAnsi="宋体" w:cs="宋体" w:eastAsia="宋体" w:hint="default"/>
                <w:sz w:val="13"/>
                <w:szCs w:val="13"/>
              </w:rPr>
            </w:pPr>
            <w:r>
              <w:rPr>
                <w:rFonts w:ascii="宋体" w:hAnsi="宋体" w:cs="宋体" w:eastAsia="宋体" w:hint="default"/>
                <w:w w:val="95"/>
                <w:sz w:val="13"/>
                <w:szCs w:val="13"/>
              </w:rPr>
              <w:t>美元</w:t>
            </w:r>
            <w:r>
              <w:rPr>
                <w:rFonts w:ascii="宋体" w:hAnsi="宋体" w:cs="宋体" w:eastAsia="宋体" w:hint="default"/>
                <w:sz w:val="13"/>
                <w:szCs w:val="13"/>
              </w:rPr>
            </w:r>
          </w:p>
        </w:tc>
        <w:tc>
          <w:tcPr>
            <w:tcW w:w="829"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
        </w:tc>
        <w:tc>
          <w:tcPr>
            <w:tcW w:w="2186" w:type="dxa"/>
            <w:tcBorders>
              <w:top w:val="nil" w:sz="6" w:space="0" w:color="auto"/>
              <w:left w:val="nil" w:sz="6" w:space="0" w:color="auto"/>
              <w:bottom w:val="nil" w:sz="6" w:space="0" w:color="auto"/>
              <w:right w:val="nil" w:sz="6" w:space="0" w:color="auto"/>
            </w:tcBorders>
          </w:tcPr>
          <w:p>
            <w:pPr>
              <w:pStyle w:val="TableParagraph"/>
              <w:spacing w:line="155" w:lineRule="exact"/>
              <w:ind w:right="182"/>
              <w:jc w:val="center"/>
              <w:rPr>
                <w:rFonts w:ascii="宋体" w:hAnsi="宋体" w:cs="宋体" w:eastAsia="宋体" w:hint="default"/>
                <w:sz w:val="13"/>
                <w:szCs w:val="13"/>
              </w:rPr>
            </w:pPr>
            <w:r>
              <w:rPr>
                <w:rFonts w:ascii="宋体" w:hAnsi="宋体" w:cs="宋体" w:eastAsia="宋体" w:hint="default"/>
                <w:sz w:val="13"/>
                <w:szCs w:val="13"/>
              </w:rPr>
              <w:t>公司</w:t>
            </w:r>
          </w:p>
        </w:tc>
      </w:tr>
      <w:tr>
        <w:trPr>
          <w:trHeight w:val="473" w:hRule="exact"/>
        </w:trPr>
        <w:tc>
          <w:tcPr>
            <w:tcW w:w="659" w:type="dxa"/>
            <w:tcBorders>
              <w:top w:val="nil" w:sz="6" w:space="0" w:color="auto"/>
              <w:left w:val="nil" w:sz="6" w:space="0" w:color="auto"/>
              <w:bottom w:val="nil" w:sz="6" w:space="0" w:color="auto"/>
              <w:right w:val="nil" w:sz="6" w:space="0" w:color="auto"/>
            </w:tcBorders>
          </w:tcPr>
          <w:p>
            <w:pPr/>
          </w:p>
        </w:tc>
        <w:tc>
          <w:tcPr>
            <w:tcW w:w="2960" w:type="dxa"/>
            <w:tcBorders>
              <w:top w:val="nil" w:sz="6" w:space="0" w:color="auto"/>
              <w:left w:val="nil" w:sz="6" w:space="0" w:color="auto"/>
              <w:bottom w:val="nil" w:sz="6" w:space="0" w:color="auto"/>
              <w:right w:val="nil" w:sz="6" w:space="0" w:color="auto"/>
            </w:tcBorders>
          </w:tcPr>
          <w:p>
            <w:pPr>
              <w:pStyle w:val="TableParagraph"/>
              <w:tabs>
                <w:tab w:pos="1909" w:val="left" w:leader="none"/>
              </w:tabs>
              <w:spacing w:line="240" w:lineRule="auto" w:before="83"/>
              <w:ind w:left="107" w:right="0"/>
              <w:jc w:val="left"/>
              <w:rPr>
                <w:rFonts w:ascii="宋体" w:hAnsi="宋体" w:cs="宋体" w:eastAsia="宋体" w:hint="default"/>
                <w:sz w:val="13"/>
                <w:szCs w:val="13"/>
              </w:rPr>
            </w:pPr>
            <w:r>
              <w:rPr>
                <w:rFonts w:ascii="宋体" w:hAnsi="宋体" w:cs="宋体" w:eastAsia="宋体" w:hint="default"/>
                <w:w w:val="95"/>
                <w:sz w:val="13"/>
                <w:szCs w:val="13"/>
              </w:rPr>
              <w:t>北京利博赛社保信息技术有</w:t>
              <w:tab/>
            </w:r>
            <w:r>
              <w:rPr>
                <w:rFonts w:ascii="宋体" w:hAnsi="宋体" w:cs="宋体" w:eastAsia="宋体" w:hint="default"/>
                <w:sz w:val="13"/>
                <w:szCs w:val="13"/>
              </w:rPr>
              <w:t>有限责</w:t>
            </w:r>
          </w:p>
          <w:p>
            <w:pPr>
              <w:pStyle w:val="TableParagraph"/>
              <w:spacing w:line="240" w:lineRule="auto" w:before="17"/>
              <w:ind w:right="143"/>
              <w:jc w:val="right"/>
              <w:rPr>
                <w:rFonts w:ascii="宋体" w:hAnsi="宋体" w:cs="宋体" w:eastAsia="宋体" w:hint="default"/>
                <w:sz w:val="13"/>
                <w:szCs w:val="13"/>
              </w:rPr>
            </w:pPr>
            <w:r>
              <w:rPr>
                <w:rFonts w:ascii="宋体" w:hAnsi="宋体" w:cs="宋体" w:eastAsia="宋体" w:hint="default"/>
                <w:w w:val="95"/>
                <w:sz w:val="13"/>
                <w:szCs w:val="13"/>
              </w:rPr>
              <w:t>北京</w:t>
            </w:r>
            <w:r>
              <w:rPr>
                <w:rFonts w:ascii="宋体" w:hAnsi="宋体" w:cs="宋体" w:eastAsia="宋体" w:hint="default"/>
                <w:sz w:val="13"/>
                <w:szCs w:val="13"/>
              </w:rPr>
            </w:r>
          </w:p>
        </w:tc>
        <w:tc>
          <w:tcPr>
            <w:tcW w:w="8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73" w:right="0"/>
              <w:jc w:val="left"/>
              <w:rPr>
                <w:rFonts w:ascii="宋体" w:hAnsi="宋体" w:cs="宋体" w:eastAsia="宋体" w:hint="default"/>
                <w:sz w:val="13"/>
                <w:szCs w:val="13"/>
              </w:rPr>
            </w:pPr>
            <w:r>
              <w:rPr>
                <w:rFonts w:ascii="宋体" w:hAnsi="宋体" w:cs="宋体" w:eastAsia="宋体" w:hint="default"/>
                <w:sz w:val="13"/>
                <w:szCs w:val="13"/>
              </w:rPr>
              <w:t>胡伟伟</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42" w:right="0"/>
              <w:jc w:val="left"/>
              <w:rPr>
                <w:rFonts w:ascii="宋体" w:hAnsi="宋体" w:cs="宋体" w:eastAsia="宋体" w:hint="default"/>
                <w:sz w:val="13"/>
                <w:szCs w:val="13"/>
              </w:rPr>
            </w:pPr>
            <w:r>
              <w:rPr>
                <w:rFonts w:ascii="宋体" w:hAnsi="宋体" w:cs="宋体" w:eastAsia="宋体" w:hint="default"/>
                <w:sz w:val="13"/>
                <w:szCs w:val="13"/>
              </w:rPr>
              <w:t>技术开发咨询服</w:t>
            </w:r>
          </w:p>
        </w:tc>
        <w:tc>
          <w:tcPr>
            <w:tcW w:w="65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2"/>
              <w:jc w:val="right"/>
              <w:rPr>
                <w:rFonts w:ascii="宋体" w:hAnsi="宋体" w:cs="宋体" w:eastAsia="宋体" w:hint="default"/>
                <w:sz w:val="13"/>
                <w:szCs w:val="13"/>
              </w:rPr>
            </w:pPr>
            <w:r>
              <w:rPr>
                <w:rFonts w:ascii="Times New Roman" w:hAnsi="Times New Roman" w:cs="Times New Roman" w:eastAsia="Times New Roman" w:hint="default"/>
                <w:sz w:val="13"/>
                <w:szCs w:val="13"/>
              </w:rPr>
              <w:t>1,500</w:t>
            </w:r>
            <w:r>
              <w:rPr>
                <w:rFonts w:ascii="Times New Roman" w:hAnsi="Times New Roman" w:cs="Times New Roman" w:eastAsia="Times New Roman" w:hint="default"/>
                <w:spacing w:val="-9"/>
                <w:sz w:val="13"/>
                <w:szCs w:val="13"/>
              </w:rPr>
              <w:t> </w:t>
            </w:r>
            <w:r>
              <w:rPr>
                <w:rFonts w:ascii="宋体" w:hAnsi="宋体" w:cs="宋体" w:eastAsia="宋体" w:hint="default"/>
                <w:sz w:val="13"/>
                <w:szCs w:val="13"/>
              </w:rPr>
              <w:t>万</w:t>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13"/>
              <w:jc w:val="right"/>
              <w:rPr>
                <w:rFonts w:ascii="Times New Roman" w:hAnsi="Times New Roman" w:cs="Times New Roman" w:eastAsia="Times New Roman" w:hint="default"/>
                <w:sz w:val="13"/>
                <w:szCs w:val="13"/>
              </w:rPr>
            </w:pPr>
            <w:r>
              <w:rPr>
                <w:rFonts w:ascii="Times New Roman"/>
                <w:w w:val="95"/>
                <w:sz w:val="13"/>
              </w:rPr>
              <w:t>33.33</w:t>
            </w:r>
            <w:r>
              <w:rPr>
                <w:rFonts w:ascii="Times New Roman"/>
                <w:sz w:val="13"/>
              </w:rPr>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97"/>
              <w:jc w:val="right"/>
              <w:rPr>
                <w:rFonts w:ascii="Times New Roman" w:hAnsi="Times New Roman" w:cs="Times New Roman" w:eastAsia="Times New Roman" w:hint="default"/>
                <w:sz w:val="13"/>
                <w:szCs w:val="13"/>
              </w:rPr>
            </w:pPr>
            <w:r>
              <w:rPr>
                <w:rFonts w:ascii="Times New Roman"/>
                <w:w w:val="95"/>
                <w:sz w:val="13"/>
              </w:rPr>
              <w:t>33.33</w:t>
            </w:r>
            <w:r>
              <w:rPr>
                <w:rFonts w:ascii="Times New Roman"/>
                <w:sz w:val="13"/>
              </w:rPr>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86" w:right="0"/>
              <w:jc w:val="center"/>
              <w:rPr>
                <w:rFonts w:ascii="Times New Roman" w:hAnsi="Times New Roman" w:cs="Times New Roman" w:eastAsia="Times New Roman" w:hint="default"/>
                <w:sz w:val="13"/>
                <w:szCs w:val="13"/>
              </w:rPr>
            </w:pPr>
            <w:r>
              <w:rPr>
                <w:rFonts w:ascii="Times New Roman"/>
                <w:sz w:val="13"/>
              </w:rPr>
              <w:t>27,354,907</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98"/>
              <w:jc w:val="right"/>
              <w:rPr>
                <w:rFonts w:ascii="Times New Roman" w:hAnsi="Times New Roman" w:cs="Times New Roman" w:eastAsia="Times New Roman" w:hint="default"/>
                <w:sz w:val="13"/>
                <w:szCs w:val="13"/>
              </w:rPr>
            </w:pPr>
            <w:r>
              <w:rPr>
                <w:rFonts w:ascii="Times New Roman"/>
                <w:spacing w:val="-1"/>
                <w:sz w:val="13"/>
              </w:rPr>
              <w:t>5,265,112</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Times New Roman" w:hAnsi="Times New Roman" w:cs="Times New Roman" w:eastAsia="Times New Roman" w:hint="default"/>
                <w:sz w:val="13"/>
                <w:szCs w:val="13"/>
              </w:rPr>
            </w:pPr>
            <w:r>
              <w:rPr>
                <w:rFonts w:ascii="Times New Roman"/>
                <w:w w:val="95"/>
                <w:sz w:val="13"/>
              </w:rPr>
              <w:t>22,089,795</w:t>
            </w:r>
            <w:r>
              <w:rPr>
                <w:rFonts w:ascii="Times New Roman"/>
                <w:sz w:val="13"/>
              </w:rPr>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5"/>
                <w:sz w:val="13"/>
              </w:rPr>
              <w:t>13,589,702</w:t>
            </w:r>
            <w:r>
              <w:rPr>
                <w:rFonts w:ascii="Times New Roman"/>
                <w:sz w:val="13"/>
              </w:rPr>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82"/>
              <w:jc w:val="center"/>
              <w:rPr>
                <w:rFonts w:ascii="宋体" w:hAnsi="宋体" w:cs="宋体" w:eastAsia="宋体" w:hint="default"/>
                <w:sz w:val="13"/>
                <w:szCs w:val="13"/>
              </w:rPr>
            </w:pPr>
            <w:r>
              <w:rPr>
                <w:rFonts w:ascii="宋体" w:hAnsi="宋体" w:cs="宋体" w:eastAsia="宋体" w:hint="default"/>
                <w:sz w:val="13"/>
                <w:szCs w:val="13"/>
              </w:rPr>
              <w:t>联营</w:t>
            </w:r>
          </w:p>
          <w:p>
            <w:pPr>
              <w:pStyle w:val="TableParagraph"/>
              <w:tabs>
                <w:tab w:pos="1493" w:val="left" w:leader="none"/>
              </w:tabs>
              <w:spacing w:line="240" w:lineRule="auto" w:before="47"/>
              <w:ind w:left="269" w:right="0"/>
              <w:jc w:val="left"/>
              <w:rPr>
                <w:rFonts w:ascii="Times New Roman" w:hAnsi="Times New Roman" w:cs="Times New Roman" w:eastAsia="Times New Roman" w:hint="default"/>
                <w:sz w:val="13"/>
                <w:szCs w:val="13"/>
              </w:rPr>
            </w:pPr>
            <w:r>
              <w:rPr>
                <w:rFonts w:ascii="Times New Roman"/>
                <w:w w:val="95"/>
                <w:sz w:val="13"/>
              </w:rPr>
              <w:t>319,427</w:t>
              <w:tab/>
            </w:r>
            <w:r>
              <w:rPr>
                <w:rFonts w:ascii="Times New Roman"/>
                <w:sz w:val="13"/>
              </w:rPr>
              <w:t>80204827-6</w:t>
            </w:r>
          </w:p>
        </w:tc>
      </w:tr>
      <w:tr>
        <w:trPr>
          <w:trHeight w:val="286" w:hRule="exact"/>
        </w:trPr>
        <w:tc>
          <w:tcPr>
            <w:tcW w:w="659" w:type="dxa"/>
            <w:tcBorders>
              <w:top w:val="nil" w:sz="6" w:space="0" w:color="auto"/>
              <w:left w:val="nil" w:sz="6" w:space="0" w:color="auto"/>
              <w:bottom w:val="nil" w:sz="6" w:space="0" w:color="auto"/>
              <w:right w:val="nil" w:sz="6" w:space="0" w:color="auto"/>
            </w:tcBorders>
          </w:tcPr>
          <w:p>
            <w:pPr/>
          </w:p>
        </w:tc>
        <w:tc>
          <w:tcPr>
            <w:tcW w:w="2960" w:type="dxa"/>
            <w:tcBorders>
              <w:top w:val="nil" w:sz="6" w:space="0" w:color="auto"/>
              <w:left w:val="nil" w:sz="6" w:space="0" w:color="auto"/>
              <w:bottom w:val="nil" w:sz="6" w:space="0" w:color="auto"/>
              <w:right w:val="nil" w:sz="6" w:space="0" w:color="auto"/>
            </w:tcBorders>
          </w:tcPr>
          <w:p>
            <w:pPr>
              <w:pStyle w:val="TableParagraph"/>
              <w:tabs>
                <w:tab w:pos="1909" w:val="left" w:leader="none"/>
              </w:tabs>
              <w:spacing w:line="165" w:lineRule="exact"/>
              <w:ind w:left="107" w:right="0"/>
              <w:jc w:val="left"/>
              <w:rPr>
                <w:rFonts w:ascii="宋体" w:hAnsi="宋体" w:cs="宋体" w:eastAsia="宋体" w:hint="default"/>
                <w:sz w:val="13"/>
                <w:szCs w:val="13"/>
              </w:rPr>
            </w:pPr>
            <w:r>
              <w:rPr>
                <w:rFonts w:ascii="宋体" w:hAnsi="宋体" w:cs="宋体" w:eastAsia="宋体" w:hint="default"/>
                <w:w w:val="95"/>
                <w:sz w:val="13"/>
                <w:szCs w:val="13"/>
              </w:rPr>
              <w:t>限公司（</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北京利博赛</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w:t>
              <w:tab/>
            </w:r>
            <w:r>
              <w:rPr>
                <w:rFonts w:ascii="宋体" w:hAnsi="宋体" w:cs="宋体" w:eastAsia="宋体" w:hint="default"/>
                <w:sz w:val="13"/>
                <w:szCs w:val="13"/>
              </w:rPr>
              <w:t>任公司</w:t>
            </w:r>
          </w:p>
        </w:tc>
        <w:tc>
          <w:tcPr>
            <w:tcW w:w="888"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155" w:lineRule="exact"/>
              <w:ind w:left="142" w:right="0"/>
              <w:jc w:val="left"/>
              <w:rPr>
                <w:rFonts w:ascii="宋体" w:hAnsi="宋体" w:cs="宋体" w:eastAsia="宋体" w:hint="default"/>
                <w:sz w:val="13"/>
                <w:szCs w:val="13"/>
              </w:rPr>
            </w:pPr>
            <w:r>
              <w:rPr>
                <w:rFonts w:ascii="宋体" w:hAnsi="宋体" w:cs="宋体" w:eastAsia="宋体" w:hint="default"/>
                <w:sz w:val="13"/>
                <w:szCs w:val="13"/>
              </w:rPr>
              <w:t>务及产品销售</w:t>
            </w:r>
          </w:p>
        </w:tc>
        <w:tc>
          <w:tcPr>
            <w:tcW w:w="650" w:type="dxa"/>
            <w:tcBorders>
              <w:top w:val="nil" w:sz="6" w:space="0" w:color="auto"/>
              <w:left w:val="nil" w:sz="6" w:space="0" w:color="auto"/>
              <w:bottom w:val="nil" w:sz="6" w:space="0" w:color="auto"/>
              <w:right w:val="nil" w:sz="6" w:space="0" w:color="auto"/>
            </w:tcBorders>
          </w:tcPr>
          <w:p>
            <w:pPr>
              <w:pStyle w:val="TableParagraph"/>
              <w:spacing w:line="155" w:lineRule="exact"/>
              <w:ind w:right="101"/>
              <w:jc w:val="right"/>
              <w:rPr>
                <w:rFonts w:ascii="宋体" w:hAnsi="宋体" w:cs="宋体" w:eastAsia="宋体" w:hint="default"/>
                <w:sz w:val="13"/>
                <w:szCs w:val="13"/>
              </w:rPr>
            </w:pPr>
            <w:r>
              <w:rPr>
                <w:rFonts w:ascii="宋体" w:hAnsi="宋体" w:cs="宋体" w:eastAsia="宋体" w:hint="default"/>
                <w:w w:val="99"/>
                <w:sz w:val="13"/>
                <w:szCs w:val="13"/>
              </w:rPr>
              <w:t>元</w:t>
            </w:r>
            <w:r>
              <w:rPr>
                <w:rFonts w:ascii="宋体" w:hAnsi="宋体" w:cs="宋体" w:eastAsia="宋体" w:hint="default"/>
                <w:sz w:val="13"/>
                <w:szCs w:val="13"/>
              </w:rPr>
            </w:r>
          </w:p>
        </w:tc>
        <w:tc>
          <w:tcPr>
            <w:tcW w:w="829"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
        </w:tc>
        <w:tc>
          <w:tcPr>
            <w:tcW w:w="2186" w:type="dxa"/>
            <w:tcBorders>
              <w:top w:val="nil" w:sz="6" w:space="0" w:color="auto"/>
              <w:left w:val="nil" w:sz="6" w:space="0" w:color="auto"/>
              <w:bottom w:val="nil" w:sz="6" w:space="0" w:color="auto"/>
              <w:right w:val="nil" w:sz="6" w:space="0" w:color="auto"/>
            </w:tcBorders>
          </w:tcPr>
          <w:p>
            <w:pPr>
              <w:pStyle w:val="TableParagraph"/>
              <w:spacing w:line="155" w:lineRule="exact"/>
              <w:ind w:right="182"/>
              <w:jc w:val="center"/>
              <w:rPr>
                <w:rFonts w:ascii="宋体" w:hAnsi="宋体" w:cs="宋体" w:eastAsia="宋体" w:hint="default"/>
                <w:sz w:val="13"/>
                <w:szCs w:val="13"/>
              </w:rPr>
            </w:pPr>
            <w:r>
              <w:rPr>
                <w:rFonts w:ascii="宋体" w:hAnsi="宋体" w:cs="宋体" w:eastAsia="宋体" w:hint="default"/>
                <w:sz w:val="13"/>
                <w:szCs w:val="13"/>
              </w:rPr>
              <w:t>公司</w:t>
            </w:r>
          </w:p>
        </w:tc>
      </w:tr>
      <w:tr>
        <w:trPr>
          <w:trHeight w:val="473" w:hRule="exact"/>
        </w:trPr>
        <w:tc>
          <w:tcPr>
            <w:tcW w:w="659" w:type="dxa"/>
            <w:tcBorders>
              <w:top w:val="nil" w:sz="6" w:space="0" w:color="auto"/>
              <w:left w:val="nil" w:sz="6" w:space="0" w:color="auto"/>
              <w:bottom w:val="nil" w:sz="6" w:space="0" w:color="auto"/>
              <w:right w:val="nil" w:sz="6" w:space="0" w:color="auto"/>
            </w:tcBorders>
          </w:tcPr>
          <w:p>
            <w:pPr/>
          </w:p>
        </w:tc>
        <w:tc>
          <w:tcPr>
            <w:tcW w:w="2960" w:type="dxa"/>
            <w:tcBorders>
              <w:top w:val="nil" w:sz="6" w:space="0" w:color="auto"/>
              <w:left w:val="nil" w:sz="6" w:space="0" w:color="auto"/>
              <w:bottom w:val="nil" w:sz="6" w:space="0" w:color="auto"/>
              <w:right w:val="nil" w:sz="6" w:space="0" w:color="auto"/>
            </w:tcBorders>
          </w:tcPr>
          <w:p>
            <w:pPr>
              <w:pStyle w:val="TableParagraph"/>
              <w:tabs>
                <w:tab w:pos="1909" w:val="left" w:leader="none"/>
              </w:tabs>
              <w:spacing w:line="240" w:lineRule="auto" w:before="83"/>
              <w:ind w:left="107" w:right="0"/>
              <w:jc w:val="left"/>
              <w:rPr>
                <w:rFonts w:ascii="宋体" w:hAnsi="宋体" w:cs="宋体" w:eastAsia="宋体" w:hint="default"/>
                <w:sz w:val="13"/>
                <w:szCs w:val="13"/>
              </w:rPr>
            </w:pPr>
            <w:r>
              <w:rPr>
                <w:rFonts w:ascii="宋体" w:hAnsi="宋体" w:cs="宋体" w:eastAsia="宋体" w:hint="default"/>
                <w:w w:val="95"/>
                <w:sz w:val="13"/>
                <w:szCs w:val="13"/>
              </w:rPr>
              <w:t>东软飞利浦医疗设备系统有</w:t>
              <w:tab/>
            </w:r>
            <w:r>
              <w:rPr>
                <w:rFonts w:ascii="宋体" w:hAnsi="宋体" w:cs="宋体" w:eastAsia="宋体" w:hint="default"/>
                <w:sz w:val="13"/>
                <w:szCs w:val="13"/>
              </w:rPr>
              <w:t>有限责</w:t>
            </w:r>
          </w:p>
          <w:p>
            <w:pPr>
              <w:pStyle w:val="TableParagraph"/>
              <w:spacing w:line="240" w:lineRule="auto" w:before="17"/>
              <w:ind w:right="143"/>
              <w:jc w:val="right"/>
              <w:rPr>
                <w:rFonts w:ascii="宋体" w:hAnsi="宋体" w:cs="宋体" w:eastAsia="宋体" w:hint="default"/>
                <w:sz w:val="13"/>
                <w:szCs w:val="13"/>
              </w:rPr>
            </w:pPr>
            <w:r>
              <w:rPr>
                <w:rFonts w:ascii="宋体" w:hAnsi="宋体" w:cs="宋体" w:eastAsia="宋体" w:hint="default"/>
                <w:w w:val="95"/>
                <w:sz w:val="13"/>
                <w:szCs w:val="13"/>
              </w:rPr>
              <w:t>沈阳</w:t>
            </w:r>
            <w:r>
              <w:rPr>
                <w:rFonts w:ascii="宋体" w:hAnsi="宋体" w:cs="宋体" w:eastAsia="宋体" w:hint="default"/>
                <w:sz w:val="13"/>
                <w:szCs w:val="13"/>
              </w:rPr>
            </w:r>
          </w:p>
        </w:tc>
        <w:tc>
          <w:tcPr>
            <w:tcW w:w="8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7"/>
              <w:ind w:right="0"/>
              <w:jc w:val="left"/>
              <w:rPr>
                <w:rFonts w:ascii="Times New Roman" w:hAnsi="Times New Roman" w:cs="Times New Roman" w:eastAsia="Times New Roman" w:hint="default"/>
                <w:sz w:val="11"/>
                <w:szCs w:val="11"/>
              </w:rPr>
            </w:pPr>
          </w:p>
          <w:p>
            <w:pPr>
              <w:pStyle w:val="TableParagraph"/>
              <w:spacing w:line="240" w:lineRule="auto"/>
              <w:ind w:left="73" w:right="0"/>
              <w:jc w:val="left"/>
              <w:rPr>
                <w:rFonts w:ascii="宋体" w:hAnsi="宋体" w:cs="宋体" w:eastAsia="宋体" w:hint="default"/>
                <w:sz w:val="13"/>
                <w:szCs w:val="13"/>
              </w:rPr>
            </w:pPr>
            <w:r>
              <w:rPr>
                <w:rFonts w:ascii="宋体" w:hAnsi="宋体" w:cs="宋体" w:eastAsia="宋体" w:hint="default"/>
                <w:sz w:val="13"/>
                <w:szCs w:val="13"/>
              </w:rPr>
              <w:t>刘积仁</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42" w:right="0"/>
              <w:jc w:val="left"/>
              <w:rPr>
                <w:rFonts w:ascii="宋体" w:hAnsi="宋体" w:cs="宋体" w:eastAsia="宋体" w:hint="default"/>
                <w:sz w:val="13"/>
                <w:szCs w:val="13"/>
              </w:rPr>
            </w:pPr>
            <w:r>
              <w:rPr>
                <w:rFonts w:ascii="宋体" w:hAnsi="宋体" w:cs="宋体" w:eastAsia="宋体" w:hint="default"/>
                <w:sz w:val="13"/>
                <w:szCs w:val="13"/>
              </w:rPr>
              <w:t>研究开发生产销</w:t>
            </w:r>
          </w:p>
        </w:tc>
        <w:tc>
          <w:tcPr>
            <w:tcW w:w="65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2"/>
              <w:jc w:val="right"/>
              <w:rPr>
                <w:rFonts w:ascii="宋体" w:hAnsi="宋体" w:cs="宋体" w:eastAsia="宋体" w:hint="default"/>
                <w:sz w:val="13"/>
                <w:szCs w:val="13"/>
              </w:rPr>
            </w:pPr>
            <w:r>
              <w:rPr>
                <w:rFonts w:ascii="Times New Roman" w:hAnsi="Times New Roman" w:cs="Times New Roman" w:eastAsia="Times New Roman" w:hint="default"/>
                <w:sz w:val="13"/>
                <w:szCs w:val="13"/>
              </w:rPr>
              <w:t>2,960</w:t>
            </w:r>
            <w:r>
              <w:rPr>
                <w:rFonts w:ascii="Times New Roman" w:hAnsi="Times New Roman" w:cs="Times New Roman" w:eastAsia="Times New Roman" w:hint="default"/>
                <w:spacing w:val="-9"/>
                <w:sz w:val="13"/>
                <w:szCs w:val="13"/>
              </w:rPr>
              <w:t> </w:t>
            </w:r>
            <w:r>
              <w:rPr>
                <w:rFonts w:ascii="宋体" w:hAnsi="宋体" w:cs="宋体" w:eastAsia="宋体" w:hint="default"/>
                <w:sz w:val="13"/>
                <w:szCs w:val="13"/>
              </w:rPr>
              <w:t>万</w:t>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13"/>
              <w:jc w:val="right"/>
              <w:rPr>
                <w:rFonts w:ascii="Times New Roman" w:hAnsi="Times New Roman" w:cs="Times New Roman" w:eastAsia="Times New Roman" w:hint="default"/>
                <w:sz w:val="13"/>
                <w:szCs w:val="13"/>
              </w:rPr>
            </w:pPr>
            <w:r>
              <w:rPr>
                <w:rFonts w:ascii="Times New Roman"/>
                <w:w w:val="95"/>
                <w:sz w:val="13"/>
              </w:rPr>
              <w:t>49.00</w:t>
            </w:r>
            <w:r>
              <w:rPr>
                <w:rFonts w:ascii="Times New Roman"/>
                <w:sz w:val="13"/>
              </w:rPr>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97"/>
              <w:jc w:val="right"/>
              <w:rPr>
                <w:rFonts w:ascii="Times New Roman" w:hAnsi="Times New Roman" w:cs="Times New Roman" w:eastAsia="Times New Roman" w:hint="default"/>
                <w:sz w:val="13"/>
                <w:szCs w:val="13"/>
              </w:rPr>
            </w:pPr>
            <w:r>
              <w:rPr>
                <w:rFonts w:ascii="Times New Roman"/>
                <w:w w:val="95"/>
                <w:sz w:val="13"/>
              </w:rPr>
              <w:t>49.00</w:t>
            </w:r>
            <w:r>
              <w:rPr>
                <w:rFonts w:ascii="Times New Roman"/>
                <w:sz w:val="13"/>
              </w:rPr>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25" w:right="0"/>
              <w:jc w:val="center"/>
              <w:rPr>
                <w:rFonts w:ascii="Times New Roman" w:hAnsi="Times New Roman" w:cs="Times New Roman" w:eastAsia="Times New Roman" w:hint="default"/>
                <w:sz w:val="13"/>
                <w:szCs w:val="13"/>
              </w:rPr>
            </w:pPr>
            <w:r>
              <w:rPr>
                <w:rFonts w:ascii="Times New Roman"/>
                <w:sz w:val="13"/>
              </w:rPr>
              <w:t>505,117,695</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98"/>
              <w:jc w:val="right"/>
              <w:rPr>
                <w:rFonts w:ascii="Times New Roman" w:hAnsi="Times New Roman" w:cs="Times New Roman" w:eastAsia="Times New Roman" w:hint="default"/>
                <w:sz w:val="13"/>
                <w:szCs w:val="13"/>
              </w:rPr>
            </w:pPr>
            <w:r>
              <w:rPr>
                <w:rFonts w:ascii="Times New Roman"/>
                <w:w w:val="95"/>
                <w:sz w:val="13"/>
              </w:rPr>
              <w:t>169,960,314</w:t>
            </w:r>
            <w:r>
              <w:rPr>
                <w:rFonts w:ascii="Times New Roman"/>
                <w:sz w:val="13"/>
              </w:rPr>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Times New Roman" w:hAnsi="Times New Roman" w:cs="Times New Roman" w:eastAsia="Times New Roman" w:hint="default"/>
                <w:sz w:val="13"/>
                <w:szCs w:val="13"/>
              </w:rPr>
            </w:pPr>
            <w:r>
              <w:rPr>
                <w:rFonts w:ascii="Times New Roman"/>
                <w:w w:val="95"/>
                <w:sz w:val="13"/>
              </w:rPr>
              <w:t>335,157,381</w:t>
            </w:r>
            <w:r>
              <w:rPr>
                <w:rFonts w:ascii="Times New Roman"/>
                <w:sz w:val="13"/>
              </w:rPr>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right="106"/>
              <w:jc w:val="right"/>
              <w:rPr>
                <w:rFonts w:ascii="Times New Roman" w:hAnsi="Times New Roman" w:cs="Times New Roman" w:eastAsia="Times New Roman" w:hint="default"/>
                <w:sz w:val="13"/>
                <w:szCs w:val="13"/>
              </w:rPr>
            </w:pPr>
            <w:r>
              <w:rPr>
                <w:rFonts w:ascii="Times New Roman"/>
                <w:w w:val="95"/>
                <w:sz w:val="13"/>
              </w:rPr>
              <w:t>889,875,853</w:t>
            </w:r>
            <w:r>
              <w:rPr>
                <w:rFonts w:ascii="Times New Roman"/>
                <w:sz w:val="13"/>
              </w:rPr>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82"/>
              <w:jc w:val="center"/>
              <w:rPr>
                <w:rFonts w:ascii="宋体" w:hAnsi="宋体" w:cs="宋体" w:eastAsia="宋体" w:hint="default"/>
                <w:sz w:val="13"/>
                <w:szCs w:val="13"/>
              </w:rPr>
            </w:pPr>
            <w:r>
              <w:rPr>
                <w:rFonts w:ascii="宋体" w:hAnsi="宋体" w:cs="宋体" w:eastAsia="宋体" w:hint="default"/>
                <w:sz w:val="13"/>
                <w:szCs w:val="13"/>
              </w:rPr>
              <w:t>联营</w:t>
            </w:r>
          </w:p>
          <w:p>
            <w:pPr>
              <w:pStyle w:val="TableParagraph"/>
              <w:tabs>
                <w:tab w:pos="1493" w:val="left" w:leader="none"/>
              </w:tabs>
              <w:spacing w:line="240" w:lineRule="auto" w:before="47"/>
              <w:ind w:left="108" w:right="0"/>
              <w:jc w:val="left"/>
              <w:rPr>
                <w:rFonts w:ascii="Times New Roman" w:hAnsi="Times New Roman" w:cs="Times New Roman" w:eastAsia="Times New Roman" w:hint="default"/>
                <w:sz w:val="13"/>
                <w:szCs w:val="13"/>
              </w:rPr>
            </w:pPr>
            <w:r>
              <w:rPr>
                <w:rFonts w:ascii="Times New Roman"/>
                <w:w w:val="95"/>
                <w:sz w:val="13"/>
              </w:rPr>
              <w:t>76,442,422</w:t>
              <w:tab/>
            </w:r>
            <w:r>
              <w:rPr>
                <w:rFonts w:ascii="Times New Roman"/>
                <w:sz w:val="13"/>
              </w:rPr>
              <w:t>76007551-5</w:t>
            </w:r>
          </w:p>
        </w:tc>
      </w:tr>
      <w:tr>
        <w:trPr>
          <w:trHeight w:val="286" w:hRule="exact"/>
        </w:trPr>
        <w:tc>
          <w:tcPr>
            <w:tcW w:w="659" w:type="dxa"/>
            <w:tcBorders>
              <w:top w:val="nil" w:sz="6" w:space="0" w:color="auto"/>
              <w:left w:val="nil" w:sz="6" w:space="0" w:color="auto"/>
              <w:bottom w:val="nil" w:sz="6" w:space="0" w:color="auto"/>
              <w:right w:val="nil" w:sz="6" w:space="0" w:color="auto"/>
            </w:tcBorders>
          </w:tcPr>
          <w:p>
            <w:pPr/>
          </w:p>
        </w:tc>
        <w:tc>
          <w:tcPr>
            <w:tcW w:w="2960" w:type="dxa"/>
            <w:tcBorders>
              <w:top w:val="nil" w:sz="6" w:space="0" w:color="auto"/>
              <w:left w:val="nil" w:sz="6" w:space="0" w:color="auto"/>
              <w:bottom w:val="nil" w:sz="6" w:space="0" w:color="auto"/>
              <w:right w:val="nil" w:sz="6" w:space="0" w:color="auto"/>
            </w:tcBorders>
          </w:tcPr>
          <w:p>
            <w:pPr>
              <w:pStyle w:val="TableParagraph"/>
              <w:spacing w:line="165" w:lineRule="exact"/>
              <w:ind w:left="107" w:right="0"/>
              <w:jc w:val="left"/>
              <w:rPr>
                <w:rFonts w:ascii="宋体" w:hAnsi="宋体" w:cs="宋体" w:eastAsia="宋体" w:hint="default"/>
                <w:sz w:val="13"/>
                <w:szCs w:val="13"/>
              </w:rPr>
            </w:pPr>
            <w:r>
              <w:rPr>
                <w:rFonts w:ascii="宋体" w:hAnsi="宋体" w:cs="宋体" w:eastAsia="宋体" w:hint="default"/>
                <w:sz w:val="13"/>
                <w:szCs w:val="13"/>
              </w:rPr>
              <w:t>限责任公司（</w:t>
            </w:r>
            <w:r>
              <w:rPr>
                <w:rFonts w:ascii="Times New Roman" w:hAnsi="Times New Roman" w:cs="Times New Roman" w:eastAsia="Times New Roman" w:hint="default"/>
                <w:sz w:val="13"/>
                <w:szCs w:val="13"/>
              </w:rPr>
              <w:t>”</w:t>
            </w:r>
            <w:r>
              <w:rPr>
                <w:rFonts w:ascii="宋体" w:hAnsi="宋体" w:cs="宋体" w:eastAsia="宋体" w:hint="default"/>
                <w:sz w:val="13"/>
                <w:szCs w:val="13"/>
              </w:rPr>
              <w:t>东软飞利浦</w:t>
            </w:r>
            <w:r>
              <w:rPr>
                <w:rFonts w:ascii="Times New Roman" w:hAnsi="Times New Roman" w:cs="Times New Roman" w:eastAsia="Times New Roman" w:hint="default"/>
                <w:sz w:val="13"/>
                <w:szCs w:val="13"/>
              </w:rPr>
              <w:t>”</w:t>
            </w:r>
            <w:r>
              <w:rPr>
                <w:rFonts w:ascii="宋体" w:hAnsi="宋体" w:cs="宋体" w:eastAsia="宋体" w:hint="default"/>
                <w:sz w:val="13"/>
                <w:szCs w:val="13"/>
              </w:rPr>
              <w:t>）</w:t>
            </w:r>
            <w:r>
              <w:rPr>
                <w:rFonts w:ascii="宋体" w:hAnsi="宋体" w:cs="宋体" w:eastAsia="宋体" w:hint="default"/>
                <w:spacing w:val="58"/>
                <w:sz w:val="13"/>
                <w:szCs w:val="13"/>
              </w:rPr>
              <w:t> </w:t>
            </w:r>
            <w:r>
              <w:rPr>
                <w:rFonts w:ascii="宋体" w:hAnsi="宋体" w:cs="宋体" w:eastAsia="宋体" w:hint="default"/>
                <w:sz w:val="13"/>
                <w:szCs w:val="13"/>
              </w:rPr>
              <w:t>任公司</w:t>
            </w:r>
          </w:p>
        </w:tc>
        <w:tc>
          <w:tcPr>
            <w:tcW w:w="888"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165" w:lineRule="exact"/>
              <w:ind w:left="142" w:right="0"/>
              <w:jc w:val="left"/>
              <w:rPr>
                <w:rFonts w:ascii="宋体" w:hAnsi="宋体" w:cs="宋体" w:eastAsia="宋体" w:hint="default"/>
                <w:sz w:val="13"/>
                <w:szCs w:val="13"/>
              </w:rPr>
            </w:pPr>
            <w:r>
              <w:rPr>
                <w:rFonts w:ascii="宋体" w:hAnsi="宋体" w:cs="宋体" w:eastAsia="宋体" w:hint="default"/>
                <w:sz w:val="13"/>
                <w:szCs w:val="13"/>
              </w:rPr>
              <w:t>售</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CT</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机等</w:t>
            </w:r>
          </w:p>
        </w:tc>
        <w:tc>
          <w:tcPr>
            <w:tcW w:w="650" w:type="dxa"/>
            <w:tcBorders>
              <w:top w:val="nil" w:sz="6" w:space="0" w:color="auto"/>
              <w:left w:val="nil" w:sz="6" w:space="0" w:color="auto"/>
              <w:bottom w:val="nil" w:sz="6" w:space="0" w:color="auto"/>
              <w:right w:val="nil" w:sz="6" w:space="0" w:color="auto"/>
            </w:tcBorders>
          </w:tcPr>
          <w:p>
            <w:pPr>
              <w:pStyle w:val="TableParagraph"/>
              <w:spacing w:line="155" w:lineRule="exact"/>
              <w:ind w:right="101"/>
              <w:jc w:val="right"/>
              <w:rPr>
                <w:rFonts w:ascii="宋体" w:hAnsi="宋体" w:cs="宋体" w:eastAsia="宋体" w:hint="default"/>
                <w:sz w:val="13"/>
                <w:szCs w:val="13"/>
              </w:rPr>
            </w:pPr>
            <w:r>
              <w:rPr>
                <w:rFonts w:ascii="宋体" w:hAnsi="宋体" w:cs="宋体" w:eastAsia="宋体" w:hint="default"/>
                <w:w w:val="95"/>
                <w:sz w:val="13"/>
                <w:szCs w:val="13"/>
              </w:rPr>
              <w:t>美元</w:t>
            </w:r>
            <w:r>
              <w:rPr>
                <w:rFonts w:ascii="宋体" w:hAnsi="宋体" w:cs="宋体" w:eastAsia="宋体" w:hint="default"/>
                <w:sz w:val="13"/>
                <w:szCs w:val="13"/>
              </w:rPr>
            </w:r>
          </w:p>
        </w:tc>
        <w:tc>
          <w:tcPr>
            <w:tcW w:w="829"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
        </w:tc>
        <w:tc>
          <w:tcPr>
            <w:tcW w:w="2186" w:type="dxa"/>
            <w:tcBorders>
              <w:top w:val="nil" w:sz="6" w:space="0" w:color="auto"/>
              <w:left w:val="nil" w:sz="6" w:space="0" w:color="auto"/>
              <w:bottom w:val="nil" w:sz="6" w:space="0" w:color="auto"/>
              <w:right w:val="nil" w:sz="6" w:space="0" w:color="auto"/>
            </w:tcBorders>
          </w:tcPr>
          <w:p>
            <w:pPr>
              <w:pStyle w:val="TableParagraph"/>
              <w:spacing w:line="155" w:lineRule="exact"/>
              <w:ind w:right="182"/>
              <w:jc w:val="center"/>
              <w:rPr>
                <w:rFonts w:ascii="宋体" w:hAnsi="宋体" w:cs="宋体" w:eastAsia="宋体" w:hint="default"/>
                <w:sz w:val="13"/>
                <w:szCs w:val="13"/>
              </w:rPr>
            </w:pPr>
            <w:r>
              <w:rPr>
                <w:rFonts w:ascii="宋体" w:hAnsi="宋体" w:cs="宋体" w:eastAsia="宋体" w:hint="default"/>
                <w:sz w:val="13"/>
                <w:szCs w:val="13"/>
              </w:rPr>
              <w:t>公司</w:t>
            </w:r>
          </w:p>
        </w:tc>
      </w:tr>
      <w:tr>
        <w:trPr>
          <w:trHeight w:val="473" w:hRule="exact"/>
        </w:trPr>
        <w:tc>
          <w:tcPr>
            <w:tcW w:w="659" w:type="dxa"/>
            <w:tcBorders>
              <w:top w:val="nil" w:sz="6" w:space="0" w:color="auto"/>
              <w:left w:val="nil" w:sz="6" w:space="0" w:color="auto"/>
              <w:bottom w:val="nil" w:sz="6" w:space="0" w:color="auto"/>
              <w:right w:val="nil" w:sz="6" w:space="0" w:color="auto"/>
            </w:tcBorders>
          </w:tcPr>
          <w:p>
            <w:pPr/>
          </w:p>
        </w:tc>
        <w:tc>
          <w:tcPr>
            <w:tcW w:w="2960" w:type="dxa"/>
            <w:tcBorders>
              <w:top w:val="nil" w:sz="6" w:space="0" w:color="auto"/>
              <w:left w:val="nil" w:sz="6" w:space="0" w:color="auto"/>
              <w:bottom w:val="nil" w:sz="6" w:space="0" w:color="auto"/>
              <w:right w:val="nil" w:sz="6" w:space="0" w:color="auto"/>
            </w:tcBorders>
          </w:tcPr>
          <w:p>
            <w:pPr>
              <w:pStyle w:val="TableParagraph"/>
              <w:tabs>
                <w:tab w:pos="1909" w:val="left" w:leader="none"/>
              </w:tabs>
              <w:spacing w:line="240" w:lineRule="auto" w:before="83"/>
              <w:ind w:left="107" w:right="0"/>
              <w:jc w:val="left"/>
              <w:rPr>
                <w:rFonts w:ascii="宋体" w:hAnsi="宋体" w:cs="宋体" w:eastAsia="宋体" w:hint="default"/>
                <w:sz w:val="13"/>
                <w:szCs w:val="13"/>
              </w:rPr>
            </w:pPr>
            <w:r>
              <w:rPr>
                <w:rFonts w:ascii="宋体" w:hAnsi="宋体" w:cs="宋体" w:eastAsia="宋体" w:hint="default"/>
                <w:w w:val="95"/>
                <w:sz w:val="13"/>
                <w:szCs w:val="13"/>
              </w:rPr>
              <w:t>辽宁盛京熙康健康管理有限</w:t>
              <w:tab/>
            </w:r>
            <w:r>
              <w:rPr>
                <w:rFonts w:ascii="宋体" w:hAnsi="宋体" w:cs="宋体" w:eastAsia="宋体" w:hint="default"/>
                <w:sz w:val="13"/>
                <w:szCs w:val="13"/>
              </w:rPr>
              <w:t>有限责</w:t>
            </w:r>
          </w:p>
          <w:p>
            <w:pPr>
              <w:pStyle w:val="TableParagraph"/>
              <w:spacing w:line="240" w:lineRule="auto" w:before="17"/>
              <w:ind w:right="143"/>
              <w:jc w:val="right"/>
              <w:rPr>
                <w:rFonts w:ascii="宋体" w:hAnsi="宋体" w:cs="宋体" w:eastAsia="宋体" w:hint="default"/>
                <w:sz w:val="13"/>
                <w:szCs w:val="13"/>
              </w:rPr>
            </w:pPr>
            <w:r>
              <w:rPr>
                <w:rFonts w:ascii="宋体" w:hAnsi="宋体" w:cs="宋体" w:eastAsia="宋体" w:hint="default"/>
                <w:w w:val="95"/>
                <w:sz w:val="13"/>
                <w:szCs w:val="13"/>
              </w:rPr>
              <w:t>沈阳</w:t>
            </w:r>
            <w:r>
              <w:rPr>
                <w:rFonts w:ascii="宋体" w:hAnsi="宋体" w:cs="宋体" w:eastAsia="宋体" w:hint="default"/>
                <w:sz w:val="13"/>
                <w:szCs w:val="13"/>
              </w:rPr>
            </w:r>
          </w:p>
        </w:tc>
        <w:tc>
          <w:tcPr>
            <w:tcW w:w="8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6"/>
              <w:ind w:right="0"/>
              <w:jc w:val="left"/>
              <w:rPr>
                <w:rFonts w:ascii="Times New Roman" w:hAnsi="Times New Roman" w:cs="Times New Roman" w:eastAsia="Times New Roman" w:hint="default"/>
                <w:sz w:val="11"/>
                <w:szCs w:val="11"/>
              </w:rPr>
            </w:pPr>
          </w:p>
          <w:p>
            <w:pPr>
              <w:pStyle w:val="TableParagraph"/>
              <w:spacing w:line="240" w:lineRule="auto"/>
              <w:ind w:left="73" w:right="0"/>
              <w:jc w:val="left"/>
              <w:rPr>
                <w:rFonts w:ascii="宋体" w:hAnsi="宋体" w:cs="宋体" w:eastAsia="宋体" w:hint="default"/>
                <w:sz w:val="13"/>
                <w:szCs w:val="13"/>
              </w:rPr>
            </w:pPr>
            <w:r>
              <w:rPr>
                <w:rFonts w:ascii="宋体" w:hAnsi="宋体" w:cs="宋体" w:eastAsia="宋体" w:hint="default"/>
                <w:sz w:val="13"/>
                <w:szCs w:val="13"/>
              </w:rPr>
              <w:t>佡剑非</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42"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IT</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技术健康管理</w:t>
            </w:r>
          </w:p>
        </w:tc>
        <w:tc>
          <w:tcPr>
            <w:tcW w:w="65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2"/>
              <w:jc w:val="right"/>
              <w:rPr>
                <w:rFonts w:ascii="宋体" w:hAnsi="宋体" w:cs="宋体" w:eastAsia="宋体" w:hint="default"/>
                <w:sz w:val="13"/>
                <w:szCs w:val="13"/>
              </w:rPr>
            </w:pPr>
            <w:r>
              <w:rPr>
                <w:rFonts w:ascii="Times New Roman" w:hAnsi="Times New Roman" w:cs="Times New Roman" w:eastAsia="Times New Roman" w:hint="default"/>
                <w:sz w:val="13"/>
                <w:szCs w:val="13"/>
              </w:rPr>
              <w:t>100</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万</w:t>
            </w:r>
          </w:p>
        </w:tc>
        <w:tc>
          <w:tcPr>
            <w:tcW w:w="8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13"/>
              <w:jc w:val="right"/>
              <w:rPr>
                <w:rFonts w:ascii="Times New Roman" w:hAnsi="Times New Roman" w:cs="Times New Roman" w:eastAsia="Times New Roman" w:hint="default"/>
                <w:sz w:val="13"/>
                <w:szCs w:val="13"/>
              </w:rPr>
            </w:pPr>
            <w:r>
              <w:rPr>
                <w:rFonts w:ascii="Times New Roman"/>
                <w:w w:val="95"/>
                <w:sz w:val="13"/>
              </w:rPr>
              <w:t>49.00</w:t>
            </w:r>
            <w:r>
              <w:rPr>
                <w:rFonts w:ascii="Times New Roman"/>
                <w:sz w:val="13"/>
              </w:rPr>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97"/>
              <w:jc w:val="right"/>
              <w:rPr>
                <w:rFonts w:ascii="Times New Roman" w:hAnsi="Times New Roman" w:cs="Times New Roman" w:eastAsia="Times New Roman" w:hint="default"/>
                <w:sz w:val="13"/>
                <w:szCs w:val="13"/>
              </w:rPr>
            </w:pPr>
            <w:r>
              <w:rPr>
                <w:rFonts w:ascii="Times New Roman"/>
                <w:w w:val="95"/>
                <w:sz w:val="13"/>
              </w:rPr>
              <w:t>49.00</w:t>
            </w:r>
            <w:r>
              <w:rPr>
                <w:rFonts w:ascii="Times New Roman"/>
                <w:sz w:val="13"/>
              </w:rPr>
            </w:r>
          </w:p>
        </w:tc>
        <w:tc>
          <w:tcPr>
            <w:tcW w:w="8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151" w:right="0"/>
              <w:jc w:val="center"/>
              <w:rPr>
                <w:rFonts w:ascii="Times New Roman" w:hAnsi="Times New Roman" w:cs="Times New Roman" w:eastAsia="Times New Roman" w:hint="default"/>
                <w:sz w:val="13"/>
                <w:szCs w:val="13"/>
              </w:rPr>
            </w:pPr>
            <w:r>
              <w:rPr>
                <w:rFonts w:ascii="Times New Roman"/>
                <w:sz w:val="13"/>
              </w:rPr>
              <w:t>1,002,583</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98"/>
              <w:jc w:val="right"/>
              <w:rPr>
                <w:rFonts w:ascii="Times New Roman" w:hAnsi="Times New Roman" w:cs="Times New Roman" w:eastAsia="Times New Roman" w:hint="default"/>
                <w:sz w:val="13"/>
                <w:szCs w:val="13"/>
              </w:rPr>
            </w:pPr>
            <w:r>
              <w:rPr>
                <w:rFonts w:ascii="Times New Roman"/>
                <w:w w:val="95"/>
                <w:sz w:val="13"/>
              </w:rPr>
              <w:t>746,418</w:t>
            </w:r>
            <w:r>
              <w:rPr>
                <w:rFonts w:ascii="Times New Roman"/>
                <w:sz w:val="13"/>
              </w:rPr>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02"/>
              <w:jc w:val="right"/>
              <w:rPr>
                <w:rFonts w:ascii="Times New Roman" w:hAnsi="Times New Roman" w:cs="Times New Roman" w:eastAsia="Times New Roman" w:hint="default"/>
                <w:sz w:val="13"/>
                <w:szCs w:val="13"/>
              </w:rPr>
            </w:pPr>
            <w:r>
              <w:rPr>
                <w:rFonts w:ascii="Times New Roman"/>
                <w:w w:val="95"/>
                <w:sz w:val="13"/>
              </w:rPr>
              <w:t>256,165</w:t>
            </w:r>
            <w:r>
              <w:rPr>
                <w:rFonts w:ascii="Times New Roman"/>
                <w:sz w:val="13"/>
              </w:rPr>
            </w:r>
          </w:p>
        </w:tc>
        <w:tc>
          <w:tcPr>
            <w:tcW w:w="890" w:type="dxa"/>
            <w:tcBorders>
              <w:top w:val="nil" w:sz="6" w:space="0" w:color="auto"/>
              <w:left w:val="nil" w:sz="6" w:space="0" w:color="auto"/>
              <w:bottom w:val="nil" w:sz="6" w:space="0" w:color="auto"/>
              <w:right w:val="nil" w:sz="6" w:space="0" w:color="auto"/>
            </w:tcBorders>
          </w:tcPr>
          <w:p>
            <w:pP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82"/>
              <w:jc w:val="center"/>
              <w:rPr>
                <w:rFonts w:ascii="宋体" w:hAnsi="宋体" w:cs="宋体" w:eastAsia="宋体" w:hint="default"/>
                <w:sz w:val="13"/>
                <w:szCs w:val="13"/>
              </w:rPr>
            </w:pPr>
            <w:r>
              <w:rPr>
                <w:rFonts w:ascii="宋体" w:hAnsi="宋体" w:cs="宋体" w:eastAsia="宋体" w:hint="default"/>
                <w:sz w:val="13"/>
                <w:szCs w:val="13"/>
              </w:rPr>
              <w:t>联营</w:t>
            </w:r>
          </w:p>
          <w:p>
            <w:pPr>
              <w:pStyle w:val="TableParagraph"/>
              <w:tabs>
                <w:tab w:pos="1493" w:val="left" w:leader="none"/>
              </w:tabs>
              <w:spacing w:line="240" w:lineRule="auto" w:before="47"/>
              <w:ind w:left="226" w:right="0"/>
              <w:jc w:val="left"/>
              <w:rPr>
                <w:rFonts w:ascii="Times New Roman" w:hAnsi="Times New Roman" w:cs="Times New Roman" w:eastAsia="Times New Roman" w:hint="default"/>
                <w:sz w:val="13"/>
                <w:szCs w:val="13"/>
              </w:rPr>
            </w:pPr>
            <w:r>
              <w:rPr>
                <w:rFonts w:ascii="Times New Roman"/>
                <w:w w:val="95"/>
                <w:sz w:val="13"/>
              </w:rPr>
              <w:t>-743,838</w:t>
              <w:tab/>
            </w:r>
            <w:r>
              <w:rPr>
                <w:rFonts w:ascii="Times New Roman"/>
                <w:sz w:val="13"/>
              </w:rPr>
              <w:t>69651276-7</w:t>
            </w:r>
          </w:p>
        </w:tc>
      </w:tr>
      <w:tr>
        <w:trPr>
          <w:trHeight w:val="255" w:hRule="exact"/>
        </w:trPr>
        <w:tc>
          <w:tcPr>
            <w:tcW w:w="659" w:type="dxa"/>
            <w:tcBorders>
              <w:top w:val="nil" w:sz="6" w:space="0" w:color="auto"/>
              <w:left w:val="nil" w:sz="6" w:space="0" w:color="auto"/>
              <w:bottom w:val="nil" w:sz="6" w:space="0" w:color="auto"/>
              <w:right w:val="nil" w:sz="6" w:space="0" w:color="auto"/>
            </w:tcBorders>
          </w:tcPr>
          <w:p>
            <w:pPr/>
          </w:p>
        </w:tc>
        <w:tc>
          <w:tcPr>
            <w:tcW w:w="2960" w:type="dxa"/>
            <w:tcBorders>
              <w:top w:val="nil" w:sz="6" w:space="0" w:color="auto"/>
              <w:left w:val="nil" w:sz="6" w:space="0" w:color="auto"/>
              <w:bottom w:val="nil" w:sz="6" w:space="0" w:color="auto"/>
              <w:right w:val="nil" w:sz="6" w:space="0" w:color="auto"/>
            </w:tcBorders>
          </w:tcPr>
          <w:p>
            <w:pPr>
              <w:pStyle w:val="TableParagraph"/>
              <w:tabs>
                <w:tab w:pos="1909" w:val="left" w:leader="none"/>
              </w:tabs>
              <w:spacing w:line="155" w:lineRule="exact"/>
              <w:ind w:left="107" w:right="0"/>
              <w:jc w:val="left"/>
              <w:rPr>
                <w:rFonts w:ascii="宋体" w:hAnsi="宋体" w:cs="宋体" w:eastAsia="宋体" w:hint="default"/>
                <w:sz w:val="13"/>
                <w:szCs w:val="13"/>
              </w:rPr>
            </w:pPr>
            <w:r>
              <w:rPr>
                <w:rFonts w:ascii="宋体" w:hAnsi="宋体" w:cs="宋体" w:eastAsia="宋体" w:hint="default"/>
                <w:w w:val="95"/>
                <w:sz w:val="13"/>
                <w:szCs w:val="13"/>
              </w:rPr>
              <w:t>公司</w:t>
              <w:tab/>
            </w:r>
            <w:r>
              <w:rPr>
                <w:rFonts w:ascii="宋体" w:hAnsi="宋体" w:cs="宋体" w:eastAsia="宋体" w:hint="default"/>
                <w:sz w:val="13"/>
                <w:szCs w:val="13"/>
              </w:rPr>
              <w:t>任公司</w:t>
            </w:r>
          </w:p>
        </w:tc>
        <w:tc>
          <w:tcPr>
            <w:tcW w:w="888"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155" w:lineRule="exact"/>
              <w:ind w:left="142" w:right="0"/>
              <w:jc w:val="left"/>
              <w:rPr>
                <w:rFonts w:ascii="宋体" w:hAnsi="宋体" w:cs="宋体" w:eastAsia="宋体" w:hint="default"/>
                <w:sz w:val="13"/>
                <w:szCs w:val="13"/>
              </w:rPr>
            </w:pPr>
            <w:r>
              <w:rPr>
                <w:rFonts w:ascii="宋体" w:hAnsi="宋体" w:cs="宋体" w:eastAsia="宋体" w:hint="default"/>
                <w:sz w:val="13"/>
                <w:szCs w:val="13"/>
              </w:rPr>
              <w:t>服务平台</w:t>
            </w:r>
          </w:p>
        </w:tc>
        <w:tc>
          <w:tcPr>
            <w:tcW w:w="650" w:type="dxa"/>
            <w:tcBorders>
              <w:top w:val="nil" w:sz="6" w:space="0" w:color="auto"/>
              <w:left w:val="nil" w:sz="6" w:space="0" w:color="auto"/>
              <w:bottom w:val="nil" w:sz="6" w:space="0" w:color="auto"/>
              <w:right w:val="nil" w:sz="6" w:space="0" w:color="auto"/>
            </w:tcBorders>
          </w:tcPr>
          <w:p>
            <w:pPr>
              <w:pStyle w:val="TableParagraph"/>
              <w:spacing w:line="155" w:lineRule="exact"/>
              <w:ind w:right="101"/>
              <w:jc w:val="right"/>
              <w:rPr>
                <w:rFonts w:ascii="宋体" w:hAnsi="宋体" w:cs="宋体" w:eastAsia="宋体" w:hint="default"/>
                <w:sz w:val="13"/>
                <w:szCs w:val="13"/>
              </w:rPr>
            </w:pPr>
            <w:r>
              <w:rPr>
                <w:rFonts w:ascii="宋体" w:hAnsi="宋体" w:cs="宋体" w:eastAsia="宋体" w:hint="default"/>
                <w:w w:val="99"/>
                <w:sz w:val="13"/>
                <w:szCs w:val="13"/>
              </w:rPr>
              <w:t>元</w:t>
            </w:r>
            <w:r>
              <w:rPr>
                <w:rFonts w:ascii="宋体" w:hAnsi="宋体" w:cs="宋体" w:eastAsia="宋体" w:hint="default"/>
                <w:sz w:val="13"/>
                <w:szCs w:val="13"/>
              </w:rPr>
            </w:r>
          </w:p>
        </w:tc>
        <w:tc>
          <w:tcPr>
            <w:tcW w:w="829"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
        </w:tc>
        <w:tc>
          <w:tcPr>
            <w:tcW w:w="2186" w:type="dxa"/>
            <w:tcBorders>
              <w:top w:val="nil" w:sz="6" w:space="0" w:color="auto"/>
              <w:left w:val="nil" w:sz="6" w:space="0" w:color="auto"/>
              <w:bottom w:val="nil" w:sz="6" w:space="0" w:color="auto"/>
              <w:right w:val="nil" w:sz="6" w:space="0" w:color="auto"/>
            </w:tcBorders>
          </w:tcPr>
          <w:p>
            <w:pPr>
              <w:pStyle w:val="TableParagraph"/>
              <w:spacing w:line="155" w:lineRule="exact"/>
              <w:ind w:right="182"/>
              <w:jc w:val="center"/>
              <w:rPr>
                <w:rFonts w:ascii="宋体" w:hAnsi="宋体" w:cs="宋体" w:eastAsia="宋体" w:hint="default"/>
                <w:sz w:val="13"/>
                <w:szCs w:val="13"/>
              </w:rPr>
            </w:pPr>
            <w:r>
              <w:rPr>
                <w:rFonts w:ascii="宋体" w:hAnsi="宋体" w:cs="宋体" w:eastAsia="宋体" w:hint="default"/>
                <w:sz w:val="13"/>
                <w:szCs w:val="13"/>
              </w:rPr>
              <w:t>公司</w:t>
            </w:r>
          </w:p>
        </w:tc>
      </w:tr>
    </w:tbl>
    <w:p>
      <w:pPr>
        <w:spacing w:line="240" w:lineRule="auto" w:before="10"/>
        <w:rPr>
          <w:rFonts w:ascii="Times New Roman" w:hAnsi="Times New Roman" w:cs="Times New Roman" w:eastAsia="Times New Roman" w:hint="default"/>
          <w:sz w:val="8"/>
          <w:szCs w:val="8"/>
        </w:rPr>
      </w:pPr>
    </w:p>
    <w:p>
      <w:pPr>
        <w:spacing w:before="35"/>
        <w:ind w:left="877" w:right="0" w:firstLine="0"/>
        <w:jc w:val="left"/>
        <w:rPr>
          <w:rFonts w:ascii="宋体" w:hAnsi="宋体" w:cs="宋体" w:eastAsia="宋体" w:hint="default"/>
          <w:sz w:val="21"/>
          <w:szCs w:val="21"/>
        </w:rPr>
      </w:pPr>
      <w:r>
        <w:rPr/>
        <w:pict>
          <v:group style="position:absolute;margin-left:101.271004pt;margin-top:-269.006317pt;width:670.45pt;height:266.1pt;mso-position-horizontal-relative:page;mso-position-vertical-relative:paragraph;z-index:-977704" coordorigin="2025,-5380" coordsize="13409,5322">
            <v:group style="position:absolute;left:2035;top:-68;width:1811;height:2" coordorigin="2035,-68" coordsize="1811,2">
              <v:shape style="position:absolute;left:2035;top:-68;width:1811;height:2" coordorigin="2035,-68" coordsize="1811,0" path="m2035,-68l3846,-68e" filled="false" stroked="true" strokeweight=".95999pt" strokecolor="#000000">
                <v:path arrowok="t"/>
              </v:shape>
            </v:group>
            <v:group style="position:absolute;left:3846;top:-68;width:648;height:2" coordorigin="3846,-68" coordsize="648,2">
              <v:shape style="position:absolute;left:3846;top:-68;width:648;height:2" coordorigin="3846,-68" coordsize="648,0" path="m3846,-68l4494,-68e" filled="false" stroked="true" strokeweight=".95999pt" strokecolor="#000000">
                <v:path arrowok="t"/>
              </v:shape>
            </v:group>
            <v:group style="position:absolute;left:4494;top:-68;width:477;height:2" coordorigin="4494,-68" coordsize="477,2">
              <v:shape style="position:absolute;left:4494;top:-68;width:477;height:2" coordorigin="4494,-68" coordsize="477,0" path="m4494,-68l4970,-68e" filled="false" stroked="true" strokeweight=".95999pt" strokecolor="#000000">
                <v:path arrowok="t"/>
              </v:shape>
            </v:group>
            <v:group style="position:absolute;left:4970;top:-68;width:958;height:2" coordorigin="4970,-68" coordsize="958,2">
              <v:shape style="position:absolute;left:4970;top:-68;width:958;height:2" coordorigin="4970,-68" coordsize="958,0" path="m4970,-68l5928,-68e" filled="false" stroked="true" strokeweight=".95999pt" strokecolor="#000000">
                <v:path arrowok="t"/>
              </v:shape>
            </v:group>
            <v:group style="position:absolute;left:5928;top:-68;width:1130;height:2" coordorigin="5928,-68" coordsize="1130,2">
              <v:shape style="position:absolute;left:5928;top:-68;width:1130;height:2" coordorigin="5928,-68" coordsize="1130,0" path="m5928,-68l7057,-68e" filled="false" stroked="true" strokeweight=".95999pt" strokecolor="#000000">
                <v:path arrowok="t"/>
              </v:shape>
            </v:group>
            <v:group style="position:absolute;left:7057;top:-68;width:629;height:2" coordorigin="7057,-68" coordsize="629,2">
              <v:shape style="position:absolute;left:7057;top:-68;width:629;height:2" coordorigin="7057,-68" coordsize="629,0" path="m7057,-68l7686,-68e" filled="false" stroked="true" strokeweight=".95999pt" strokecolor="#000000">
                <v:path arrowok="t"/>
              </v:shape>
            </v:group>
            <v:group style="position:absolute;left:7686;top:-68;width:816;height:2" coordorigin="7686,-68" coordsize="816,2">
              <v:shape style="position:absolute;left:7686;top:-68;width:816;height:2" coordorigin="7686,-68" coordsize="816,0" path="m7686,-68l8502,-68e" filled="false" stroked="true" strokeweight=".95999pt" strokecolor="#000000">
                <v:path arrowok="t"/>
              </v:shape>
            </v:group>
            <v:group style="position:absolute;left:8502;top:-68;width:1193;height:2" coordorigin="8502,-68" coordsize="1193,2">
              <v:shape style="position:absolute;left:8502;top:-68;width:1193;height:2" coordorigin="8502,-68" coordsize="1193,0" path="m8502,-68l9695,-68e" filled="false" stroked="true" strokeweight=".95999pt" strokecolor="#000000">
                <v:path arrowok="t"/>
              </v:shape>
            </v:group>
            <v:group style="position:absolute;left:9695;top:-68;width:868;height:2" coordorigin="9695,-68" coordsize="868,2">
              <v:shape style="position:absolute;left:9695;top:-68;width:868;height:2" coordorigin="9695,-68" coordsize="868,0" path="m9695,-68l10562,-68e" filled="false" stroked="true" strokeweight=".95999pt" strokecolor="#000000">
                <v:path arrowok="t"/>
              </v:shape>
            </v:group>
            <v:group style="position:absolute;left:10562;top:-68;width:867;height:2" coordorigin="10562,-68" coordsize="867,2">
              <v:shape style="position:absolute;left:10562;top:-68;width:867;height:2" coordorigin="10562,-68" coordsize="867,0" path="m10562,-68l11429,-68e" filled="false" stroked="true" strokeweight=".95999pt" strokecolor="#000000">
                <v:path arrowok="t"/>
              </v:shape>
            </v:group>
            <v:group style="position:absolute;left:11429;top:-68;width:876;height:2" coordorigin="11429,-68" coordsize="876,2">
              <v:shape style="position:absolute;left:11429;top:-68;width:876;height:2" coordorigin="11429,-68" coordsize="876,0" path="m11429,-68l12305,-68e" filled="false" stroked="true" strokeweight=".95999pt" strokecolor="#000000">
                <v:path arrowok="t"/>
              </v:shape>
            </v:group>
            <v:group style="position:absolute;left:12305;top:-68;width:885;height:2" coordorigin="12305,-68" coordsize="885,2">
              <v:shape style="position:absolute;left:12305;top:-68;width:885;height:2" coordorigin="12305,-68" coordsize="885,0" path="m12305,-68l13189,-68e" filled="false" stroked="true" strokeweight=".95999pt" strokecolor="#000000">
                <v:path arrowok="t"/>
              </v:shape>
            </v:group>
            <v:group style="position:absolute;left:13189;top:-68;width:801;height:2" coordorigin="13189,-68" coordsize="801,2">
              <v:shape style="position:absolute;left:13189;top:-68;width:801;height:2" coordorigin="13189,-68" coordsize="801,0" path="m13189,-68l13989,-68e" filled="false" stroked="true" strokeweight=".95999pt" strokecolor="#000000">
                <v:path arrowok="t"/>
              </v:shape>
            </v:group>
            <v:group style="position:absolute;left:13989;top:-68;width:543;height:2" coordorigin="13989,-68" coordsize="543,2">
              <v:shape style="position:absolute;left:13989;top:-68;width:543;height:2" coordorigin="13989,-68" coordsize="543,0" path="m13989,-68l14532,-68e" filled="false" stroked="true" strokeweight=".95999pt" strokecolor="#000000">
                <v:path arrowok="t"/>
              </v:shape>
              <v:shape style="position:absolute;left:2049;top:-5380;width:13370;height:5303" type="#_x0000_t75" stroked="false">
                <v:imagedata r:id="rId148" o:title=""/>
              </v:shape>
            </v:group>
            <v:group style="position:absolute;left:14532;top:-68;width:893;height:2" coordorigin="14532,-68" coordsize="893,2">
              <v:shape style="position:absolute;left:14532;top:-68;width:893;height:2" coordorigin="14532,-68" coordsize="893,0" path="m14532,-68l15425,-68e" filled="false" stroked="true" strokeweight=".95999pt" strokecolor="#000000">
                <v:path arrowok="t"/>
              </v:shape>
            </v:group>
            <w10:wrap type="none"/>
          </v:group>
        </w:pict>
      </w:r>
      <w:r>
        <w:rPr>
          <w:rFonts w:ascii="宋体" w:hAnsi="宋体" w:cs="宋体" w:eastAsia="宋体" w:hint="default"/>
          <w:sz w:val="21"/>
          <w:szCs w:val="21"/>
        </w:rPr>
        <w:t>注</w:t>
      </w:r>
      <w:r>
        <w:rPr>
          <w:rFonts w:ascii="Times New Roman" w:hAnsi="Times New Roman" w:cs="Times New Roman" w:eastAsia="Times New Roman" w:hint="default"/>
          <w:sz w:val="21"/>
          <w:szCs w:val="21"/>
        </w:rPr>
        <w:t>:1</w:t>
      </w:r>
      <w:r>
        <w:rPr>
          <w:rFonts w:ascii="宋体" w:hAnsi="宋体" w:cs="宋体" w:eastAsia="宋体" w:hint="default"/>
          <w:sz w:val="21"/>
          <w:szCs w:val="21"/>
        </w:rPr>
        <w:t>、参见</w:t>
      </w:r>
      <w:r>
        <w:rPr>
          <w:rFonts w:ascii="宋体" w:hAnsi="宋体" w:cs="宋体" w:eastAsia="宋体" w:hint="default"/>
          <w:spacing w:val="-2"/>
          <w:sz w:val="21"/>
          <w:szCs w:val="21"/>
        </w:rPr>
        <w:t>本</w:t>
      </w:r>
      <w:r>
        <w:rPr>
          <w:rFonts w:ascii="宋体" w:hAnsi="宋体" w:cs="宋体" w:eastAsia="宋体" w:hint="default"/>
          <w:sz w:val="21"/>
          <w:szCs w:val="21"/>
        </w:rPr>
        <w:t>附注五（十一</w:t>
      </w:r>
      <w:r>
        <w:rPr>
          <w:rFonts w:ascii="宋体" w:hAnsi="宋体" w:cs="宋体" w:eastAsia="宋体" w:hint="default"/>
          <w:spacing w:val="-105"/>
          <w:sz w:val="21"/>
          <w:szCs w:val="21"/>
        </w:rPr>
        <w:t>）</w:t>
      </w:r>
      <w:r>
        <w:rPr>
          <w:rFonts w:ascii="宋体" w:hAnsi="宋体" w:cs="宋体" w:eastAsia="宋体" w:hint="default"/>
          <w:sz w:val="21"/>
          <w:szCs w:val="21"/>
        </w:rPr>
        <w:t>。</w:t>
      </w:r>
    </w:p>
    <w:p>
      <w:pPr>
        <w:spacing w:after="0"/>
        <w:jc w:val="left"/>
        <w:rPr>
          <w:rFonts w:ascii="宋体" w:hAnsi="宋体" w:cs="宋体" w:eastAsia="宋体" w:hint="default"/>
          <w:sz w:val="21"/>
          <w:szCs w:val="21"/>
        </w:rPr>
        <w:sectPr>
          <w:pgSz w:w="16840" w:h="11900" w:orient="landscape"/>
          <w:pgMar w:header="883" w:footer="995" w:top="1600" w:bottom="1180" w:left="1280" w:right="1300"/>
        </w:sectPr>
      </w:pPr>
    </w:p>
    <w:p>
      <w:pPr>
        <w:spacing w:line="240" w:lineRule="auto" w:before="7"/>
        <w:rPr>
          <w:rFonts w:ascii="宋体" w:hAnsi="宋体" w:cs="宋体" w:eastAsia="宋体" w:hint="default"/>
          <w:sz w:val="3"/>
          <w:szCs w:val="3"/>
        </w:rPr>
      </w:pPr>
      <w:r>
        <w:rPr/>
        <w:pict>
          <v:shape style="position:absolute;margin-left:111.480003pt;margin-top:614.519653pt;width:411.917389pt;height:144.6225pt;mso-position-horizontal-relative:page;mso-position-vertical-relative:page;z-index:-977608" type="#_x0000_t75" stroked="false">
            <v:imagedata r:id="rId151" o:title=""/>
          </v:shape>
        </w:pict>
      </w:r>
    </w:p>
    <w:p>
      <w:pPr>
        <w:spacing w:line="20" w:lineRule="exact"/>
        <w:ind w:left="125" w:right="0" w:firstLine="0"/>
        <w:rPr>
          <w:rFonts w:ascii="宋体" w:hAnsi="宋体" w:cs="宋体" w:eastAsia="宋体" w:hint="default"/>
          <w:sz w:val="2"/>
          <w:szCs w:val="2"/>
        </w:rPr>
      </w:pPr>
      <w:r>
        <w:rPr>
          <w:rFonts w:ascii="宋体" w:hAnsi="宋体" w:cs="宋体" w:eastAsia="宋体" w:hint="default"/>
          <w:sz w:val="2"/>
          <w:szCs w:val="2"/>
        </w:rPr>
        <w:pict>
          <v:group style="width:453.15pt;height:.5pt;mso-position-horizontal-relative:char;mso-position-vertical-relative:line" coordorigin="0,0" coordsize="9063,10">
            <v:group style="position:absolute;left:5;top:5;width:9053;height:2" coordorigin="5,5" coordsize="9053,2">
              <v:shape style="position:absolute;left:5;top:5;width:9053;height:2" coordorigin="5,5" coordsize="9053,0" path="m5,5l9058,5e" filled="false" stroked="true" strokeweight=".47998pt" strokecolor="#000000">
                <v:path arrowok="t"/>
              </v:shape>
            </v:group>
          </v:group>
        </w:pict>
      </w:r>
      <w:r>
        <w:rPr>
          <w:rFonts w:ascii="宋体" w:hAnsi="宋体" w:cs="宋体" w:eastAsia="宋体" w:hint="default"/>
          <w:sz w:val="2"/>
          <w:szCs w:val="2"/>
        </w:rPr>
      </w:r>
    </w:p>
    <w:tbl>
      <w:tblPr>
        <w:tblW w:w="0" w:type="auto"/>
        <w:jc w:val="left"/>
        <w:tblInd w:w="110" w:type="dxa"/>
        <w:tblLayout w:type="fixed"/>
        <w:tblCellMar>
          <w:top w:w="0" w:type="dxa"/>
          <w:left w:w="0" w:type="dxa"/>
          <w:bottom w:w="0" w:type="dxa"/>
          <w:right w:w="0" w:type="dxa"/>
        </w:tblCellMar>
        <w:tblLook w:val="01E0"/>
      </w:tblPr>
      <w:tblGrid>
        <w:gridCol w:w="659"/>
        <w:gridCol w:w="3656"/>
        <w:gridCol w:w="3739"/>
        <w:gridCol w:w="1033"/>
      </w:tblGrid>
      <w:tr>
        <w:trPr>
          <w:trHeight w:val="351"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3656" w:type="dxa"/>
            <w:tcBorders>
              <w:top w:val="nil" w:sz="6" w:space="0" w:color="auto"/>
              <w:left w:val="nil" w:sz="6" w:space="0" w:color="auto"/>
              <w:bottom w:val="single" w:sz="8" w:space="0" w:color="000000"/>
              <w:right w:val="nil" w:sz="6" w:space="0" w:color="auto"/>
            </w:tcBorders>
          </w:tcPr>
          <w:p>
            <w:pPr>
              <w:pStyle w:val="TableParagraph"/>
              <w:spacing w:line="240" w:lineRule="auto" w:before="35"/>
              <w:ind w:left="104" w:right="0"/>
              <w:jc w:val="left"/>
              <w:rPr>
                <w:rFonts w:ascii="宋体" w:hAnsi="宋体" w:cs="宋体" w:eastAsia="宋体" w:hint="default"/>
                <w:sz w:val="21"/>
                <w:szCs w:val="21"/>
              </w:rPr>
            </w:pPr>
            <w:r>
              <w:rPr>
                <w:rFonts w:ascii="宋体" w:hAnsi="宋体" w:cs="宋体" w:eastAsia="宋体" w:hint="default"/>
                <w:sz w:val="21"/>
                <w:szCs w:val="21"/>
              </w:rPr>
              <w:t>本企业的其他关联方情况</w:t>
            </w:r>
          </w:p>
        </w:tc>
        <w:tc>
          <w:tcPr>
            <w:tcW w:w="4772" w:type="dxa"/>
            <w:gridSpan w:val="2"/>
            <w:tcBorders>
              <w:top w:val="nil" w:sz="6" w:space="0" w:color="auto"/>
              <w:left w:val="nil" w:sz="6" w:space="0" w:color="auto"/>
              <w:bottom w:val="single" w:sz="8" w:space="0" w:color="000000"/>
              <w:right w:val="nil" w:sz="6" w:space="0" w:color="auto"/>
            </w:tcBorders>
          </w:tcPr>
          <w:p>
            <w:pPr/>
          </w:p>
        </w:tc>
      </w:tr>
      <w:tr>
        <w:trPr>
          <w:trHeight w:val="457" w:hRule="exact"/>
        </w:trPr>
        <w:tc>
          <w:tcPr>
            <w:tcW w:w="659" w:type="dxa"/>
            <w:tcBorders>
              <w:top w:val="nil" w:sz="6" w:space="0" w:color="auto"/>
              <w:left w:val="nil" w:sz="6" w:space="0" w:color="auto"/>
              <w:bottom w:val="nil" w:sz="6" w:space="0" w:color="auto"/>
              <w:right w:val="nil" w:sz="6" w:space="0" w:color="auto"/>
            </w:tcBorders>
          </w:tcPr>
          <w:p>
            <w:pPr/>
          </w:p>
        </w:tc>
        <w:tc>
          <w:tcPr>
            <w:tcW w:w="3656" w:type="dxa"/>
            <w:tcBorders>
              <w:top w:val="single" w:sz="8"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35"/>
              <w:jc w:val="center"/>
              <w:rPr>
                <w:rFonts w:ascii="宋体" w:hAnsi="宋体" w:cs="宋体" w:eastAsia="宋体" w:hint="default"/>
                <w:sz w:val="15"/>
                <w:szCs w:val="15"/>
              </w:rPr>
            </w:pPr>
            <w:r>
              <w:rPr>
                <w:rFonts w:ascii="宋体" w:hAnsi="宋体" w:cs="宋体" w:eastAsia="宋体" w:hint="default"/>
                <w:sz w:val="15"/>
                <w:szCs w:val="15"/>
              </w:rPr>
              <w:t>其他关联方名称</w:t>
            </w:r>
          </w:p>
        </w:tc>
        <w:tc>
          <w:tcPr>
            <w:tcW w:w="3739" w:type="dxa"/>
            <w:tcBorders>
              <w:top w:val="single" w:sz="8"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942" w:right="0"/>
              <w:jc w:val="left"/>
              <w:rPr>
                <w:rFonts w:ascii="宋体" w:hAnsi="宋体" w:cs="宋体" w:eastAsia="宋体" w:hint="default"/>
                <w:sz w:val="15"/>
                <w:szCs w:val="15"/>
              </w:rPr>
            </w:pPr>
            <w:r>
              <w:rPr>
                <w:rFonts w:ascii="宋体" w:hAnsi="宋体" w:cs="宋体" w:eastAsia="宋体" w:hint="default"/>
                <w:sz w:val="15"/>
                <w:szCs w:val="15"/>
              </w:rPr>
              <w:t>其他关联方与本公司的关系</w:t>
            </w:r>
          </w:p>
        </w:tc>
        <w:tc>
          <w:tcPr>
            <w:tcW w:w="1033" w:type="dxa"/>
            <w:tcBorders>
              <w:top w:val="single" w:sz="8"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33"/>
              <w:jc w:val="center"/>
              <w:rPr>
                <w:rFonts w:ascii="宋体" w:hAnsi="宋体" w:cs="宋体" w:eastAsia="宋体" w:hint="default"/>
                <w:sz w:val="15"/>
                <w:szCs w:val="15"/>
              </w:rPr>
            </w:pPr>
            <w:r>
              <w:rPr>
                <w:rFonts w:ascii="宋体" w:hAnsi="宋体" w:cs="宋体" w:eastAsia="宋体" w:hint="default"/>
                <w:sz w:val="15"/>
                <w:szCs w:val="15"/>
              </w:rPr>
              <w:t>组织机构代码</w:t>
            </w:r>
          </w:p>
        </w:tc>
      </w:tr>
      <w:tr>
        <w:trPr>
          <w:trHeight w:val="378" w:hRule="exact"/>
        </w:trPr>
        <w:tc>
          <w:tcPr>
            <w:tcW w:w="659" w:type="dxa"/>
            <w:tcBorders>
              <w:top w:val="nil" w:sz="6" w:space="0" w:color="auto"/>
              <w:left w:val="nil" w:sz="6" w:space="0" w:color="auto"/>
              <w:bottom w:val="nil" w:sz="6" w:space="0" w:color="auto"/>
              <w:right w:val="nil" w:sz="6" w:space="0" w:color="auto"/>
            </w:tcBorders>
          </w:tcPr>
          <w:p>
            <w:pPr/>
          </w:p>
        </w:tc>
        <w:tc>
          <w:tcPr>
            <w:tcW w:w="365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07" w:right="0"/>
              <w:jc w:val="left"/>
              <w:rPr>
                <w:rFonts w:ascii="宋体" w:hAnsi="宋体" w:cs="宋体" w:eastAsia="宋体" w:hint="default"/>
                <w:sz w:val="15"/>
                <w:szCs w:val="15"/>
              </w:rPr>
            </w:pPr>
            <w:r>
              <w:rPr>
                <w:rFonts w:ascii="宋体" w:hAnsi="宋体" w:cs="宋体" w:eastAsia="宋体" w:hint="default"/>
                <w:sz w:val="15"/>
                <w:szCs w:val="15"/>
              </w:rPr>
              <w:t>东北大学科技产业集团有限公司（</w:t>
            </w:r>
            <w:r>
              <w:rPr>
                <w:rFonts w:ascii="Times New Roman" w:hAnsi="Times New Roman" w:cs="Times New Roman" w:eastAsia="Times New Roman" w:hint="default"/>
                <w:sz w:val="15"/>
                <w:szCs w:val="15"/>
              </w:rPr>
              <w:t>“</w:t>
            </w:r>
            <w:r>
              <w:rPr>
                <w:rFonts w:ascii="宋体" w:hAnsi="宋体" w:cs="宋体" w:eastAsia="宋体" w:hint="default"/>
                <w:sz w:val="15"/>
                <w:szCs w:val="15"/>
              </w:rPr>
              <w:t>东北大学</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3739" w:type="dxa"/>
            <w:tcBorders>
              <w:top w:val="nil" w:sz="6" w:space="0" w:color="auto"/>
              <w:left w:val="nil" w:sz="6" w:space="0" w:color="auto"/>
              <w:bottom w:val="nil" w:sz="6" w:space="0" w:color="auto"/>
              <w:right w:val="nil" w:sz="6" w:space="0" w:color="auto"/>
            </w:tcBorders>
          </w:tcPr>
          <w:p>
            <w:pPr>
              <w:pStyle w:val="TableParagraph"/>
              <w:spacing w:line="240" w:lineRule="auto" w:before="63"/>
              <w:ind w:left="70" w:right="0"/>
              <w:jc w:val="left"/>
              <w:rPr>
                <w:rFonts w:ascii="宋体" w:hAnsi="宋体" w:cs="宋体" w:eastAsia="宋体" w:hint="default"/>
                <w:sz w:val="15"/>
                <w:szCs w:val="15"/>
              </w:rPr>
            </w:pPr>
            <w:r>
              <w:rPr>
                <w:rFonts w:ascii="宋体" w:hAnsi="宋体" w:cs="宋体" w:eastAsia="宋体" w:hint="default"/>
                <w:sz w:val="15"/>
                <w:szCs w:val="15"/>
              </w:rPr>
              <w:t>持本公司</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5%</w:t>
            </w:r>
            <w:r>
              <w:rPr>
                <w:rFonts w:ascii="宋体" w:hAnsi="宋体" w:cs="宋体" w:eastAsia="宋体" w:hint="default"/>
                <w:sz w:val="15"/>
                <w:szCs w:val="15"/>
              </w:rPr>
              <w:t>以上股权之股东</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2" w:right="0"/>
              <w:jc w:val="center"/>
              <w:rPr>
                <w:rFonts w:ascii="Times New Roman" w:hAnsi="Times New Roman" w:cs="Times New Roman" w:eastAsia="Times New Roman" w:hint="default"/>
                <w:sz w:val="15"/>
                <w:szCs w:val="15"/>
              </w:rPr>
            </w:pPr>
            <w:r>
              <w:rPr>
                <w:rFonts w:ascii="Times New Roman"/>
                <w:sz w:val="15"/>
              </w:rPr>
              <w:t>11772782-8</w:t>
            </w:r>
          </w:p>
        </w:tc>
      </w:tr>
      <w:tr>
        <w:trPr>
          <w:trHeight w:val="266" w:hRule="exact"/>
        </w:trPr>
        <w:tc>
          <w:tcPr>
            <w:tcW w:w="659" w:type="dxa"/>
            <w:tcBorders>
              <w:top w:val="nil" w:sz="6" w:space="0" w:color="auto"/>
              <w:left w:val="nil" w:sz="6" w:space="0" w:color="auto"/>
              <w:bottom w:val="nil" w:sz="6" w:space="0" w:color="auto"/>
              <w:right w:val="nil" w:sz="6" w:space="0" w:color="auto"/>
            </w:tcBorders>
          </w:tcPr>
          <w:p>
            <w:pPr/>
          </w:p>
        </w:tc>
        <w:tc>
          <w:tcPr>
            <w:tcW w:w="3656" w:type="dxa"/>
            <w:tcBorders>
              <w:top w:val="nil" w:sz="6" w:space="0" w:color="auto"/>
              <w:left w:val="nil" w:sz="6" w:space="0" w:color="auto"/>
              <w:bottom w:val="nil" w:sz="6" w:space="0" w:color="auto"/>
              <w:right w:val="nil" w:sz="6" w:space="0" w:color="auto"/>
            </w:tcBorders>
          </w:tcPr>
          <w:p>
            <w:pPr/>
          </w:p>
        </w:tc>
        <w:tc>
          <w:tcPr>
            <w:tcW w:w="373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70" w:right="0"/>
              <w:jc w:val="left"/>
              <w:rPr>
                <w:rFonts w:ascii="宋体" w:hAnsi="宋体" w:cs="宋体" w:eastAsia="宋体" w:hint="default"/>
                <w:sz w:val="15"/>
                <w:szCs w:val="15"/>
              </w:rPr>
            </w:pPr>
            <w:r>
              <w:rPr>
                <w:rFonts w:ascii="宋体" w:hAnsi="宋体" w:cs="宋体" w:eastAsia="宋体" w:hint="default"/>
                <w:sz w:val="15"/>
                <w:szCs w:val="15"/>
              </w:rPr>
              <w:t>本公司之股东</w:t>
            </w:r>
            <w:r>
              <w:rPr>
                <w:rFonts w:ascii="宋体" w:hAnsi="宋体" w:cs="宋体" w:eastAsia="宋体" w:hint="default"/>
                <w:spacing w:val="-65"/>
                <w:sz w:val="15"/>
                <w:szCs w:val="15"/>
              </w:rPr>
              <w:t>，</w:t>
            </w:r>
            <w:r>
              <w:rPr>
                <w:rFonts w:ascii="宋体" w:hAnsi="宋体" w:cs="宋体" w:eastAsia="宋体" w:hint="default"/>
                <w:sz w:val="15"/>
                <w:szCs w:val="15"/>
              </w:rPr>
              <w:t>且为本公司另一股东阿尔派电</w:t>
            </w:r>
            <w:r>
              <w:rPr>
                <w:rFonts w:ascii="宋体" w:hAnsi="宋体" w:cs="宋体" w:eastAsia="宋体" w:hint="default"/>
                <w:spacing w:val="-65"/>
                <w:sz w:val="15"/>
                <w:szCs w:val="15"/>
              </w:rPr>
              <w:t>子</w:t>
            </w:r>
            <w:r>
              <w:rPr>
                <w:rFonts w:ascii="宋体" w:hAnsi="宋体" w:cs="宋体" w:eastAsia="宋体" w:hint="default"/>
                <w:sz w:val="15"/>
                <w:szCs w:val="15"/>
              </w:rPr>
              <w:t>（中国）</w:t>
            </w:r>
          </w:p>
        </w:tc>
        <w:tc>
          <w:tcPr>
            <w:tcW w:w="1033" w:type="dxa"/>
            <w:tcBorders>
              <w:top w:val="nil" w:sz="6" w:space="0" w:color="auto"/>
              <w:left w:val="nil" w:sz="6" w:space="0" w:color="auto"/>
              <w:bottom w:val="nil" w:sz="6" w:space="0" w:color="auto"/>
              <w:right w:val="nil" w:sz="6" w:space="0" w:color="auto"/>
            </w:tcBorders>
          </w:tcPr>
          <w:p>
            <w:pPr/>
          </w:p>
        </w:tc>
      </w:tr>
      <w:tr>
        <w:trPr>
          <w:trHeight w:val="455" w:hRule="exact"/>
        </w:trPr>
        <w:tc>
          <w:tcPr>
            <w:tcW w:w="659" w:type="dxa"/>
            <w:tcBorders>
              <w:top w:val="nil" w:sz="6" w:space="0" w:color="auto"/>
              <w:left w:val="nil" w:sz="6" w:space="0" w:color="auto"/>
              <w:bottom w:val="nil" w:sz="6" w:space="0" w:color="auto"/>
              <w:right w:val="nil" w:sz="6" w:space="0" w:color="auto"/>
            </w:tcBorders>
          </w:tcPr>
          <w:p>
            <w:pPr/>
          </w:p>
        </w:tc>
        <w:tc>
          <w:tcPr>
            <w:tcW w:w="3656" w:type="dxa"/>
            <w:tcBorders>
              <w:top w:val="nil" w:sz="6" w:space="0" w:color="auto"/>
              <w:left w:val="nil" w:sz="6" w:space="0" w:color="auto"/>
              <w:bottom w:val="nil" w:sz="6" w:space="0" w:color="auto"/>
              <w:right w:val="nil" w:sz="6" w:space="0" w:color="auto"/>
            </w:tcBorders>
          </w:tcPr>
          <w:p>
            <w:pPr>
              <w:pStyle w:val="TableParagraph"/>
              <w:spacing w:line="176" w:lineRule="exact"/>
              <w:ind w:left="107" w:right="0"/>
              <w:jc w:val="left"/>
              <w:rPr>
                <w:rFonts w:ascii="宋体" w:hAnsi="宋体" w:cs="宋体" w:eastAsia="宋体" w:hint="default"/>
                <w:sz w:val="15"/>
                <w:szCs w:val="15"/>
              </w:rPr>
            </w:pPr>
            <w:r>
              <w:rPr>
                <w:rFonts w:ascii="宋体" w:hAnsi="宋体" w:cs="宋体" w:eastAsia="宋体" w:hint="default"/>
                <w:sz w:val="15"/>
                <w:szCs w:val="15"/>
              </w:rPr>
              <w:t>阿尔派株式会社（</w:t>
            </w:r>
            <w:r>
              <w:rPr>
                <w:rFonts w:ascii="Times New Roman" w:hAnsi="Times New Roman" w:cs="Times New Roman" w:eastAsia="Times New Roman" w:hint="default"/>
                <w:sz w:val="15"/>
                <w:szCs w:val="15"/>
              </w:rPr>
              <w:t>“</w:t>
            </w:r>
            <w:r>
              <w:rPr>
                <w:rFonts w:ascii="宋体" w:hAnsi="宋体" w:cs="宋体" w:eastAsia="宋体" w:hint="default"/>
                <w:sz w:val="15"/>
                <w:szCs w:val="15"/>
              </w:rPr>
              <w:t>阿尔派日本</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373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1"/>
                <w:szCs w:val="11"/>
              </w:rPr>
            </w:pPr>
          </w:p>
          <w:p>
            <w:pPr>
              <w:pStyle w:val="TableParagraph"/>
              <w:spacing w:line="240" w:lineRule="auto"/>
              <w:ind w:left="70" w:right="0"/>
              <w:jc w:val="left"/>
              <w:rPr>
                <w:rFonts w:ascii="宋体" w:hAnsi="宋体" w:cs="宋体" w:eastAsia="宋体" w:hint="default"/>
                <w:sz w:val="15"/>
                <w:szCs w:val="15"/>
              </w:rPr>
            </w:pPr>
            <w:r>
              <w:rPr>
                <w:rFonts w:ascii="宋体" w:hAnsi="宋体" w:cs="宋体" w:eastAsia="宋体" w:hint="default"/>
                <w:sz w:val="15"/>
                <w:szCs w:val="15"/>
              </w:rPr>
              <w:t>有限公司之实际控制人，且本公司董事任重要职务</w:t>
            </w:r>
          </w:p>
        </w:tc>
        <w:tc>
          <w:tcPr>
            <w:tcW w:w="1033" w:type="dxa"/>
            <w:tcBorders>
              <w:top w:val="nil" w:sz="6" w:space="0" w:color="auto"/>
              <w:left w:val="nil" w:sz="6" w:space="0" w:color="auto"/>
              <w:bottom w:val="nil" w:sz="6" w:space="0" w:color="auto"/>
              <w:right w:val="nil" w:sz="6" w:space="0" w:color="auto"/>
            </w:tcBorders>
          </w:tcPr>
          <w:p>
            <w:pPr/>
          </w:p>
        </w:tc>
      </w:tr>
      <w:tr>
        <w:trPr>
          <w:trHeight w:val="379" w:hRule="exact"/>
        </w:trPr>
        <w:tc>
          <w:tcPr>
            <w:tcW w:w="659" w:type="dxa"/>
            <w:tcBorders>
              <w:top w:val="nil" w:sz="6" w:space="0" w:color="auto"/>
              <w:left w:val="nil" w:sz="6" w:space="0" w:color="auto"/>
              <w:bottom w:val="nil" w:sz="6" w:space="0" w:color="auto"/>
              <w:right w:val="nil" w:sz="6" w:space="0" w:color="auto"/>
            </w:tcBorders>
          </w:tcPr>
          <w:p>
            <w:pPr/>
          </w:p>
        </w:tc>
        <w:tc>
          <w:tcPr>
            <w:tcW w:w="3656"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07" w:right="0"/>
              <w:jc w:val="left"/>
              <w:rPr>
                <w:rFonts w:ascii="宋体" w:hAnsi="宋体" w:cs="宋体" w:eastAsia="宋体" w:hint="default"/>
                <w:sz w:val="15"/>
                <w:szCs w:val="15"/>
              </w:rPr>
            </w:pPr>
            <w:r>
              <w:rPr>
                <w:rFonts w:ascii="宋体" w:hAnsi="宋体" w:cs="宋体" w:eastAsia="宋体" w:hint="default"/>
                <w:sz w:val="15"/>
                <w:szCs w:val="15"/>
              </w:rPr>
              <w:t>阿尔派电子（中国）有限公司（</w:t>
            </w:r>
            <w:r>
              <w:rPr>
                <w:rFonts w:ascii="Times New Roman" w:hAnsi="Times New Roman" w:cs="Times New Roman" w:eastAsia="Times New Roman" w:hint="default"/>
                <w:sz w:val="15"/>
                <w:szCs w:val="15"/>
              </w:rPr>
              <w:t>“</w:t>
            </w:r>
            <w:r>
              <w:rPr>
                <w:rFonts w:ascii="宋体" w:hAnsi="宋体" w:cs="宋体" w:eastAsia="宋体" w:hint="default"/>
                <w:sz w:val="15"/>
                <w:szCs w:val="15"/>
              </w:rPr>
              <w:t>阿尔派中国</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3739" w:type="dxa"/>
            <w:tcBorders>
              <w:top w:val="nil" w:sz="6" w:space="0" w:color="auto"/>
              <w:left w:val="nil" w:sz="6" w:space="0" w:color="auto"/>
              <w:bottom w:val="nil" w:sz="6" w:space="0" w:color="auto"/>
              <w:right w:val="nil" w:sz="6" w:space="0" w:color="auto"/>
            </w:tcBorders>
          </w:tcPr>
          <w:p>
            <w:pPr>
              <w:pStyle w:val="TableParagraph"/>
              <w:spacing w:line="240" w:lineRule="auto" w:before="64"/>
              <w:ind w:left="70" w:right="0"/>
              <w:jc w:val="left"/>
              <w:rPr>
                <w:rFonts w:ascii="宋体" w:hAnsi="宋体" w:cs="宋体" w:eastAsia="宋体" w:hint="default"/>
                <w:sz w:val="15"/>
                <w:szCs w:val="15"/>
              </w:rPr>
            </w:pPr>
            <w:r>
              <w:rPr>
                <w:rFonts w:ascii="宋体" w:hAnsi="宋体" w:cs="宋体" w:eastAsia="宋体" w:hint="default"/>
                <w:sz w:val="15"/>
                <w:szCs w:val="15"/>
              </w:rPr>
              <w:t>持本公司</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5%</w:t>
            </w:r>
            <w:r>
              <w:rPr>
                <w:rFonts w:ascii="宋体" w:hAnsi="宋体" w:cs="宋体" w:eastAsia="宋体" w:hint="default"/>
                <w:sz w:val="15"/>
                <w:szCs w:val="15"/>
              </w:rPr>
              <w:t>以上股权之股东</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52" w:right="0"/>
              <w:jc w:val="center"/>
              <w:rPr>
                <w:rFonts w:ascii="Times New Roman" w:hAnsi="Times New Roman" w:cs="Times New Roman" w:eastAsia="Times New Roman" w:hint="default"/>
                <w:sz w:val="15"/>
                <w:szCs w:val="15"/>
              </w:rPr>
            </w:pPr>
            <w:r>
              <w:rPr>
                <w:rFonts w:ascii="Times New Roman"/>
                <w:sz w:val="15"/>
              </w:rPr>
              <w:t>600037253</w:t>
            </w:r>
          </w:p>
        </w:tc>
      </w:tr>
      <w:tr>
        <w:trPr>
          <w:trHeight w:val="365" w:hRule="exact"/>
        </w:trPr>
        <w:tc>
          <w:tcPr>
            <w:tcW w:w="659" w:type="dxa"/>
            <w:tcBorders>
              <w:top w:val="nil" w:sz="6" w:space="0" w:color="auto"/>
              <w:left w:val="nil" w:sz="6" w:space="0" w:color="auto"/>
              <w:bottom w:val="nil" w:sz="6" w:space="0" w:color="auto"/>
              <w:right w:val="nil" w:sz="6" w:space="0" w:color="auto"/>
            </w:tcBorders>
          </w:tcPr>
          <w:p>
            <w:pPr/>
          </w:p>
        </w:tc>
        <w:tc>
          <w:tcPr>
            <w:tcW w:w="365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07" w:right="0"/>
              <w:jc w:val="left"/>
              <w:rPr>
                <w:rFonts w:ascii="宋体" w:hAnsi="宋体" w:cs="宋体" w:eastAsia="宋体" w:hint="default"/>
                <w:sz w:val="15"/>
                <w:szCs w:val="15"/>
              </w:rPr>
            </w:pPr>
            <w:r>
              <w:rPr>
                <w:rFonts w:ascii="宋体" w:hAnsi="宋体" w:cs="宋体" w:eastAsia="宋体" w:hint="default"/>
                <w:spacing w:val="-5"/>
                <w:sz w:val="15"/>
                <w:szCs w:val="15"/>
              </w:rPr>
              <w:t>东芝解决方案株式会社、株式会社东芝（</w:t>
            </w:r>
            <w:r>
              <w:rPr>
                <w:rFonts w:ascii="Times New Roman" w:hAnsi="Times New Roman" w:cs="Times New Roman" w:eastAsia="Times New Roman" w:hint="default"/>
                <w:spacing w:val="-5"/>
                <w:sz w:val="15"/>
                <w:szCs w:val="15"/>
              </w:rPr>
              <w:t>“</w:t>
            </w:r>
            <w:r>
              <w:rPr>
                <w:rFonts w:ascii="宋体" w:hAnsi="宋体" w:cs="宋体" w:eastAsia="宋体" w:hint="default"/>
                <w:spacing w:val="-5"/>
                <w:sz w:val="15"/>
                <w:szCs w:val="15"/>
              </w:rPr>
              <w:t>东芝公司</w:t>
            </w:r>
            <w:r>
              <w:rPr>
                <w:rFonts w:ascii="Times New Roman" w:hAnsi="Times New Roman" w:cs="Times New Roman" w:eastAsia="Times New Roman" w:hint="default"/>
                <w:spacing w:val="-5"/>
                <w:sz w:val="15"/>
                <w:szCs w:val="15"/>
              </w:rPr>
              <w:t>”</w:t>
            </w:r>
            <w:r>
              <w:rPr>
                <w:rFonts w:ascii="宋体" w:hAnsi="宋体" w:cs="宋体" w:eastAsia="宋体" w:hint="default"/>
                <w:spacing w:val="-5"/>
                <w:sz w:val="15"/>
                <w:szCs w:val="15"/>
              </w:rPr>
              <w:t>）</w:t>
            </w:r>
          </w:p>
        </w:tc>
        <w:tc>
          <w:tcPr>
            <w:tcW w:w="373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70" w:right="0"/>
              <w:jc w:val="left"/>
              <w:rPr>
                <w:rFonts w:ascii="宋体" w:hAnsi="宋体" w:cs="宋体" w:eastAsia="宋体" w:hint="default"/>
                <w:sz w:val="15"/>
                <w:szCs w:val="15"/>
              </w:rPr>
            </w:pPr>
            <w:r>
              <w:rPr>
                <w:rFonts w:ascii="宋体" w:hAnsi="宋体" w:cs="宋体" w:eastAsia="宋体" w:hint="default"/>
                <w:sz w:val="15"/>
                <w:szCs w:val="15"/>
              </w:rPr>
              <w:t>持本公司</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5%</w:t>
            </w:r>
            <w:r>
              <w:rPr>
                <w:rFonts w:ascii="宋体" w:hAnsi="宋体" w:cs="宋体" w:eastAsia="宋体" w:hint="default"/>
                <w:sz w:val="15"/>
                <w:szCs w:val="15"/>
              </w:rPr>
              <w:t>以上股权之股东</w:t>
            </w:r>
          </w:p>
        </w:tc>
        <w:tc>
          <w:tcPr>
            <w:tcW w:w="1033" w:type="dxa"/>
            <w:tcBorders>
              <w:top w:val="nil" w:sz="6" w:space="0" w:color="auto"/>
              <w:left w:val="nil" w:sz="6" w:space="0" w:color="auto"/>
              <w:bottom w:val="nil" w:sz="6" w:space="0" w:color="auto"/>
              <w:right w:val="nil" w:sz="6" w:space="0" w:color="auto"/>
            </w:tcBorders>
          </w:tcPr>
          <w:p>
            <w:pPr/>
          </w:p>
        </w:tc>
      </w:tr>
      <w:tr>
        <w:trPr>
          <w:trHeight w:val="374" w:hRule="exact"/>
        </w:trPr>
        <w:tc>
          <w:tcPr>
            <w:tcW w:w="659" w:type="dxa"/>
            <w:tcBorders>
              <w:top w:val="nil" w:sz="6" w:space="0" w:color="auto"/>
              <w:left w:val="nil" w:sz="6" w:space="0" w:color="auto"/>
              <w:bottom w:val="nil" w:sz="6" w:space="0" w:color="auto"/>
              <w:right w:val="nil" w:sz="6" w:space="0" w:color="auto"/>
            </w:tcBorders>
          </w:tcPr>
          <w:p>
            <w:pPr/>
          </w:p>
        </w:tc>
        <w:tc>
          <w:tcPr>
            <w:tcW w:w="36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7" w:right="0"/>
              <w:jc w:val="left"/>
              <w:rPr>
                <w:rFonts w:ascii="宋体" w:hAnsi="宋体" w:cs="宋体" w:eastAsia="宋体" w:hint="default"/>
                <w:sz w:val="15"/>
                <w:szCs w:val="15"/>
              </w:rPr>
            </w:pPr>
            <w:r>
              <w:rPr>
                <w:rFonts w:ascii="宋体" w:hAnsi="宋体" w:cs="宋体" w:eastAsia="宋体" w:hint="default"/>
                <w:sz w:val="15"/>
                <w:szCs w:val="15"/>
              </w:rPr>
              <w:t>沈阳慧旭科技股份有限公司</w:t>
            </w:r>
          </w:p>
        </w:tc>
        <w:tc>
          <w:tcPr>
            <w:tcW w:w="373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0" w:right="0"/>
              <w:jc w:val="left"/>
              <w:rPr>
                <w:rFonts w:ascii="宋体" w:hAnsi="宋体" w:cs="宋体" w:eastAsia="宋体" w:hint="default"/>
                <w:sz w:val="15"/>
                <w:szCs w:val="15"/>
              </w:rPr>
            </w:pPr>
            <w:r>
              <w:rPr>
                <w:rFonts w:ascii="宋体" w:hAnsi="宋体" w:cs="宋体" w:eastAsia="宋体" w:hint="default"/>
                <w:sz w:val="15"/>
                <w:szCs w:val="15"/>
              </w:rPr>
              <w:t>持本公司</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5%</w:t>
            </w:r>
            <w:r>
              <w:rPr>
                <w:rFonts w:ascii="宋体" w:hAnsi="宋体" w:cs="宋体" w:eastAsia="宋体" w:hint="default"/>
                <w:sz w:val="15"/>
                <w:szCs w:val="15"/>
              </w:rPr>
              <w:t>以上股权之股东</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52" w:right="0"/>
              <w:jc w:val="center"/>
              <w:rPr>
                <w:rFonts w:ascii="Times New Roman" w:hAnsi="Times New Roman" w:cs="Times New Roman" w:eastAsia="Times New Roman" w:hint="default"/>
                <w:sz w:val="15"/>
                <w:szCs w:val="15"/>
              </w:rPr>
            </w:pPr>
            <w:r>
              <w:rPr>
                <w:rFonts w:ascii="Times New Roman"/>
                <w:sz w:val="15"/>
              </w:rPr>
              <w:t>667157292</w:t>
            </w:r>
          </w:p>
        </w:tc>
      </w:tr>
      <w:tr>
        <w:trPr>
          <w:trHeight w:val="370" w:hRule="exact"/>
        </w:trPr>
        <w:tc>
          <w:tcPr>
            <w:tcW w:w="659" w:type="dxa"/>
            <w:tcBorders>
              <w:top w:val="nil" w:sz="6" w:space="0" w:color="auto"/>
              <w:left w:val="nil" w:sz="6" w:space="0" w:color="auto"/>
              <w:bottom w:val="nil" w:sz="6" w:space="0" w:color="auto"/>
              <w:right w:val="nil" w:sz="6" w:space="0" w:color="auto"/>
            </w:tcBorders>
          </w:tcPr>
          <w:p>
            <w:pPr/>
          </w:p>
        </w:tc>
        <w:tc>
          <w:tcPr>
            <w:tcW w:w="365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07" w:right="0"/>
              <w:jc w:val="left"/>
              <w:rPr>
                <w:rFonts w:ascii="宋体" w:hAnsi="宋体" w:cs="宋体" w:eastAsia="宋体" w:hint="default"/>
                <w:sz w:val="15"/>
                <w:szCs w:val="15"/>
              </w:rPr>
            </w:pPr>
            <w:r>
              <w:rPr>
                <w:rFonts w:ascii="宋体" w:hAnsi="宋体" w:cs="宋体" w:eastAsia="宋体" w:hint="default"/>
                <w:sz w:val="15"/>
                <w:szCs w:val="15"/>
              </w:rPr>
              <w:t>宝钢集团有限公司</w:t>
            </w:r>
          </w:p>
        </w:tc>
        <w:tc>
          <w:tcPr>
            <w:tcW w:w="373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70" w:right="0"/>
              <w:jc w:val="left"/>
              <w:rPr>
                <w:rFonts w:ascii="宋体" w:hAnsi="宋体" w:cs="宋体" w:eastAsia="宋体" w:hint="default"/>
                <w:sz w:val="15"/>
                <w:szCs w:val="15"/>
              </w:rPr>
            </w:pPr>
            <w:r>
              <w:rPr>
                <w:rFonts w:ascii="宋体" w:hAnsi="宋体" w:cs="宋体" w:eastAsia="宋体" w:hint="default"/>
                <w:sz w:val="15"/>
                <w:szCs w:val="15"/>
              </w:rPr>
              <w:t>持本公司</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5%</w:t>
            </w:r>
            <w:r>
              <w:rPr>
                <w:rFonts w:ascii="宋体" w:hAnsi="宋体" w:cs="宋体" w:eastAsia="宋体" w:hint="default"/>
                <w:sz w:val="15"/>
                <w:szCs w:val="15"/>
              </w:rPr>
              <w:t>以上股权之股东</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02" w:right="0"/>
              <w:jc w:val="center"/>
              <w:rPr>
                <w:rFonts w:ascii="Times New Roman" w:hAnsi="Times New Roman" w:cs="Times New Roman" w:eastAsia="Times New Roman" w:hint="default"/>
                <w:sz w:val="15"/>
                <w:szCs w:val="15"/>
              </w:rPr>
            </w:pPr>
            <w:r>
              <w:rPr>
                <w:rFonts w:ascii="Times New Roman"/>
                <w:sz w:val="15"/>
              </w:rPr>
              <w:t>13220082-1</w:t>
            </w:r>
          </w:p>
        </w:tc>
      </w:tr>
      <w:tr>
        <w:trPr>
          <w:trHeight w:val="370" w:hRule="exact"/>
        </w:trPr>
        <w:tc>
          <w:tcPr>
            <w:tcW w:w="659" w:type="dxa"/>
            <w:tcBorders>
              <w:top w:val="nil" w:sz="6" w:space="0" w:color="auto"/>
              <w:left w:val="nil" w:sz="6" w:space="0" w:color="auto"/>
              <w:bottom w:val="nil" w:sz="6" w:space="0" w:color="auto"/>
              <w:right w:val="nil" w:sz="6" w:space="0" w:color="auto"/>
            </w:tcBorders>
          </w:tcPr>
          <w:p>
            <w:pPr/>
          </w:p>
        </w:tc>
        <w:tc>
          <w:tcPr>
            <w:tcW w:w="365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07" w:right="0"/>
              <w:jc w:val="left"/>
              <w:rPr>
                <w:rFonts w:ascii="宋体" w:hAnsi="宋体" w:cs="宋体" w:eastAsia="宋体" w:hint="default"/>
                <w:sz w:val="15"/>
                <w:szCs w:val="15"/>
              </w:rPr>
            </w:pPr>
            <w:r>
              <w:rPr>
                <w:rFonts w:ascii="宋体" w:hAnsi="宋体" w:cs="宋体" w:eastAsia="宋体" w:hint="default"/>
                <w:sz w:val="15"/>
                <w:szCs w:val="15"/>
              </w:rPr>
              <w:t>南海东软信息技术职业学院（</w:t>
            </w:r>
            <w:r>
              <w:rPr>
                <w:rFonts w:ascii="Times New Roman" w:hAnsi="Times New Roman" w:cs="Times New Roman" w:eastAsia="Times New Roman" w:hint="default"/>
                <w:sz w:val="15"/>
                <w:szCs w:val="15"/>
              </w:rPr>
              <w:t>“</w:t>
            </w:r>
            <w:r>
              <w:rPr>
                <w:rFonts w:ascii="宋体" w:hAnsi="宋体" w:cs="宋体" w:eastAsia="宋体" w:hint="default"/>
                <w:sz w:val="15"/>
                <w:szCs w:val="15"/>
              </w:rPr>
              <w:t>南海职业学院</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373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70" w:right="0"/>
              <w:jc w:val="left"/>
              <w:rPr>
                <w:rFonts w:ascii="宋体" w:hAnsi="宋体" w:cs="宋体" w:eastAsia="宋体" w:hint="default"/>
                <w:sz w:val="15"/>
                <w:szCs w:val="15"/>
              </w:rPr>
            </w:pPr>
            <w:r>
              <w:rPr>
                <w:rFonts w:ascii="宋体" w:hAnsi="宋体" w:cs="宋体" w:eastAsia="宋体" w:hint="default"/>
                <w:sz w:val="15"/>
                <w:szCs w:val="15"/>
              </w:rPr>
              <w:t>本公司与子公司共同举办之教育机构</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98"/>
              <w:ind w:left="102" w:right="0"/>
              <w:jc w:val="center"/>
              <w:rPr>
                <w:rFonts w:ascii="Times New Roman" w:hAnsi="Times New Roman" w:cs="Times New Roman" w:eastAsia="Times New Roman" w:hint="default"/>
                <w:sz w:val="15"/>
                <w:szCs w:val="15"/>
              </w:rPr>
            </w:pPr>
            <w:r>
              <w:rPr>
                <w:rFonts w:ascii="Times New Roman"/>
                <w:sz w:val="15"/>
              </w:rPr>
              <w:t>74919300-0</w:t>
            </w:r>
          </w:p>
        </w:tc>
      </w:tr>
      <w:tr>
        <w:trPr>
          <w:trHeight w:val="370" w:hRule="exact"/>
        </w:trPr>
        <w:tc>
          <w:tcPr>
            <w:tcW w:w="659" w:type="dxa"/>
            <w:tcBorders>
              <w:top w:val="nil" w:sz="6" w:space="0" w:color="auto"/>
              <w:left w:val="nil" w:sz="6" w:space="0" w:color="auto"/>
              <w:bottom w:val="nil" w:sz="6" w:space="0" w:color="auto"/>
              <w:right w:val="nil" w:sz="6" w:space="0" w:color="auto"/>
            </w:tcBorders>
          </w:tcPr>
          <w:p>
            <w:pPr/>
          </w:p>
        </w:tc>
        <w:tc>
          <w:tcPr>
            <w:tcW w:w="365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07" w:right="0"/>
              <w:jc w:val="left"/>
              <w:rPr>
                <w:rFonts w:ascii="宋体" w:hAnsi="宋体" w:cs="宋体" w:eastAsia="宋体" w:hint="default"/>
                <w:sz w:val="15"/>
                <w:szCs w:val="15"/>
              </w:rPr>
            </w:pPr>
            <w:r>
              <w:rPr>
                <w:rFonts w:ascii="宋体" w:hAnsi="宋体" w:cs="宋体" w:eastAsia="宋体" w:hint="default"/>
                <w:sz w:val="15"/>
                <w:szCs w:val="15"/>
              </w:rPr>
              <w:t>成都东软信息技术职业学院（</w:t>
            </w:r>
            <w:r>
              <w:rPr>
                <w:rFonts w:ascii="Times New Roman" w:hAnsi="Times New Roman" w:cs="Times New Roman" w:eastAsia="Times New Roman" w:hint="default"/>
                <w:sz w:val="15"/>
                <w:szCs w:val="15"/>
              </w:rPr>
              <w:t>“</w:t>
            </w:r>
            <w:r>
              <w:rPr>
                <w:rFonts w:ascii="宋体" w:hAnsi="宋体" w:cs="宋体" w:eastAsia="宋体" w:hint="default"/>
                <w:sz w:val="15"/>
                <w:szCs w:val="15"/>
              </w:rPr>
              <w:t>成都职业学院</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373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70" w:right="0"/>
              <w:jc w:val="left"/>
              <w:rPr>
                <w:rFonts w:ascii="宋体" w:hAnsi="宋体" w:cs="宋体" w:eastAsia="宋体" w:hint="default"/>
                <w:sz w:val="15"/>
                <w:szCs w:val="15"/>
              </w:rPr>
            </w:pPr>
            <w:r>
              <w:rPr>
                <w:rFonts w:ascii="宋体" w:hAnsi="宋体" w:cs="宋体" w:eastAsia="宋体" w:hint="default"/>
                <w:sz w:val="15"/>
                <w:szCs w:val="15"/>
              </w:rPr>
              <w:t>本公司与子公司共同举办之教育机构</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98"/>
              <w:ind w:left="102" w:right="0"/>
              <w:jc w:val="center"/>
              <w:rPr>
                <w:rFonts w:ascii="Times New Roman" w:hAnsi="Times New Roman" w:cs="Times New Roman" w:eastAsia="Times New Roman" w:hint="default"/>
                <w:sz w:val="15"/>
                <w:szCs w:val="15"/>
              </w:rPr>
            </w:pPr>
            <w:r>
              <w:rPr>
                <w:rFonts w:ascii="Times New Roman"/>
                <w:sz w:val="15"/>
              </w:rPr>
              <w:t>74963918-0</w:t>
            </w:r>
          </w:p>
        </w:tc>
      </w:tr>
      <w:tr>
        <w:trPr>
          <w:trHeight w:val="370" w:hRule="exact"/>
        </w:trPr>
        <w:tc>
          <w:tcPr>
            <w:tcW w:w="659" w:type="dxa"/>
            <w:tcBorders>
              <w:top w:val="nil" w:sz="6" w:space="0" w:color="auto"/>
              <w:left w:val="nil" w:sz="6" w:space="0" w:color="auto"/>
              <w:bottom w:val="nil" w:sz="6" w:space="0" w:color="auto"/>
              <w:right w:val="nil" w:sz="6" w:space="0" w:color="auto"/>
            </w:tcBorders>
          </w:tcPr>
          <w:p>
            <w:pPr/>
          </w:p>
        </w:tc>
        <w:tc>
          <w:tcPr>
            <w:tcW w:w="365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07" w:right="0"/>
              <w:jc w:val="left"/>
              <w:rPr>
                <w:rFonts w:ascii="宋体" w:hAnsi="宋体" w:cs="宋体" w:eastAsia="宋体" w:hint="default"/>
                <w:sz w:val="15"/>
                <w:szCs w:val="15"/>
              </w:rPr>
            </w:pPr>
            <w:r>
              <w:rPr>
                <w:rFonts w:ascii="宋体" w:hAnsi="宋体" w:cs="宋体" w:eastAsia="宋体" w:hint="default"/>
                <w:sz w:val="15"/>
                <w:szCs w:val="15"/>
              </w:rPr>
              <w:t>大连东软信息学院（</w:t>
            </w:r>
            <w:r>
              <w:rPr>
                <w:rFonts w:ascii="Times New Roman" w:hAnsi="Times New Roman" w:cs="Times New Roman" w:eastAsia="Times New Roman" w:hint="default"/>
                <w:sz w:val="15"/>
                <w:szCs w:val="15"/>
              </w:rPr>
              <w:t>“</w:t>
            </w:r>
            <w:r>
              <w:rPr>
                <w:rFonts w:ascii="宋体" w:hAnsi="宋体" w:cs="宋体" w:eastAsia="宋体" w:hint="default"/>
                <w:sz w:val="15"/>
                <w:szCs w:val="15"/>
              </w:rPr>
              <w:t>东软信息学院</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373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70" w:right="0"/>
              <w:jc w:val="left"/>
              <w:rPr>
                <w:rFonts w:ascii="宋体" w:hAnsi="宋体" w:cs="宋体" w:eastAsia="宋体" w:hint="default"/>
                <w:sz w:val="15"/>
                <w:szCs w:val="15"/>
              </w:rPr>
            </w:pPr>
            <w:r>
              <w:rPr>
                <w:rFonts w:ascii="宋体" w:hAnsi="宋体" w:cs="宋体" w:eastAsia="宋体" w:hint="default"/>
                <w:sz w:val="15"/>
                <w:szCs w:val="15"/>
              </w:rPr>
              <w:t>本公司与子公司共同举办之教育机构</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02" w:right="0"/>
              <w:jc w:val="center"/>
              <w:rPr>
                <w:rFonts w:ascii="Times New Roman" w:hAnsi="Times New Roman" w:cs="Times New Roman" w:eastAsia="Times New Roman" w:hint="default"/>
                <w:sz w:val="15"/>
                <w:szCs w:val="15"/>
              </w:rPr>
            </w:pPr>
            <w:r>
              <w:rPr>
                <w:rFonts w:ascii="Times New Roman"/>
                <w:sz w:val="15"/>
              </w:rPr>
              <w:t>76544538-6</w:t>
            </w:r>
          </w:p>
        </w:tc>
      </w:tr>
      <w:tr>
        <w:trPr>
          <w:trHeight w:val="370" w:hRule="exact"/>
        </w:trPr>
        <w:tc>
          <w:tcPr>
            <w:tcW w:w="659" w:type="dxa"/>
            <w:tcBorders>
              <w:top w:val="nil" w:sz="6" w:space="0" w:color="auto"/>
              <w:left w:val="nil" w:sz="6" w:space="0" w:color="auto"/>
              <w:bottom w:val="nil" w:sz="6" w:space="0" w:color="auto"/>
              <w:right w:val="nil" w:sz="6" w:space="0" w:color="auto"/>
            </w:tcBorders>
          </w:tcPr>
          <w:p>
            <w:pPr/>
          </w:p>
        </w:tc>
        <w:tc>
          <w:tcPr>
            <w:tcW w:w="365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07" w:right="0"/>
              <w:jc w:val="left"/>
              <w:rPr>
                <w:rFonts w:ascii="宋体" w:hAnsi="宋体" w:cs="宋体" w:eastAsia="宋体" w:hint="default"/>
                <w:sz w:val="15"/>
                <w:szCs w:val="15"/>
              </w:rPr>
            </w:pPr>
            <w:r>
              <w:rPr>
                <w:rFonts w:ascii="宋体" w:hAnsi="宋体" w:cs="宋体" w:eastAsia="宋体" w:hint="default"/>
                <w:sz w:val="15"/>
                <w:szCs w:val="15"/>
              </w:rPr>
              <w:t>大连东软信息技术职业学院（</w:t>
            </w:r>
            <w:r>
              <w:rPr>
                <w:rFonts w:ascii="Times New Roman" w:hAnsi="Times New Roman" w:cs="Times New Roman" w:eastAsia="Times New Roman" w:hint="default"/>
                <w:sz w:val="15"/>
                <w:szCs w:val="15"/>
              </w:rPr>
              <w:t>“</w:t>
            </w:r>
            <w:r>
              <w:rPr>
                <w:rFonts w:ascii="宋体" w:hAnsi="宋体" w:cs="宋体" w:eastAsia="宋体" w:hint="default"/>
                <w:sz w:val="15"/>
                <w:szCs w:val="15"/>
              </w:rPr>
              <w:t>大连职业学院</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373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70" w:right="0"/>
              <w:jc w:val="left"/>
              <w:rPr>
                <w:rFonts w:ascii="宋体" w:hAnsi="宋体" w:cs="宋体" w:eastAsia="宋体" w:hint="default"/>
                <w:sz w:val="15"/>
                <w:szCs w:val="15"/>
              </w:rPr>
            </w:pPr>
            <w:r>
              <w:rPr>
                <w:rFonts w:ascii="宋体" w:hAnsi="宋体" w:cs="宋体" w:eastAsia="宋体" w:hint="default"/>
                <w:sz w:val="15"/>
                <w:szCs w:val="15"/>
              </w:rPr>
              <w:t>本公司举办的教育机构</w:t>
            </w:r>
          </w:p>
        </w:tc>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98"/>
              <w:ind w:left="102" w:right="0"/>
              <w:jc w:val="center"/>
              <w:rPr>
                <w:rFonts w:ascii="Times New Roman" w:hAnsi="Times New Roman" w:cs="Times New Roman" w:eastAsia="Times New Roman" w:hint="default"/>
                <w:sz w:val="15"/>
                <w:szCs w:val="15"/>
              </w:rPr>
            </w:pPr>
            <w:r>
              <w:rPr>
                <w:rFonts w:ascii="Times New Roman"/>
                <w:sz w:val="15"/>
              </w:rPr>
              <w:t>42244491-2</w:t>
            </w:r>
          </w:p>
        </w:tc>
      </w:tr>
      <w:tr>
        <w:trPr>
          <w:trHeight w:val="286" w:hRule="exact"/>
        </w:trPr>
        <w:tc>
          <w:tcPr>
            <w:tcW w:w="659" w:type="dxa"/>
            <w:tcBorders>
              <w:top w:val="nil" w:sz="6" w:space="0" w:color="auto"/>
              <w:left w:val="nil" w:sz="6" w:space="0" w:color="auto"/>
              <w:bottom w:val="nil" w:sz="6" w:space="0" w:color="auto"/>
              <w:right w:val="nil" w:sz="6" w:space="0" w:color="auto"/>
            </w:tcBorders>
          </w:tcPr>
          <w:p>
            <w:pPr/>
          </w:p>
        </w:tc>
        <w:tc>
          <w:tcPr>
            <w:tcW w:w="3656" w:type="dxa"/>
            <w:tcBorders>
              <w:top w:val="nil" w:sz="6" w:space="0" w:color="auto"/>
              <w:left w:val="nil" w:sz="6" w:space="0" w:color="auto"/>
              <w:bottom w:val="single" w:sz="8" w:space="0" w:color="000000"/>
              <w:right w:val="nil" w:sz="6" w:space="0" w:color="auto"/>
            </w:tcBorders>
          </w:tcPr>
          <w:p>
            <w:pPr>
              <w:pStyle w:val="TableParagraph"/>
              <w:spacing w:line="240" w:lineRule="auto" w:before="55"/>
              <w:ind w:left="107" w:right="0"/>
              <w:jc w:val="left"/>
              <w:rPr>
                <w:rFonts w:ascii="宋体" w:hAnsi="宋体" w:cs="宋体" w:eastAsia="宋体" w:hint="default"/>
                <w:sz w:val="15"/>
                <w:szCs w:val="15"/>
              </w:rPr>
            </w:pPr>
            <w:r>
              <w:rPr>
                <w:rFonts w:ascii="宋体" w:hAnsi="宋体" w:cs="宋体" w:eastAsia="宋体" w:hint="default"/>
                <w:sz w:val="15"/>
                <w:szCs w:val="15"/>
              </w:rPr>
              <w:t>大连东软教育服务有限公司（</w:t>
            </w:r>
            <w:r>
              <w:rPr>
                <w:rFonts w:ascii="Times New Roman" w:hAnsi="Times New Roman" w:cs="Times New Roman" w:eastAsia="Times New Roman" w:hint="default"/>
                <w:sz w:val="15"/>
                <w:szCs w:val="15"/>
              </w:rPr>
              <w:t>“</w:t>
            </w:r>
            <w:r>
              <w:rPr>
                <w:rFonts w:ascii="宋体" w:hAnsi="宋体" w:cs="宋体" w:eastAsia="宋体" w:hint="default"/>
                <w:sz w:val="15"/>
                <w:szCs w:val="15"/>
              </w:rPr>
              <w:t>大连东软教育</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3739" w:type="dxa"/>
            <w:tcBorders>
              <w:top w:val="nil" w:sz="6" w:space="0" w:color="auto"/>
              <w:left w:val="nil" w:sz="6" w:space="0" w:color="auto"/>
              <w:bottom w:val="single" w:sz="8" w:space="0" w:color="000000"/>
              <w:right w:val="nil" w:sz="6" w:space="0" w:color="auto"/>
            </w:tcBorders>
          </w:tcPr>
          <w:p>
            <w:pPr>
              <w:pStyle w:val="TableParagraph"/>
              <w:spacing w:line="240" w:lineRule="auto" w:before="55"/>
              <w:ind w:left="70" w:right="0"/>
              <w:jc w:val="left"/>
              <w:rPr>
                <w:rFonts w:ascii="宋体" w:hAnsi="宋体" w:cs="宋体" w:eastAsia="宋体" w:hint="default"/>
                <w:sz w:val="15"/>
                <w:szCs w:val="15"/>
              </w:rPr>
            </w:pPr>
            <w:r>
              <w:rPr>
                <w:rFonts w:ascii="宋体" w:hAnsi="宋体" w:cs="宋体" w:eastAsia="宋体" w:hint="default"/>
                <w:sz w:val="15"/>
                <w:szCs w:val="15"/>
              </w:rPr>
              <w:t>本公司举办的教育机构之控股子公司</w:t>
            </w:r>
          </w:p>
        </w:tc>
        <w:tc>
          <w:tcPr>
            <w:tcW w:w="1033" w:type="dxa"/>
            <w:tcBorders>
              <w:top w:val="nil" w:sz="6" w:space="0" w:color="auto"/>
              <w:left w:val="nil" w:sz="6" w:space="0" w:color="auto"/>
              <w:bottom w:val="single" w:sz="8" w:space="0" w:color="000000"/>
              <w:right w:val="nil" w:sz="6" w:space="0" w:color="auto"/>
            </w:tcBorders>
          </w:tcPr>
          <w:p>
            <w:pPr>
              <w:pStyle w:val="TableParagraph"/>
              <w:spacing w:line="240" w:lineRule="auto" w:before="98"/>
              <w:ind w:left="102" w:right="0"/>
              <w:jc w:val="center"/>
              <w:rPr>
                <w:rFonts w:ascii="Times New Roman" w:hAnsi="Times New Roman" w:cs="Times New Roman" w:eastAsia="Times New Roman" w:hint="default"/>
                <w:sz w:val="15"/>
                <w:szCs w:val="15"/>
              </w:rPr>
            </w:pPr>
            <w:r>
              <w:rPr>
                <w:rFonts w:ascii="Times New Roman"/>
                <w:sz w:val="15"/>
              </w:rPr>
              <w:t>75155503-1</w:t>
            </w:r>
          </w:p>
        </w:tc>
      </w:tr>
    </w:tbl>
    <w:p>
      <w:pPr>
        <w:spacing w:line="240" w:lineRule="auto" w:before="10"/>
        <w:rPr>
          <w:rFonts w:ascii="宋体" w:hAnsi="宋体" w:cs="宋体" w:eastAsia="宋体" w:hint="default"/>
          <w:sz w:val="28"/>
          <w:szCs w:val="28"/>
        </w:rPr>
      </w:pPr>
    </w:p>
    <w:p>
      <w:pPr>
        <w:tabs>
          <w:tab w:pos="873" w:val="left" w:leader="none"/>
        </w:tabs>
        <w:spacing w:before="35"/>
        <w:ind w:left="145" w:right="186" w:firstLine="0"/>
        <w:jc w:val="left"/>
        <w:rPr>
          <w:rFonts w:ascii="宋体" w:hAnsi="宋体" w:cs="宋体" w:eastAsia="宋体" w:hint="default"/>
          <w:sz w:val="21"/>
          <w:szCs w:val="21"/>
        </w:rPr>
      </w:pPr>
      <w:r>
        <w:rPr/>
        <w:pict>
          <v:shape style="position:absolute;margin-left:111.480003pt;margin-top:-259.466339pt;width:421.799953pt;height:239.58pt;mso-position-horizontal-relative:page;mso-position-vertical-relative:paragraph;z-index:-977656" type="#_x0000_t75" stroked="false">
            <v:imagedata r:id="rId152" o:title=""/>
          </v:shape>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关联方交易</w:t>
      </w:r>
    </w:p>
    <w:p>
      <w:pPr>
        <w:spacing w:line="240" w:lineRule="auto" w:before="11"/>
        <w:rPr>
          <w:rFonts w:ascii="宋体" w:hAnsi="宋体" w:cs="宋体" w:eastAsia="宋体" w:hint="default"/>
          <w:sz w:val="32"/>
          <w:szCs w:val="32"/>
        </w:rPr>
      </w:pPr>
    </w:p>
    <w:p>
      <w:pPr>
        <w:tabs>
          <w:tab w:pos="1416" w:val="left" w:leader="none"/>
        </w:tabs>
        <w:spacing w:line="297" w:lineRule="auto" w:before="0"/>
        <w:ind w:left="1416" w:right="186" w:hanging="539"/>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r>
      <w:r>
        <w:rPr>
          <w:rFonts w:ascii="宋体" w:hAnsi="宋体" w:cs="宋体" w:eastAsia="宋体" w:hint="default"/>
          <w:spacing w:val="-2"/>
          <w:sz w:val="21"/>
          <w:szCs w:val="21"/>
        </w:rPr>
        <w:t>存在控制关系且已纳入本公司合并会计报表范围的子公司，其相互间交易及母子公司</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交易已作抵销。</w:t>
      </w:r>
    </w:p>
    <w:p>
      <w:pPr>
        <w:spacing w:line="240" w:lineRule="auto" w:before="0"/>
        <w:rPr>
          <w:rFonts w:ascii="宋体" w:hAnsi="宋体" w:cs="宋体" w:eastAsia="宋体" w:hint="default"/>
          <w:sz w:val="20"/>
          <w:szCs w:val="20"/>
        </w:rPr>
      </w:pPr>
    </w:p>
    <w:p>
      <w:pPr>
        <w:tabs>
          <w:tab w:pos="1416" w:val="left" w:leader="none"/>
        </w:tabs>
        <w:spacing w:before="133"/>
        <w:ind w:left="877" w:right="186" w:firstLine="0"/>
        <w:jc w:val="left"/>
        <w:rPr>
          <w:rFonts w:ascii="宋体" w:hAnsi="宋体" w:cs="宋体" w:eastAsia="宋体" w:hint="default"/>
          <w:sz w:val="21"/>
          <w:szCs w:val="21"/>
        </w:rPr>
      </w:pPr>
      <w:r>
        <w:rPr/>
        <w:pict>
          <v:group style="position:absolute;margin-left:111.359993pt;margin-top:21.973213pt;width:423.45pt;height:111.1pt;mso-position-horizontal-relative:page;mso-position-vertical-relative:paragraph;z-index:-977632" coordorigin="2227,439" coordsize="8469,2222">
            <v:group style="position:absolute;left:2237;top:449;width:1083;height:2" coordorigin="2237,449" coordsize="1083,2">
              <v:shape style="position:absolute;left:2237;top:449;width:1083;height:2" coordorigin="2237,449" coordsize="1083,0" path="m2237,449l3319,449e" filled="false" stroked="true" strokeweight=".96002pt" strokecolor="#000000">
                <v:path arrowok="t"/>
              </v:shape>
            </v:group>
            <v:group style="position:absolute;left:3319;top:449;width:790;height:2" coordorigin="3319,449" coordsize="790,2">
              <v:shape style="position:absolute;left:3319;top:449;width:790;height:2" coordorigin="3319,449" coordsize="790,0" path="m3319,449l4109,449e" filled="false" stroked="true" strokeweight=".96002pt" strokecolor="#000000">
                <v:path arrowok="t"/>
              </v:shape>
            </v:group>
            <v:group style="position:absolute;left:4109;top:449;width:1396;height:2" coordorigin="4109,449" coordsize="1396,2">
              <v:shape style="position:absolute;left:4109;top:449;width:1396;height:2" coordorigin="4109,449" coordsize="1396,0" path="m4109,449l5504,449e" filled="false" stroked="true" strokeweight=".96002pt" strokecolor="#000000">
                <v:path arrowok="t"/>
              </v:shape>
            </v:group>
            <v:group style="position:absolute;left:5504;top:449;width:1919;height:2" coordorigin="5504,449" coordsize="1919,2">
              <v:shape style="position:absolute;left:5504;top:449;width:1919;height:2" coordorigin="5504,449" coordsize="1919,0" path="m5504,449l7423,449e" filled="false" stroked="true" strokeweight=".96002pt" strokecolor="#000000">
                <v:path arrowok="t"/>
              </v:shape>
            </v:group>
            <v:group style="position:absolute;left:7423;top:449;width:1594;height:2" coordorigin="7423,449" coordsize="1594,2">
              <v:shape style="position:absolute;left:7423;top:449;width:1594;height:2" coordorigin="7423,449" coordsize="1594,0" path="m7423,449l9017,449e" filled="false" stroked="true" strokeweight=".96002pt" strokecolor="#000000">
                <v:path arrowok="t"/>
              </v:shape>
            </v:group>
            <v:group style="position:absolute;left:9017;top:449;width:1670;height:2" coordorigin="9017,449" coordsize="1670,2">
              <v:shape style="position:absolute;left:9017;top:449;width:1670;height:2" coordorigin="9017,449" coordsize="1670,0" path="m9017,449l10686,449e" filled="false" stroked="true" strokeweight=".96002pt" strokecolor="#000000">
                <v:path arrowok="t"/>
              </v:shape>
              <v:shape style="position:absolute;left:2230;top:459;width:8466;height:2202" type="#_x0000_t75" stroked="false">
                <v:imagedata r:id="rId153" o:title=""/>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购买商品、接受劳务的关联交易</w:t>
      </w:r>
    </w:p>
    <w:p>
      <w:pPr>
        <w:spacing w:line="240" w:lineRule="auto" w:before="1"/>
        <w:rPr>
          <w:rFonts w:ascii="宋体" w:hAnsi="宋体" w:cs="宋体" w:eastAsia="宋体" w:hint="default"/>
          <w:sz w:val="11"/>
          <w:szCs w:val="11"/>
        </w:rPr>
      </w:pPr>
    </w:p>
    <w:tbl>
      <w:tblPr>
        <w:tblW w:w="0" w:type="auto"/>
        <w:jc w:val="left"/>
        <w:tblInd w:w="755" w:type="dxa"/>
        <w:tblLayout w:type="fixed"/>
        <w:tblCellMar>
          <w:top w:w="0" w:type="dxa"/>
          <w:left w:w="0" w:type="dxa"/>
          <w:bottom w:w="0" w:type="dxa"/>
          <w:right w:w="0" w:type="dxa"/>
        </w:tblCellMar>
        <w:tblLook w:val="01E0"/>
      </w:tblPr>
      <w:tblGrid>
        <w:gridCol w:w="1059"/>
        <w:gridCol w:w="825"/>
        <w:gridCol w:w="1340"/>
        <w:gridCol w:w="2007"/>
        <w:gridCol w:w="1606"/>
        <w:gridCol w:w="1641"/>
      </w:tblGrid>
      <w:tr>
        <w:trPr>
          <w:trHeight w:val="429" w:hRule="exact"/>
        </w:trPr>
        <w:tc>
          <w:tcPr>
            <w:tcW w:w="1059" w:type="dxa"/>
            <w:tcBorders>
              <w:top w:val="nil" w:sz="6" w:space="0" w:color="auto"/>
              <w:left w:val="nil" w:sz="6" w:space="0" w:color="auto"/>
              <w:bottom w:val="nil" w:sz="6" w:space="0" w:color="auto"/>
              <w:right w:val="nil" w:sz="6" w:space="0" w:color="auto"/>
            </w:tcBorders>
          </w:tcPr>
          <w:p>
            <w:pPr/>
          </w:p>
        </w:tc>
        <w:tc>
          <w:tcPr>
            <w:tcW w:w="82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61" w:right="0"/>
              <w:jc w:val="center"/>
              <w:rPr>
                <w:rFonts w:ascii="宋体" w:hAnsi="宋体" w:cs="宋体" w:eastAsia="宋体" w:hint="default"/>
                <w:sz w:val="13"/>
                <w:szCs w:val="13"/>
              </w:rPr>
            </w:pPr>
            <w:r>
              <w:rPr>
                <w:rFonts w:ascii="宋体" w:hAnsi="宋体" w:cs="宋体" w:eastAsia="宋体" w:hint="default"/>
                <w:sz w:val="13"/>
                <w:szCs w:val="13"/>
              </w:rPr>
              <w:t>关联交易</w:t>
            </w:r>
          </w:p>
        </w:tc>
        <w:tc>
          <w:tcPr>
            <w:tcW w:w="1340" w:type="dxa"/>
            <w:tcBorders>
              <w:top w:val="nil" w:sz="6" w:space="0" w:color="auto"/>
              <w:left w:val="nil" w:sz="6" w:space="0" w:color="auto"/>
              <w:bottom w:val="nil" w:sz="6" w:space="0" w:color="auto"/>
              <w:right w:val="nil" w:sz="6" w:space="0" w:color="auto"/>
            </w:tcBorders>
          </w:tcPr>
          <w:p>
            <w:pPr/>
          </w:p>
        </w:tc>
        <w:tc>
          <w:tcPr>
            <w:tcW w:w="2007"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53" w:right="0"/>
              <w:jc w:val="left"/>
              <w:rPr>
                <w:rFonts w:ascii="宋体" w:hAnsi="宋体" w:cs="宋体" w:eastAsia="宋体" w:hint="default"/>
                <w:sz w:val="13"/>
                <w:szCs w:val="13"/>
              </w:rPr>
            </w:pPr>
            <w:r>
              <w:rPr>
                <w:rFonts w:ascii="宋体" w:hAnsi="宋体" w:cs="宋体" w:eastAsia="宋体" w:hint="default"/>
                <w:sz w:val="13"/>
                <w:szCs w:val="13"/>
              </w:rPr>
              <w:t>本期发生额</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80" w:right="0"/>
              <w:jc w:val="left"/>
              <w:rPr>
                <w:rFonts w:ascii="宋体" w:hAnsi="宋体" w:cs="宋体" w:eastAsia="宋体" w:hint="default"/>
                <w:sz w:val="13"/>
                <w:szCs w:val="13"/>
              </w:rPr>
            </w:pPr>
            <w:r>
              <w:rPr>
                <w:rFonts w:ascii="宋体" w:hAnsi="宋体" w:cs="宋体" w:eastAsia="宋体" w:hint="default"/>
                <w:sz w:val="13"/>
                <w:szCs w:val="13"/>
              </w:rPr>
              <w:t>上期发生额</w:t>
            </w:r>
          </w:p>
        </w:tc>
      </w:tr>
      <w:tr>
        <w:trPr>
          <w:trHeight w:val="376" w:hRule="exact"/>
        </w:trPr>
        <w:tc>
          <w:tcPr>
            <w:tcW w:w="1059" w:type="dxa"/>
            <w:tcBorders>
              <w:top w:val="nil" w:sz="6" w:space="0" w:color="auto"/>
              <w:left w:val="nil" w:sz="6" w:space="0" w:color="auto"/>
              <w:bottom w:val="nil" w:sz="6" w:space="0" w:color="auto"/>
              <w:right w:val="nil" w:sz="6" w:space="0" w:color="auto"/>
            </w:tcBorders>
          </w:tcPr>
          <w:p>
            <w:pPr>
              <w:pStyle w:val="TableParagraph"/>
              <w:spacing w:line="155" w:lineRule="exact"/>
              <w:ind w:left="236" w:right="0"/>
              <w:jc w:val="left"/>
              <w:rPr>
                <w:rFonts w:ascii="宋体" w:hAnsi="宋体" w:cs="宋体" w:eastAsia="宋体" w:hint="default"/>
                <w:sz w:val="13"/>
                <w:szCs w:val="13"/>
              </w:rPr>
            </w:pPr>
            <w:r>
              <w:rPr>
                <w:rFonts w:ascii="宋体" w:hAnsi="宋体" w:cs="宋体" w:eastAsia="宋体" w:hint="default"/>
                <w:sz w:val="13"/>
                <w:szCs w:val="13"/>
              </w:rPr>
              <w:t>关联方名称</w:t>
            </w:r>
          </w:p>
        </w:tc>
        <w:tc>
          <w:tcPr>
            <w:tcW w:w="82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61" w:right="0"/>
              <w:jc w:val="center"/>
              <w:rPr>
                <w:rFonts w:ascii="宋体" w:hAnsi="宋体" w:cs="宋体" w:eastAsia="宋体" w:hint="default"/>
                <w:sz w:val="13"/>
                <w:szCs w:val="13"/>
              </w:rPr>
            </w:pPr>
            <w:r>
              <w:rPr>
                <w:rFonts w:ascii="宋体" w:hAnsi="宋体" w:cs="宋体" w:eastAsia="宋体" w:hint="default"/>
                <w:sz w:val="13"/>
                <w:szCs w:val="13"/>
              </w:rPr>
              <w:t>类型</w:t>
            </w:r>
          </w:p>
        </w:tc>
        <w:tc>
          <w:tcPr>
            <w:tcW w:w="1340" w:type="dxa"/>
            <w:tcBorders>
              <w:top w:val="nil" w:sz="6" w:space="0" w:color="auto"/>
              <w:left w:val="nil" w:sz="6" w:space="0" w:color="auto"/>
              <w:bottom w:val="nil" w:sz="6" w:space="0" w:color="auto"/>
              <w:right w:val="nil" w:sz="6" w:space="0" w:color="auto"/>
            </w:tcBorders>
          </w:tcPr>
          <w:p>
            <w:pPr>
              <w:pStyle w:val="TableParagraph"/>
              <w:spacing w:line="155" w:lineRule="exact"/>
              <w:ind w:left="322" w:right="0"/>
              <w:jc w:val="left"/>
              <w:rPr>
                <w:rFonts w:ascii="宋体" w:hAnsi="宋体" w:cs="宋体" w:eastAsia="宋体" w:hint="default"/>
                <w:sz w:val="13"/>
                <w:szCs w:val="13"/>
              </w:rPr>
            </w:pPr>
            <w:r>
              <w:rPr>
                <w:rFonts w:ascii="宋体" w:hAnsi="宋体" w:cs="宋体" w:eastAsia="宋体" w:hint="default"/>
                <w:sz w:val="13"/>
                <w:szCs w:val="13"/>
              </w:rPr>
              <w:t>关联交易内容</w:t>
            </w:r>
          </w:p>
        </w:tc>
        <w:tc>
          <w:tcPr>
            <w:tcW w:w="2007" w:type="dxa"/>
            <w:tcBorders>
              <w:top w:val="nil" w:sz="6" w:space="0" w:color="auto"/>
              <w:left w:val="nil" w:sz="6" w:space="0" w:color="auto"/>
              <w:bottom w:val="nil" w:sz="6" w:space="0" w:color="auto"/>
              <w:right w:val="nil" w:sz="6" w:space="0" w:color="auto"/>
            </w:tcBorders>
          </w:tcPr>
          <w:p>
            <w:pPr>
              <w:pStyle w:val="TableParagraph"/>
              <w:spacing w:line="155" w:lineRule="exact"/>
              <w:ind w:left="185" w:right="0"/>
              <w:jc w:val="left"/>
              <w:rPr>
                <w:rFonts w:ascii="宋体" w:hAnsi="宋体" w:cs="宋体" w:eastAsia="宋体" w:hint="default"/>
                <w:sz w:val="13"/>
                <w:szCs w:val="13"/>
              </w:rPr>
            </w:pPr>
            <w:r>
              <w:rPr>
                <w:rFonts w:ascii="宋体" w:hAnsi="宋体" w:cs="宋体" w:eastAsia="宋体" w:hint="default"/>
                <w:sz w:val="13"/>
                <w:szCs w:val="13"/>
              </w:rPr>
              <w:t>关联交易定价方式及决策程序</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ind w:left="946" w:right="0"/>
              <w:jc w:val="left"/>
              <w:rPr>
                <w:rFonts w:ascii="宋体" w:hAnsi="宋体" w:cs="宋体" w:eastAsia="宋体" w:hint="default"/>
                <w:sz w:val="13"/>
                <w:szCs w:val="13"/>
              </w:rPr>
            </w:pPr>
            <w:r>
              <w:rPr>
                <w:rFonts w:ascii="宋体" w:hAnsi="宋体" w:cs="宋体" w:eastAsia="宋体" w:hint="default"/>
                <w:sz w:val="13"/>
                <w:szCs w:val="13"/>
              </w:rPr>
              <w:t>占同类交</w:t>
            </w:r>
          </w:p>
          <w:p>
            <w:pPr>
              <w:pStyle w:val="TableParagraph"/>
              <w:spacing w:line="240" w:lineRule="auto" w:before="10"/>
              <w:ind w:left="214" w:right="0"/>
              <w:jc w:val="left"/>
              <w:rPr>
                <w:rFonts w:ascii="宋体" w:hAnsi="宋体" w:cs="宋体" w:eastAsia="宋体" w:hint="default"/>
                <w:sz w:val="13"/>
                <w:szCs w:val="13"/>
              </w:rPr>
            </w:pPr>
            <w:r>
              <w:rPr>
                <w:rFonts w:ascii="宋体" w:hAnsi="宋体" w:cs="宋体" w:eastAsia="宋体" w:hint="default"/>
                <w:sz w:val="13"/>
                <w:szCs w:val="13"/>
              </w:rPr>
              <w:t>金</w:t>
            </w:r>
            <w:r>
              <w:rPr>
                <w:rFonts w:ascii="宋体" w:hAnsi="宋体" w:cs="宋体" w:eastAsia="宋体" w:hint="default"/>
                <w:spacing w:val="63"/>
                <w:sz w:val="13"/>
                <w:szCs w:val="13"/>
              </w:rPr>
              <w:t> </w:t>
            </w:r>
            <w:r>
              <w:rPr>
                <w:rFonts w:ascii="宋体" w:hAnsi="宋体" w:cs="宋体" w:eastAsia="宋体" w:hint="default"/>
                <w:sz w:val="13"/>
                <w:szCs w:val="13"/>
              </w:rPr>
              <w:t>额</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ind w:left="916" w:right="0"/>
              <w:jc w:val="left"/>
              <w:rPr>
                <w:rFonts w:ascii="宋体" w:hAnsi="宋体" w:cs="宋体" w:eastAsia="宋体" w:hint="default"/>
                <w:sz w:val="13"/>
                <w:szCs w:val="13"/>
              </w:rPr>
            </w:pPr>
            <w:r>
              <w:rPr>
                <w:rFonts w:ascii="宋体" w:hAnsi="宋体" w:cs="宋体" w:eastAsia="宋体" w:hint="default"/>
                <w:sz w:val="13"/>
                <w:szCs w:val="13"/>
              </w:rPr>
              <w:t>占同类交易</w:t>
            </w:r>
          </w:p>
          <w:p>
            <w:pPr>
              <w:pStyle w:val="TableParagraph"/>
              <w:spacing w:line="240" w:lineRule="auto" w:before="10"/>
              <w:ind w:left="211" w:right="0"/>
              <w:jc w:val="left"/>
              <w:rPr>
                <w:rFonts w:ascii="宋体" w:hAnsi="宋体" w:cs="宋体" w:eastAsia="宋体" w:hint="default"/>
                <w:sz w:val="13"/>
                <w:szCs w:val="13"/>
              </w:rPr>
            </w:pPr>
            <w:r>
              <w:rPr>
                <w:rFonts w:ascii="宋体" w:hAnsi="宋体" w:cs="宋体" w:eastAsia="宋体" w:hint="default"/>
                <w:sz w:val="13"/>
                <w:szCs w:val="13"/>
              </w:rPr>
              <w:t>金</w:t>
            </w:r>
            <w:r>
              <w:rPr>
                <w:rFonts w:ascii="宋体" w:hAnsi="宋体" w:cs="宋体" w:eastAsia="宋体" w:hint="default"/>
                <w:spacing w:val="63"/>
                <w:sz w:val="13"/>
                <w:szCs w:val="13"/>
              </w:rPr>
              <w:t> </w:t>
            </w:r>
            <w:r>
              <w:rPr>
                <w:rFonts w:ascii="宋体" w:hAnsi="宋体" w:cs="宋体" w:eastAsia="宋体" w:hint="default"/>
                <w:sz w:val="13"/>
                <w:szCs w:val="13"/>
              </w:rPr>
              <w:t>额</w:t>
            </w:r>
          </w:p>
        </w:tc>
      </w:tr>
      <w:tr>
        <w:trPr>
          <w:trHeight w:val="278" w:hRule="exact"/>
        </w:trPr>
        <w:tc>
          <w:tcPr>
            <w:tcW w:w="1059" w:type="dxa"/>
            <w:tcBorders>
              <w:top w:val="nil" w:sz="6" w:space="0" w:color="auto"/>
              <w:left w:val="nil" w:sz="6" w:space="0" w:color="auto"/>
              <w:bottom w:val="nil" w:sz="6" w:space="0" w:color="auto"/>
              <w:right w:val="nil" w:sz="6" w:space="0" w:color="auto"/>
            </w:tcBorders>
          </w:tcPr>
          <w:p>
            <w:pPr/>
          </w:p>
        </w:tc>
        <w:tc>
          <w:tcPr>
            <w:tcW w:w="825"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
        </w:tc>
        <w:tc>
          <w:tcPr>
            <w:tcW w:w="2007"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165" w:lineRule="exact"/>
              <w:ind w:right="106"/>
              <w:jc w:val="right"/>
              <w:rPr>
                <w:rFonts w:ascii="Times New Roman" w:hAnsi="Times New Roman" w:cs="Times New Roman" w:eastAsia="Times New Roman" w:hint="default"/>
                <w:sz w:val="13"/>
                <w:szCs w:val="13"/>
              </w:rPr>
            </w:pPr>
            <w:r>
              <w:rPr>
                <w:rFonts w:ascii="宋体" w:hAnsi="宋体" w:cs="宋体" w:eastAsia="宋体" w:hint="default"/>
                <w:w w:val="95"/>
                <w:sz w:val="13"/>
                <w:szCs w:val="13"/>
              </w:rPr>
              <w:t>易比例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c>
        <w:tc>
          <w:tcPr>
            <w:tcW w:w="1641" w:type="dxa"/>
            <w:tcBorders>
              <w:top w:val="nil" w:sz="6" w:space="0" w:color="auto"/>
              <w:left w:val="nil" w:sz="6" w:space="0" w:color="auto"/>
              <w:bottom w:val="nil" w:sz="6" w:space="0" w:color="auto"/>
              <w:right w:val="nil" w:sz="6" w:space="0" w:color="auto"/>
            </w:tcBorders>
          </w:tcPr>
          <w:p>
            <w:pPr>
              <w:pStyle w:val="TableParagraph"/>
              <w:spacing w:line="165" w:lineRule="exact"/>
              <w:ind w:right="170"/>
              <w:jc w:val="right"/>
              <w:rPr>
                <w:rFonts w:ascii="Times New Roman" w:hAnsi="Times New Roman" w:cs="Times New Roman" w:eastAsia="Times New Roman" w:hint="default"/>
                <w:sz w:val="13"/>
                <w:szCs w:val="13"/>
              </w:rPr>
            </w:pPr>
            <w:r>
              <w:rPr>
                <w:rFonts w:ascii="宋体" w:hAnsi="宋体" w:cs="宋体" w:eastAsia="宋体" w:hint="default"/>
                <w:w w:val="95"/>
                <w:sz w:val="13"/>
                <w:szCs w:val="13"/>
              </w:rPr>
              <w:t>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c>
      </w:tr>
      <w:tr>
        <w:trPr>
          <w:trHeight w:val="374" w:hRule="exact"/>
        </w:trPr>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22" w:right="0"/>
              <w:jc w:val="left"/>
              <w:rPr>
                <w:rFonts w:ascii="宋体" w:hAnsi="宋体" w:cs="宋体" w:eastAsia="宋体" w:hint="default"/>
                <w:sz w:val="13"/>
                <w:szCs w:val="13"/>
              </w:rPr>
            </w:pPr>
            <w:r>
              <w:rPr>
                <w:rFonts w:ascii="宋体" w:hAnsi="宋体" w:cs="宋体" w:eastAsia="宋体" w:hint="default"/>
                <w:sz w:val="13"/>
                <w:szCs w:val="13"/>
              </w:rPr>
              <w:t>东软飞利浦</w:t>
            </w:r>
          </w:p>
        </w:tc>
        <w:tc>
          <w:tcPr>
            <w:tcW w:w="825" w:type="dxa"/>
            <w:tcBorders>
              <w:top w:val="nil" w:sz="6" w:space="0" w:color="auto"/>
              <w:left w:val="nil" w:sz="6" w:space="0" w:color="auto"/>
              <w:bottom w:val="nil" w:sz="6" w:space="0" w:color="auto"/>
              <w:right w:val="nil" w:sz="6" w:space="0" w:color="auto"/>
            </w:tcBorders>
          </w:tcPr>
          <w:p>
            <w:pPr>
              <w:pStyle w:val="TableParagraph"/>
              <w:spacing w:line="240" w:lineRule="auto" w:before="76"/>
              <w:ind w:left="8" w:right="0"/>
              <w:jc w:val="center"/>
              <w:rPr>
                <w:rFonts w:ascii="宋体" w:hAnsi="宋体" w:cs="宋体" w:eastAsia="宋体" w:hint="default"/>
                <w:sz w:val="13"/>
                <w:szCs w:val="13"/>
              </w:rPr>
            </w:pPr>
            <w:r>
              <w:rPr>
                <w:rFonts w:ascii="宋体" w:hAnsi="宋体" w:cs="宋体" w:eastAsia="宋体" w:hint="default"/>
                <w:sz w:val="13"/>
                <w:szCs w:val="13"/>
              </w:rPr>
              <w:t>购买商品</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22" w:right="0"/>
              <w:jc w:val="left"/>
              <w:rPr>
                <w:rFonts w:ascii="宋体" w:hAnsi="宋体" w:cs="宋体" w:eastAsia="宋体" w:hint="default"/>
                <w:sz w:val="13"/>
                <w:szCs w:val="13"/>
              </w:rPr>
            </w:pPr>
            <w:r>
              <w:rPr>
                <w:rFonts w:ascii="宋体" w:hAnsi="宋体" w:cs="宋体" w:eastAsia="宋体" w:hint="default"/>
                <w:sz w:val="13"/>
                <w:szCs w:val="13"/>
              </w:rPr>
              <w:t>原材料或产成品</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78"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tabs>
                <w:tab w:pos="1095" w:val="left" w:leader="none"/>
              </w:tabs>
              <w:spacing w:line="240" w:lineRule="auto"/>
              <w:ind w:right="83"/>
              <w:jc w:val="right"/>
              <w:rPr>
                <w:rFonts w:ascii="Times New Roman" w:hAnsi="Times New Roman" w:cs="Times New Roman" w:eastAsia="Times New Roman" w:hint="default"/>
                <w:sz w:val="13"/>
                <w:szCs w:val="13"/>
              </w:rPr>
            </w:pPr>
            <w:r>
              <w:rPr>
                <w:rFonts w:ascii="Times New Roman"/>
                <w:w w:val="95"/>
                <w:sz w:val="13"/>
              </w:rPr>
              <w:t>310,860,057</w:t>
              <w:tab/>
              <w:t>80.00</w:t>
            </w:r>
            <w:r>
              <w:rPr>
                <w:rFonts w:ascii="Times New Roman"/>
                <w:sz w:val="13"/>
              </w:rPr>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tabs>
                <w:tab w:pos="1155" w:val="left" w:leader="none"/>
              </w:tabs>
              <w:spacing w:line="240" w:lineRule="auto"/>
              <w:ind w:right="105"/>
              <w:jc w:val="right"/>
              <w:rPr>
                <w:rFonts w:ascii="Times New Roman" w:hAnsi="Times New Roman" w:cs="Times New Roman" w:eastAsia="Times New Roman" w:hint="default"/>
                <w:sz w:val="13"/>
                <w:szCs w:val="13"/>
              </w:rPr>
            </w:pPr>
            <w:r>
              <w:rPr>
                <w:rFonts w:ascii="Times New Roman"/>
                <w:w w:val="95"/>
                <w:sz w:val="13"/>
              </w:rPr>
              <w:t>316,502,448</w:t>
              <w:tab/>
              <w:t>75.80</w:t>
            </w:r>
            <w:r>
              <w:rPr>
                <w:rFonts w:ascii="Times New Roman"/>
                <w:sz w:val="13"/>
              </w:rPr>
            </w:r>
          </w:p>
        </w:tc>
      </w:tr>
      <w:tr>
        <w:trPr>
          <w:trHeight w:val="370" w:hRule="exact"/>
        </w:trPr>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13"/>
                <w:szCs w:val="13"/>
              </w:rPr>
            </w:pPr>
            <w:r>
              <w:rPr>
                <w:rFonts w:ascii="宋体" w:hAnsi="宋体" w:cs="宋体" w:eastAsia="宋体" w:hint="default"/>
                <w:sz w:val="13"/>
                <w:szCs w:val="13"/>
              </w:rPr>
              <w:t>大连东软教育</w:t>
            </w:r>
          </w:p>
        </w:tc>
        <w:tc>
          <w:tcPr>
            <w:tcW w:w="82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8" w:right="0"/>
              <w:jc w:val="center"/>
              <w:rPr>
                <w:rFonts w:ascii="宋体" w:hAnsi="宋体" w:cs="宋体" w:eastAsia="宋体" w:hint="default"/>
                <w:sz w:val="13"/>
                <w:szCs w:val="13"/>
              </w:rPr>
            </w:pPr>
            <w:r>
              <w:rPr>
                <w:rFonts w:ascii="宋体" w:hAnsi="宋体" w:cs="宋体" w:eastAsia="宋体" w:hint="default"/>
                <w:sz w:val="13"/>
                <w:szCs w:val="13"/>
              </w:rPr>
              <w:t>购买商品</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13"/>
                <w:szCs w:val="13"/>
              </w:rPr>
            </w:pPr>
            <w:r>
              <w:rPr>
                <w:rFonts w:ascii="宋体" w:hAnsi="宋体" w:cs="宋体" w:eastAsia="宋体" w:hint="default"/>
                <w:sz w:val="13"/>
                <w:szCs w:val="13"/>
              </w:rPr>
              <w:t>固定资产</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78"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606" w:type="dxa"/>
            <w:tcBorders>
              <w:top w:val="nil" w:sz="6" w:space="0" w:color="auto"/>
              <w:left w:val="nil" w:sz="6" w:space="0" w:color="auto"/>
              <w:bottom w:val="nil" w:sz="6" w:space="0" w:color="auto"/>
              <w:right w:val="nil" w:sz="6" w:space="0" w:color="auto"/>
            </w:tcBorders>
          </w:tcPr>
          <w:p>
            <w:pP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tabs>
                <w:tab w:pos="992" w:val="left" w:leader="none"/>
              </w:tabs>
              <w:spacing w:line="240" w:lineRule="auto"/>
              <w:ind w:right="107"/>
              <w:jc w:val="right"/>
              <w:rPr>
                <w:rFonts w:ascii="Times New Roman" w:hAnsi="Times New Roman" w:cs="Times New Roman" w:eastAsia="Times New Roman" w:hint="default"/>
                <w:sz w:val="13"/>
                <w:szCs w:val="13"/>
              </w:rPr>
            </w:pPr>
            <w:r>
              <w:rPr>
                <w:rFonts w:ascii="Times New Roman"/>
                <w:w w:val="95"/>
                <w:sz w:val="13"/>
              </w:rPr>
              <w:t>573,212</w:t>
              <w:tab/>
              <w:t>0.63</w:t>
            </w:r>
            <w:r>
              <w:rPr>
                <w:rFonts w:ascii="Times New Roman"/>
                <w:sz w:val="13"/>
              </w:rPr>
            </w:r>
          </w:p>
        </w:tc>
      </w:tr>
      <w:tr>
        <w:trPr>
          <w:trHeight w:val="274" w:hRule="exact"/>
        </w:trPr>
        <w:tc>
          <w:tcPr>
            <w:tcW w:w="1059" w:type="dxa"/>
            <w:tcBorders>
              <w:top w:val="nil" w:sz="6" w:space="0" w:color="auto"/>
              <w:left w:val="nil" w:sz="6" w:space="0" w:color="auto"/>
              <w:bottom w:val="single" w:sz="8" w:space="0" w:color="000000"/>
              <w:right w:val="nil" w:sz="6" w:space="0" w:color="auto"/>
            </w:tcBorders>
          </w:tcPr>
          <w:p>
            <w:pPr>
              <w:pStyle w:val="TableParagraph"/>
              <w:spacing w:line="240" w:lineRule="auto" w:before="71"/>
              <w:ind w:left="122" w:right="0"/>
              <w:jc w:val="left"/>
              <w:rPr>
                <w:rFonts w:ascii="宋体" w:hAnsi="宋体" w:cs="宋体" w:eastAsia="宋体" w:hint="default"/>
                <w:sz w:val="13"/>
                <w:szCs w:val="13"/>
              </w:rPr>
            </w:pPr>
            <w:r>
              <w:rPr>
                <w:rFonts w:ascii="宋体" w:hAnsi="宋体" w:cs="宋体" w:eastAsia="宋体" w:hint="default"/>
                <w:sz w:val="13"/>
                <w:szCs w:val="13"/>
              </w:rPr>
              <w:t>东软信息学院</w:t>
            </w:r>
          </w:p>
        </w:tc>
        <w:tc>
          <w:tcPr>
            <w:tcW w:w="825" w:type="dxa"/>
            <w:tcBorders>
              <w:top w:val="nil" w:sz="6" w:space="0" w:color="auto"/>
              <w:left w:val="nil" w:sz="6" w:space="0" w:color="auto"/>
              <w:bottom w:val="single" w:sz="8" w:space="0" w:color="000000"/>
              <w:right w:val="nil" w:sz="6" w:space="0" w:color="auto"/>
            </w:tcBorders>
          </w:tcPr>
          <w:p>
            <w:pPr>
              <w:pStyle w:val="TableParagraph"/>
              <w:spacing w:line="240" w:lineRule="auto" w:before="71"/>
              <w:ind w:left="8" w:right="0"/>
              <w:jc w:val="center"/>
              <w:rPr>
                <w:rFonts w:ascii="宋体" w:hAnsi="宋体" w:cs="宋体" w:eastAsia="宋体" w:hint="default"/>
                <w:sz w:val="13"/>
                <w:szCs w:val="13"/>
              </w:rPr>
            </w:pPr>
            <w:r>
              <w:rPr>
                <w:rFonts w:ascii="宋体" w:hAnsi="宋体" w:cs="宋体" w:eastAsia="宋体" w:hint="default"/>
                <w:sz w:val="13"/>
                <w:szCs w:val="13"/>
              </w:rPr>
              <w:t>接受劳务</w:t>
            </w:r>
          </w:p>
        </w:tc>
        <w:tc>
          <w:tcPr>
            <w:tcW w:w="1340" w:type="dxa"/>
            <w:tcBorders>
              <w:top w:val="nil" w:sz="6" w:space="0" w:color="auto"/>
              <w:left w:val="nil" w:sz="6" w:space="0" w:color="auto"/>
              <w:bottom w:val="single" w:sz="8" w:space="0" w:color="000000"/>
              <w:right w:val="nil" w:sz="6" w:space="0" w:color="auto"/>
            </w:tcBorders>
          </w:tcPr>
          <w:p>
            <w:pPr>
              <w:pStyle w:val="TableParagraph"/>
              <w:spacing w:line="240" w:lineRule="auto" w:before="71"/>
              <w:ind w:left="122" w:right="0"/>
              <w:jc w:val="left"/>
              <w:rPr>
                <w:rFonts w:ascii="宋体" w:hAnsi="宋体" w:cs="宋体" w:eastAsia="宋体" w:hint="default"/>
                <w:sz w:val="13"/>
                <w:szCs w:val="13"/>
              </w:rPr>
            </w:pPr>
            <w:r>
              <w:rPr>
                <w:rFonts w:ascii="宋体" w:hAnsi="宋体" w:cs="宋体" w:eastAsia="宋体" w:hint="default"/>
                <w:sz w:val="13"/>
                <w:szCs w:val="13"/>
              </w:rPr>
              <w:t>培训及技术服务费</w:t>
            </w:r>
          </w:p>
        </w:tc>
        <w:tc>
          <w:tcPr>
            <w:tcW w:w="2007" w:type="dxa"/>
            <w:tcBorders>
              <w:top w:val="nil" w:sz="6" w:space="0" w:color="auto"/>
              <w:left w:val="nil" w:sz="6" w:space="0" w:color="auto"/>
              <w:bottom w:val="single" w:sz="8" w:space="0" w:color="000000"/>
              <w:right w:val="nil" w:sz="6" w:space="0" w:color="auto"/>
            </w:tcBorders>
          </w:tcPr>
          <w:p>
            <w:pPr>
              <w:pStyle w:val="TableParagraph"/>
              <w:spacing w:line="240" w:lineRule="auto" w:before="71"/>
              <w:ind w:left="178"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606" w:type="dxa"/>
            <w:tcBorders>
              <w:top w:val="nil" w:sz="6" w:space="0" w:color="auto"/>
              <w:left w:val="nil" w:sz="6" w:space="0" w:color="auto"/>
              <w:bottom w:val="single" w:sz="8" w:space="0" w:color="000000"/>
              <w:right w:val="nil" w:sz="6" w:space="0" w:color="auto"/>
            </w:tcBorders>
          </w:tcPr>
          <w:p>
            <w:pPr/>
          </w:p>
        </w:tc>
        <w:tc>
          <w:tcPr>
            <w:tcW w:w="1641" w:type="dxa"/>
            <w:tcBorders>
              <w:top w:val="nil" w:sz="6" w:space="0" w:color="auto"/>
              <w:left w:val="nil" w:sz="6" w:space="0" w:color="auto"/>
              <w:bottom w:val="single" w:sz="8"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992" w:val="left" w:leader="none"/>
              </w:tabs>
              <w:spacing w:line="240" w:lineRule="auto"/>
              <w:ind w:right="107"/>
              <w:jc w:val="right"/>
              <w:rPr>
                <w:rFonts w:ascii="Times New Roman" w:hAnsi="Times New Roman" w:cs="Times New Roman" w:eastAsia="Times New Roman" w:hint="default"/>
                <w:sz w:val="13"/>
                <w:szCs w:val="13"/>
              </w:rPr>
            </w:pPr>
            <w:r>
              <w:rPr>
                <w:rFonts w:ascii="Times New Roman"/>
                <w:w w:val="95"/>
                <w:sz w:val="13"/>
              </w:rPr>
              <w:t>500,000</w:t>
              <w:tab/>
              <w:t>0.26</w:t>
            </w:r>
            <w:r>
              <w:rPr>
                <w:rFonts w:ascii="Times New Roman"/>
                <w:sz w:val="13"/>
              </w:rPr>
            </w:r>
          </w:p>
        </w:tc>
      </w:tr>
    </w:tbl>
    <w:p>
      <w:pPr>
        <w:spacing w:line="240" w:lineRule="auto" w:before="2"/>
        <w:rPr>
          <w:rFonts w:ascii="宋体" w:hAnsi="宋体" w:cs="宋体" w:eastAsia="宋体" w:hint="default"/>
          <w:sz w:val="28"/>
          <w:szCs w:val="28"/>
        </w:rPr>
      </w:pPr>
    </w:p>
    <w:tbl>
      <w:tblPr>
        <w:tblW w:w="0" w:type="auto"/>
        <w:jc w:val="left"/>
        <w:tblInd w:w="776" w:type="dxa"/>
        <w:tblLayout w:type="fixed"/>
        <w:tblCellMar>
          <w:top w:w="0" w:type="dxa"/>
          <w:left w:w="0" w:type="dxa"/>
          <w:bottom w:w="0" w:type="dxa"/>
          <w:right w:w="0" w:type="dxa"/>
        </w:tblCellMar>
        <w:tblLook w:val="01E0"/>
      </w:tblPr>
      <w:tblGrid>
        <w:gridCol w:w="5011"/>
        <w:gridCol w:w="1673"/>
        <w:gridCol w:w="1673"/>
      </w:tblGrid>
      <w:tr>
        <w:trPr>
          <w:trHeight w:val="351" w:hRule="exact"/>
        </w:trPr>
        <w:tc>
          <w:tcPr>
            <w:tcW w:w="5011" w:type="dxa"/>
            <w:tcBorders>
              <w:top w:val="nil" w:sz="6" w:space="0" w:color="auto"/>
              <w:left w:val="nil" w:sz="6" w:space="0" w:color="auto"/>
              <w:bottom w:val="single" w:sz="8" w:space="0" w:color="000000"/>
              <w:right w:val="nil" w:sz="6" w:space="0" w:color="auto"/>
            </w:tcBorders>
          </w:tcPr>
          <w:p>
            <w:pPr>
              <w:pStyle w:val="TableParagraph"/>
              <w:tabs>
                <w:tab w:pos="656" w:val="left" w:leader="none"/>
              </w:tabs>
              <w:spacing w:line="240" w:lineRule="auto" w:before="35"/>
              <w:ind w:left="100"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销售商品、提供劳务的关联交易</w:t>
            </w:r>
          </w:p>
        </w:tc>
        <w:tc>
          <w:tcPr>
            <w:tcW w:w="3346" w:type="dxa"/>
            <w:gridSpan w:val="2"/>
            <w:tcBorders>
              <w:top w:val="nil" w:sz="6" w:space="0" w:color="auto"/>
              <w:left w:val="nil" w:sz="6" w:space="0" w:color="auto"/>
              <w:bottom w:val="single" w:sz="8" w:space="0" w:color="000000"/>
              <w:right w:val="nil" w:sz="6" w:space="0" w:color="auto"/>
            </w:tcBorders>
          </w:tcPr>
          <w:p>
            <w:pPr/>
          </w:p>
        </w:tc>
      </w:tr>
      <w:tr>
        <w:trPr>
          <w:trHeight w:val="372" w:hRule="exact"/>
        </w:trPr>
        <w:tc>
          <w:tcPr>
            <w:tcW w:w="5011" w:type="dxa"/>
            <w:tcBorders>
              <w:top w:val="single" w:sz="8" w:space="0" w:color="000000"/>
              <w:left w:val="nil" w:sz="6" w:space="0" w:color="auto"/>
              <w:bottom w:val="nil" w:sz="6" w:space="0" w:color="auto"/>
              <w:right w:val="nil" w:sz="6" w:space="0" w:color="auto"/>
            </w:tcBorders>
          </w:tcPr>
          <w:p>
            <w:pPr/>
          </w:p>
        </w:tc>
        <w:tc>
          <w:tcPr>
            <w:tcW w:w="1673" w:type="dxa"/>
            <w:tcBorders>
              <w:top w:val="single" w:sz="8"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470" w:right="0"/>
              <w:jc w:val="left"/>
              <w:rPr>
                <w:rFonts w:ascii="宋体" w:hAnsi="宋体" w:cs="宋体" w:eastAsia="宋体" w:hint="default"/>
                <w:sz w:val="13"/>
                <w:szCs w:val="13"/>
              </w:rPr>
            </w:pPr>
            <w:r>
              <w:rPr>
                <w:rFonts w:ascii="宋体" w:hAnsi="宋体" w:cs="宋体" w:eastAsia="宋体" w:hint="default"/>
                <w:sz w:val="13"/>
                <w:szCs w:val="13"/>
              </w:rPr>
              <w:t>本期发生额</w:t>
            </w:r>
          </w:p>
        </w:tc>
        <w:tc>
          <w:tcPr>
            <w:tcW w:w="1673" w:type="dxa"/>
            <w:tcBorders>
              <w:top w:val="single" w:sz="8"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481" w:right="0"/>
              <w:jc w:val="left"/>
              <w:rPr>
                <w:rFonts w:ascii="宋体" w:hAnsi="宋体" w:cs="宋体" w:eastAsia="宋体" w:hint="default"/>
                <w:sz w:val="13"/>
                <w:szCs w:val="13"/>
              </w:rPr>
            </w:pPr>
            <w:r>
              <w:rPr>
                <w:rFonts w:ascii="宋体" w:hAnsi="宋体" w:cs="宋体" w:eastAsia="宋体" w:hint="default"/>
                <w:sz w:val="13"/>
                <w:szCs w:val="13"/>
              </w:rPr>
              <w:t>上期发生额</w:t>
            </w:r>
          </w:p>
        </w:tc>
      </w:tr>
      <w:tr>
        <w:trPr>
          <w:trHeight w:val="177" w:hRule="exact"/>
        </w:trPr>
        <w:tc>
          <w:tcPr>
            <w:tcW w:w="5011" w:type="dxa"/>
            <w:tcBorders>
              <w:top w:val="nil" w:sz="6" w:space="0" w:color="auto"/>
              <w:left w:val="nil" w:sz="6" w:space="0" w:color="auto"/>
              <w:bottom w:val="nil" w:sz="6" w:space="0" w:color="auto"/>
              <w:right w:val="nil" w:sz="6" w:space="0" w:color="auto"/>
            </w:tcBorders>
          </w:tcPr>
          <w:p>
            <w:pPr>
              <w:pStyle w:val="TableParagraph"/>
              <w:tabs>
                <w:tab w:pos="3460" w:val="left" w:leader="none"/>
              </w:tabs>
              <w:spacing w:line="152" w:lineRule="exact"/>
              <w:ind w:left="1198" w:right="0"/>
              <w:jc w:val="left"/>
              <w:rPr>
                <w:rFonts w:ascii="宋体" w:hAnsi="宋体" w:cs="宋体" w:eastAsia="宋体" w:hint="default"/>
                <w:sz w:val="13"/>
                <w:szCs w:val="13"/>
              </w:rPr>
            </w:pPr>
            <w:r>
              <w:rPr>
                <w:rFonts w:ascii="宋体" w:hAnsi="宋体" w:cs="宋体" w:eastAsia="宋体" w:hint="default"/>
                <w:w w:val="95"/>
                <w:sz w:val="13"/>
                <w:szCs w:val="13"/>
              </w:rPr>
              <w:t>关联交易类</w:t>
              <w:tab/>
            </w:r>
            <w:r>
              <w:rPr>
                <w:rFonts w:ascii="宋体" w:hAnsi="宋体" w:cs="宋体" w:eastAsia="宋体" w:hint="default"/>
                <w:sz w:val="13"/>
                <w:szCs w:val="13"/>
              </w:rPr>
              <w:t>关联交易定价方式及决策</w:t>
            </w:r>
          </w:p>
        </w:tc>
        <w:tc>
          <w:tcPr>
            <w:tcW w:w="1673"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r>
      <w:tr>
        <w:trPr>
          <w:trHeight w:val="188" w:hRule="exact"/>
        </w:trPr>
        <w:tc>
          <w:tcPr>
            <w:tcW w:w="5011" w:type="dxa"/>
            <w:tcBorders>
              <w:top w:val="nil" w:sz="6" w:space="0" w:color="auto"/>
              <w:left w:val="nil" w:sz="6" w:space="0" w:color="auto"/>
              <w:bottom w:val="nil" w:sz="6" w:space="0" w:color="auto"/>
              <w:right w:val="nil" w:sz="6" w:space="0" w:color="auto"/>
            </w:tcBorders>
          </w:tcPr>
          <w:p>
            <w:pPr>
              <w:pStyle w:val="TableParagraph"/>
              <w:tabs>
                <w:tab w:pos="2241" w:val="left" w:leader="none"/>
              </w:tabs>
              <w:spacing w:line="155" w:lineRule="exact"/>
              <w:ind w:left="242" w:right="0"/>
              <w:jc w:val="left"/>
              <w:rPr>
                <w:rFonts w:ascii="宋体" w:hAnsi="宋体" w:cs="宋体" w:eastAsia="宋体" w:hint="default"/>
                <w:sz w:val="13"/>
                <w:szCs w:val="13"/>
              </w:rPr>
            </w:pPr>
            <w:r>
              <w:rPr>
                <w:rFonts w:ascii="宋体" w:hAnsi="宋体" w:cs="宋体" w:eastAsia="宋体" w:hint="default"/>
                <w:w w:val="95"/>
                <w:sz w:val="13"/>
                <w:szCs w:val="13"/>
              </w:rPr>
              <w:t>关联方名称</w:t>
              <w:tab/>
            </w:r>
            <w:r>
              <w:rPr>
                <w:rFonts w:ascii="宋体" w:hAnsi="宋体" w:cs="宋体" w:eastAsia="宋体" w:hint="default"/>
                <w:sz w:val="13"/>
                <w:szCs w:val="13"/>
              </w:rPr>
              <w:t>关联交易内容</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ind w:right="133"/>
              <w:jc w:val="right"/>
              <w:rPr>
                <w:rFonts w:ascii="宋体" w:hAnsi="宋体" w:cs="宋体" w:eastAsia="宋体" w:hint="default"/>
                <w:sz w:val="13"/>
                <w:szCs w:val="13"/>
              </w:rPr>
            </w:pPr>
            <w:r>
              <w:rPr>
                <w:rFonts w:ascii="宋体" w:hAnsi="宋体" w:cs="宋体" w:eastAsia="宋体" w:hint="default"/>
                <w:w w:val="95"/>
                <w:sz w:val="13"/>
                <w:szCs w:val="13"/>
              </w:rPr>
              <w:t>占同类交易</w:t>
            </w:r>
            <w:r>
              <w:rPr>
                <w:rFonts w:ascii="宋体" w:hAnsi="宋体" w:cs="宋体" w:eastAsia="宋体" w:hint="default"/>
                <w:sz w:val="13"/>
                <w:szCs w:val="13"/>
              </w:rPr>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ind w:right="92"/>
              <w:jc w:val="right"/>
              <w:rPr>
                <w:rFonts w:ascii="宋体" w:hAnsi="宋体" w:cs="宋体" w:eastAsia="宋体" w:hint="default"/>
                <w:sz w:val="13"/>
                <w:szCs w:val="13"/>
              </w:rPr>
            </w:pPr>
            <w:r>
              <w:rPr>
                <w:rFonts w:ascii="宋体" w:hAnsi="宋体" w:cs="宋体" w:eastAsia="宋体" w:hint="default"/>
                <w:w w:val="95"/>
                <w:sz w:val="13"/>
                <w:szCs w:val="13"/>
              </w:rPr>
              <w:t>占同类交易</w:t>
            </w:r>
            <w:r>
              <w:rPr>
                <w:rFonts w:ascii="宋体" w:hAnsi="宋体" w:cs="宋体" w:eastAsia="宋体" w:hint="default"/>
                <w:sz w:val="13"/>
                <w:szCs w:val="13"/>
              </w:rPr>
            </w:r>
          </w:p>
        </w:tc>
      </w:tr>
      <w:tr>
        <w:trPr>
          <w:trHeight w:val="188" w:hRule="exact"/>
        </w:trPr>
        <w:tc>
          <w:tcPr>
            <w:tcW w:w="5011" w:type="dxa"/>
            <w:tcBorders>
              <w:top w:val="nil" w:sz="6" w:space="0" w:color="auto"/>
              <w:left w:val="nil" w:sz="6" w:space="0" w:color="auto"/>
              <w:bottom w:val="nil" w:sz="6" w:space="0" w:color="auto"/>
              <w:right w:val="nil" w:sz="6" w:space="0" w:color="auto"/>
            </w:tcBorders>
          </w:tcPr>
          <w:p>
            <w:pPr>
              <w:pStyle w:val="TableParagraph"/>
              <w:tabs>
                <w:tab w:pos="4046" w:val="left" w:leader="none"/>
              </w:tabs>
              <w:spacing w:line="147" w:lineRule="exact"/>
              <w:ind w:left="1459" w:right="0"/>
              <w:jc w:val="left"/>
              <w:rPr>
                <w:rFonts w:ascii="宋体" w:hAnsi="宋体" w:cs="宋体" w:eastAsia="宋体" w:hint="default"/>
                <w:sz w:val="13"/>
                <w:szCs w:val="13"/>
              </w:rPr>
            </w:pPr>
            <w:r>
              <w:rPr>
                <w:rFonts w:ascii="宋体" w:hAnsi="宋体" w:cs="宋体" w:eastAsia="宋体" w:hint="default"/>
                <w:w w:val="95"/>
                <w:sz w:val="13"/>
                <w:szCs w:val="13"/>
              </w:rPr>
              <w:t>型</w:t>
              <w:tab/>
            </w:r>
            <w:r>
              <w:rPr>
                <w:rFonts w:ascii="宋体" w:hAnsi="宋体" w:cs="宋体" w:eastAsia="宋体" w:hint="default"/>
                <w:sz w:val="13"/>
                <w:szCs w:val="13"/>
              </w:rPr>
              <w:t>程序</w:t>
            </w:r>
          </w:p>
        </w:tc>
        <w:tc>
          <w:tcPr>
            <w:tcW w:w="1673" w:type="dxa"/>
            <w:tcBorders>
              <w:top w:val="nil" w:sz="6" w:space="0" w:color="auto"/>
              <w:left w:val="nil" w:sz="6" w:space="0" w:color="auto"/>
              <w:bottom w:val="nil" w:sz="6" w:space="0" w:color="auto"/>
              <w:right w:val="nil" w:sz="6" w:space="0" w:color="auto"/>
            </w:tcBorders>
          </w:tcPr>
          <w:p>
            <w:pPr>
              <w:pStyle w:val="TableParagraph"/>
              <w:spacing w:line="163" w:lineRule="exact"/>
              <w:ind w:left="275" w:right="0"/>
              <w:jc w:val="left"/>
              <w:rPr>
                <w:rFonts w:ascii="宋体" w:hAnsi="宋体" w:cs="宋体" w:eastAsia="宋体" w:hint="default"/>
                <w:sz w:val="13"/>
                <w:szCs w:val="13"/>
              </w:rPr>
            </w:pPr>
            <w:r>
              <w:rPr>
                <w:rFonts w:ascii="宋体" w:hAnsi="宋体" w:cs="宋体" w:eastAsia="宋体" w:hint="default"/>
                <w:sz w:val="13"/>
                <w:szCs w:val="13"/>
              </w:rPr>
              <w:t>金额</w:t>
            </w:r>
          </w:p>
        </w:tc>
        <w:tc>
          <w:tcPr>
            <w:tcW w:w="1673" w:type="dxa"/>
            <w:tcBorders>
              <w:top w:val="nil" w:sz="6" w:space="0" w:color="auto"/>
              <w:left w:val="nil" w:sz="6" w:space="0" w:color="auto"/>
              <w:bottom w:val="nil" w:sz="6" w:space="0" w:color="auto"/>
              <w:right w:val="nil" w:sz="6" w:space="0" w:color="auto"/>
            </w:tcBorders>
          </w:tcPr>
          <w:p>
            <w:pPr>
              <w:pStyle w:val="TableParagraph"/>
              <w:spacing w:line="163" w:lineRule="exact"/>
              <w:ind w:left="248" w:right="0"/>
              <w:jc w:val="left"/>
              <w:rPr>
                <w:rFonts w:ascii="宋体" w:hAnsi="宋体" w:cs="宋体" w:eastAsia="宋体" w:hint="default"/>
                <w:sz w:val="13"/>
                <w:szCs w:val="13"/>
              </w:rPr>
            </w:pPr>
            <w:r>
              <w:rPr>
                <w:rFonts w:ascii="宋体" w:hAnsi="宋体" w:cs="宋体" w:eastAsia="宋体" w:hint="default"/>
                <w:sz w:val="13"/>
                <w:szCs w:val="13"/>
              </w:rPr>
              <w:t>金额</w:t>
            </w:r>
          </w:p>
        </w:tc>
      </w:tr>
      <w:tr>
        <w:trPr>
          <w:trHeight w:val="278" w:hRule="exact"/>
        </w:trPr>
        <w:tc>
          <w:tcPr>
            <w:tcW w:w="5011"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Style w:val="TableParagraph"/>
              <w:spacing w:line="165" w:lineRule="exact"/>
              <w:ind w:right="230"/>
              <w:jc w:val="right"/>
              <w:rPr>
                <w:rFonts w:ascii="Times New Roman" w:hAnsi="Times New Roman" w:cs="Times New Roman" w:eastAsia="Times New Roman" w:hint="default"/>
                <w:sz w:val="13"/>
                <w:szCs w:val="13"/>
              </w:rPr>
            </w:pPr>
            <w:r>
              <w:rPr>
                <w:rFonts w:ascii="宋体" w:hAnsi="宋体" w:cs="宋体" w:eastAsia="宋体" w:hint="default"/>
                <w:w w:val="95"/>
                <w:sz w:val="13"/>
                <w:szCs w:val="13"/>
              </w:rPr>
              <w:t>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c>
        <w:tc>
          <w:tcPr>
            <w:tcW w:w="1673" w:type="dxa"/>
            <w:tcBorders>
              <w:top w:val="nil" w:sz="6" w:space="0" w:color="auto"/>
              <w:left w:val="nil" w:sz="6" w:space="0" w:color="auto"/>
              <w:bottom w:val="nil" w:sz="6" w:space="0" w:color="auto"/>
              <w:right w:val="nil" w:sz="6" w:space="0" w:color="auto"/>
            </w:tcBorders>
          </w:tcPr>
          <w:p>
            <w:pPr>
              <w:pStyle w:val="TableParagraph"/>
              <w:spacing w:line="165" w:lineRule="exact"/>
              <w:ind w:right="191"/>
              <w:jc w:val="right"/>
              <w:rPr>
                <w:rFonts w:ascii="Times New Roman" w:hAnsi="Times New Roman" w:cs="Times New Roman" w:eastAsia="Times New Roman" w:hint="default"/>
                <w:sz w:val="13"/>
                <w:szCs w:val="13"/>
              </w:rPr>
            </w:pPr>
            <w:r>
              <w:rPr>
                <w:rFonts w:ascii="宋体" w:hAnsi="宋体" w:cs="宋体" w:eastAsia="宋体" w:hint="default"/>
                <w:w w:val="95"/>
                <w:sz w:val="13"/>
                <w:szCs w:val="13"/>
              </w:rPr>
              <w:t>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c>
      </w:tr>
      <w:tr>
        <w:trPr>
          <w:trHeight w:val="374" w:hRule="exact"/>
        </w:trPr>
        <w:tc>
          <w:tcPr>
            <w:tcW w:w="5011" w:type="dxa"/>
            <w:tcBorders>
              <w:top w:val="nil" w:sz="6" w:space="0" w:color="auto"/>
              <w:left w:val="nil" w:sz="6" w:space="0" w:color="auto"/>
              <w:bottom w:val="nil" w:sz="6" w:space="0" w:color="auto"/>
              <w:right w:val="nil" w:sz="6" w:space="0" w:color="auto"/>
            </w:tcBorders>
          </w:tcPr>
          <w:p>
            <w:pPr>
              <w:pStyle w:val="TableParagraph"/>
              <w:tabs>
                <w:tab w:pos="1196" w:val="left" w:leader="none"/>
                <w:tab w:pos="2013" w:val="left" w:leader="none"/>
                <w:tab w:pos="3409" w:val="left" w:leader="none"/>
              </w:tabs>
              <w:spacing w:line="240" w:lineRule="auto" w:before="76"/>
              <w:ind w:left="100" w:right="0"/>
              <w:jc w:val="left"/>
              <w:rPr>
                <w:rFonts w:ascii="宋体" w:hAnsi="宋体" w:cs="宋体" w:eastAsia="宋体" w:hint="default"/>
                <w:sz w:val="13"/>
                <w:szCs w:val="13"/>
              </w:rPr>
            </w:pPr>
            <w:r>
              <w:rPr>
                <w:rFonts w:ascii="宋体" w:hAnsi="宋体" w:cs="宋体" w:eastAsia="宋体" w:hint="default"/>
                <w:w w:val="95"/>
                <w:sz w:val="13"/>
                <w:szCs w:val="13"/>
              </w:rPr>
              <w:t>阿尔派日本</w:t>
              <w:tab/>
              <w:t>销售商品</w:t>
              <w:tab/>
              <w:t>系统集成或软件</w:t>
              <w:tab/>
            </w:r>
            <w:r>
              <w:rPr>
                <w:rFonts w:ascii="宋体" w:hAnsi="宋体" w:cs="宋体" w:eastAsia="宋体" w:hint="default"/>
                <w:sz w:val="13"/>
                <w:szCs w:val="13"/>
              </w:rPr>
              <w:t>根据市场价格经协商确定</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tabs>
                <w:tab w:pos="1202" w:val="left" w:leader="none"/>
              </w:tabs>
              <w:spacing w:line="240" w:lineRule="auto"/>
              <w:ind w:right="121"/>
              <w:jc w:val="right"/>
              <w:rPr>
                <w:rFonts w:ascii="Times New Roman" w:hAnsi="Times New Roman" w:cs="Times New Roman" w:eastAsia="Times New Roman" w:hint="default"/>
                <w:sz w:val="13"/>
                <w:szCs w:val="13"/>
              </w:rPr>
            </w:pPr>
            <w:r>
              <w:rPr>
                <w:rFonts w:ascii="Times New Roman"/>
                <w:w w:val="95"/>
                <w:sz w:val="13"/>
              </w:rPr>
              <w:t>141,750,380</w:t>
              <w:tab/>
              <w:t>4.14</w:t>
            </w:r>
            <w:r>
              <w:rPr>
                <w:rFonts w:ascii="Times New Roman"/>
                <w:sz w:val="13"/>
              </w:rPr>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8"/>
                <w:szCs w:val="8"/>
              </w:rPr>
            </w:pPr>
          </w:p>
          <w:p>
            <w:pPr>
              <w:pStyle w:val="TableParagraph"/>
              <w:tabs>
                <w:tab w:pos="1276" w:val="left" w:leader="none"/>
              </w:tabs>
              <w:spacing w:line="240" w:lineRule="auto"/>
              <w:ind w:right="43"/>
              <w:jc w:val="right"/>
              <w:rPr>
                <w:rFonts w:ascii="Times New Roman" w:hAnsi="Times New Roman" w:cs="Times New Roman" w:eastAsia="Times New Roman" w:hint="default"/>
                <w:sz w:val="13"/>
                <w:szCs w:val="13"/>
              </w:rPr>
            </w:pPr>
            <w:r>
              <w:rPr>
                <w:rFonts w:ascii="Times New Roman"/>
                <w:w w:val="95"/>
                <w:sz w:val="13"/>
              </w:rPr>
              <w:t>195,195,508</w:t>
              <w:tab/>
              <w:t>6.65</w:t>
            </w:r>
            <w:r>
              <w:rPr>
                <w:rFonts w:ascii="Times New Roman"/>
                <w:sz w:val="13"/>
              </w:rPr>
            </w:r>
          </w:p>
        </w:tc>
      </w:tr>
      <w:tr>
        <w:trPr>
          <w:trHeight w:val="370" w:hRule="exact"/>
        </w:trPr>
        <w:tc>
          <w:tcPr>
            <w:tcW w:w="5011" w:type="dxa"/>
            <w:tcBorders>
              <w:top w:val="nil" w:sz="6" w:space="0" w:color="auto"/>
              <w:left w:val="nil" w:sz="6" w:space="0" w:color="auto"/>
              <w:bottom w:val="nil" w:sz="6" w:space="0" w:color="auto"/>
              <w:right w:val="nil" w:sz="6" w:space="0" w:color="auto"/>
            </w:tcBorders>
          </w:tcPr>
          <w:p>
            <w:pPr>
              <w:pStyle w:val="TableParagraph"/>
              <w:tabs>
                <w:tab w:pos="1196" w:val="left" w:leader="none"/>
                <w:tab w:pos="2013" w:val="left" w:leader="none"/>
                <w:tab w:pos="3409" w:val="left" w:leader="none"/>
              </w:tabs>
              <w:spacing w:line="240" w:lineRule="auto" w:before="71"/>
              <w:ind w:left="100" w:right="0"/>
              <w:jc w:val="left"/>
              <w:rPr>
                <w:rFonts w:ascii="宋体" w:hAnsi="宋体" w:cs="宋体" w:eastAsia="宋体" w:hint="default"/>
                <w:sz w:val="13"/>
                <w:szCs w:val="13"/>
              </w:rPr>
            </w:pPr>
            <w:r>
              <w:rPr>
                <w:rFonts w:ascii="宋体" w:hAnsi="宋体" w:cs="宋体" w:eastAsia="宋体" w:hint="default"/>
                <w:w w:val="95"/>
                <w:sz w:val="13"/>
                <w:szCs w:val="13"/>
              </w:rPr>
              <w:t>阿尔派中国</w:t>
              <w:tab/>
              <w:t>销售商品</w:t>
              <w:tab/>
              <w:t>系统集成或软件</w:t>
              <w:tab/>
            </w:r>
            <w:r>
              <w:rPr>
                <w:rFonts w:ascii="宋体" w:hAnsi="宋体" w:cs="宋体" w:eastAsia="宋体" w:hint="default"/>
                <w:sz w:val="13"/>
                <w:szCs w:val="13"/>
              </w:rPr>
              <w:t>根据市场价格经协商确定</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1071" w:val="left" w:leader="none"/>
              </w:tabs>
              <w:spacing w:line="240" w:lineRule="auto"/>
              <w:ind w:right="121"/>
              <w:jc w:val="right"/>
              <w:rPr>
                <w:rFonts w:ascii="Times New Roman" w:hAnsi="Times New Roman" w:cs="Times New Roman" w:eastAsia="Times New Roman" w:hint="default"/>
                <w:sz w:val="13"/>
                <w:szCs w:val="13"/>
              </w:rPr>
            </w:pPr>
            <w:r>
              <w:rPr>
                <w:rFonts w:ascii="Times New Roman"/>
                <w:w w:val="95"/>
                <w:sz w:val="13"/>
              </w:rPr>
              <w:t>7,266,396</w:t>
              <w:tab/>
              <w:t>0.21</w:t>
            </w:r>
            <w:r>
              <w:rPr>
                <w:rFonts w:ascii="Times New Roman"/>
                <w:sz w:val="13"/>
              </w:rPr>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1145" w:val="left" w:leader="none"/>
              </w:tabs>
              <w:spacing w:line="240" w:lineRule="auto"/>
              <w:ind w:right="43"/>
              <w:jc w:val="right"/>
              <w:rPr>
                <w:rFonts w:ascii="Times New Roman" w:hAnsi="Times New Roman" w:cs="Times New Roman" w:eastAsia="Times New Roman" w:hint="default"/>
                <w:sz w:val="13"/>
                <w:szCs w:val="13"/>
              </w:rPr>
            </w:pPr>
            <w:r>
              <w:rPr>
                <w:rFonts w:ascii="Times New Roman"/>
                <w:w w:val="95"/>
                <w:sz w:val="13"/>
              </w:rPr>
              <w:t>2,299,949</w:t>
              <w:tab/>
              <w:t>0.08</w:t>
            </w:r>
            <w:r>
              <w:rPr>
                <w:rFonts w:ascii="Times New Roman"/>
                <w:sz w:val="13"/>
              </w:rPr>
            </w:r>
          </w:p>
        </w:tc>
      </w:tr>
      <w:tr>
        <w:trPr>
          <w:trHeight w:val="370" w:hRule="exact"/>
        </w:trPr>
        <w:tc>
          <w:tcPr>
            <w:tcW w:w="5011" w:type="dxa"/>
            <w:tcBorders>
              <w:top w:val="nil" w:sz="6" w:space="0" w:color="auto"/>
              <w:left w:val="nil" w:sz="6" w:space="0" w:color="auto"/>
              <w:bottom w:val="nil" w:sz="6" w:space="0" w:color="auto"/>
              <w:right w:val="nil" w:sz="6" w:space="0" w:color="auto"/>
            </w:tcBorders>
          </w:tcPr>
          <w:p>
            <w:pPr>
              <w:pStyle w:val="TableParagraph"/>
              <w:tabs>
                <w:tab w:pos="1196" w:val="left" w:leader="none"/>
                <w:tab w:pos="2013" w:val="left" w:leader="none"/>
                <w:tab w:pos="3409" w:val="left" w:leader="none"/>
              </w:tabs>
              <w:spacing w:line="240" w:lineRule="auto" w:before="72"/>
              <w:ind w:left="100" w:right="0"/>
              <w:jc w:val="left"/>
              <w:rPr>
                <w:rFonts w:ascii="宋体" w:hAnsi="宋体" w:cs="宋体" w:eastAsia="宋体" w:hint="default"/>
                <w:sz w:val="13"/>
                <w:szCs w:val="13"/>
              </w:rPr>
            </w:pPr>
            <w:r>
              <w:rPr>
                <w:rFonts w:ascii="宋体" w:hAnsi="宋体" w:cs="宋体" w:eastAsia="宋体" w:hint="default"/>
                <w:w w:val="95"/>
                <w:sz w:val="13"/>
                <w:szCs w:val="13"/>
              </w:rPr>
              <w:t>东芝公司</w:t>
              <w:tab/>
              <w:t>销售商品</w:t>
              <w:tab/>
              <w:t>系统集成或软件</w:t>
              <w:tab/>
            </w:r>
            <w:r>
              <w:rPr>
                <w:rFonts w:ascii="宋体" w:hAnsi="宋体" w:cs="宋体" w:eastAsia="宋体" w:hint="default"/>
                <w:sz w:val="13"/>
                <w:szCs w:val="13"/>
              </w:rPr>
              <w:t>根据市场价格经协商确定</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tabs>
                <w:tab w:pos="1207" w:val="left" w:leader="none"/>
              </w:tabs>
              <w:spacing w:line="240" w:lineRule="auto"/>
              <w:ind w:right="121"/>
              <w:jc w:val="right"/>
              <w:rPr>
                <w:rFonts w:ascii="Times New Roman" w:hAnsi="Times New Roman" w:cs="Times New Roman" w:eastAsia="Times New Roman" w:hint="default"/>
                <w:sz w:val="13"/>
                <w:szCs w:val="13"/>
              </w:rPr>
            </w:pPr>
            <w:r>
              <w:rPr>
                <w:rFonts w:ascii="Times New Roman"/>
                <w:w w:val="95"/>
                <w:sz w:val="13"/>
              </w:rPr>
              <w:t>140,782,956</w:t>
              <w:tab/>
            </w:r>
            <w:r>
              <w:rPr>
                <w:rFonts w:ascii="Times New Roman"/>
                <w:spacing w:val="-2"/>
                <w:sz w:val="13"/>
              </w:rPr>
              <w:t>4.11</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8"/>
                <w:szCs w:val="8"/>
              </w:rPr>
            </w:pPr>
          </w:p>
          <w:p>
            <w:pPr>
              <w:pStyle w:val="TableParagraph"/>
              <w:tabs>
                <w:tab w:pos="1271" w:val="left" w:leader="none"/>
              </w:tabs>
              <w:spacing w:line="240" w:lineRule="auto"/>
              <w:ind w:right="43"/>
              <w:jc w:val="right"/>
              <w:rPr>
                <w:rFonts w:ascii="Times New Roman" w:hAnsi="Times New Roman" w:cs="Times New Roman" w:eastAsia="Times New Roman" w:hint="default"/>
                <w:sz w:val="13"/>
                <w:szCs w:val="13"/>
              </w:rPr>
            </w:pPr>
            <w:r>
              <w:rPr>
                <w:rFonts w:ascii="Times New Roman"/>
                <w:spacing w:val="-1"/>
                <w:sz w:val="13"/>
              </w:rPr>
              <w:t>197,497,911</w:t>
              <w:tab/>
            </w:r>
            <w:r>
              <w:rPr>
                <w:rFonts w:ascii="Times New Roman"/>
                <w:w w:val="95"/>
                <w:sz w:val="13"/>
              </w:rPr>
              <w:t>6.73</w:t>
            </w:r>
            <w:r>
              <w:rPr>
                <w:rFonts w:ascii="Times New Roman"/>
                <w:sz w:val="13"/>
              </w:rPr>
            </w:r>
          </w:p>
        </w:tc>
      </w:tr>
      <w:tr>
        <w:trPr>
          <w:trHeight w:val="370" w:hRule="exact"/>
        </w:trPr>
        <w:tc>
          <w:tcPr>
            <w:tcW w:w="5011" w:type="dxa"/>
            <w:tcBorders>
              <w:top w:val="nil" w:sz="6" w:space="0" w:color="auto"/>
              <w:left w:val="nil" w:sz="6" w:space="0" w:color="auto"/>
              <w:bottom w:val="nil" w:sz="6" w:space="0" w:color="auto"/>
              <w:right w:val="nil" w:sz="6" w:space="0" w:color="auto"/>
            </w:tcBorders>
          </w:tcPr>
          <w:p>
            <w:pPr>
              <w:pStyle w:val="TableParagraph"/>
              <w:tabs>
                <w:tab w:pos="1196" w:val="left" w:leader="none"/>
                <w:tab w:pos="2013" w:val="left" w:leader="none"/>
                <w:tab w:pos="3409" w:val="left" w:leader="none"/>
              </w:tabs>
              <w:spacing w:line="240" w:lineRule="auto" w:before="71"/>
              <w:ind w:left="100" w:right="0"/>
              <w:jc w:val="left"/>
              <w:rPr>
                <w:rFonts w:ascii="宋体" w:hAnsi="宋体" w:cs="宋体" w:eastAsia="宋体" w:hint="default"/>
                <w:sz w:val="13"/>
                <w:szCs w:val="13"/>
              </w:rPr>
            </w:pPr>
            <w:r>
              <w:rPr>
                <w:rFonts w:ascii="宋体" w:hAnsi="宋体" w:cs="宋体" w:eastAsia="宋体" w:hint="default"/>
                <w:w w:val="95"/>
                <w:sz w:val="13"/>
                <w:szCs w:val="13"/>
              </w:rPr>
              <w:t>诺西东软</w:t>
              <w:tab/>
              <w:t>销售商品</w:t>
              <w:tab/>
              <w:t>系统集成或软件</w:t>
              <w:tab/>
            </w:r>
            <w:r>
              <w:rPr>
                <w:rFonts w:ascii="宋体" w:hAnsi="宋体" w:cs="宋体" w:eastAsia="宋体" w:hint="default"/>
                <w:sz w:val="13"/>
                <w:szCs w:val="13"/>
              </w:rPr>
              <w:t>根据市场价格经协商确定</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1136" w:val="left" w:leader="none"/>
              </w:tabs>
              <w:spacing w:line="240" w:lineRule="auto"/>
              <w:ind w:right="121"/>
              <w:jc w:val="right"/>
              <w:rPr>
                <w:rFonts w:ascii="Times New Roman" w:hAnsi="Times New Roman" w:cs="Times New Roman" w:eastAsia="Times New Roman" w:hint="default"/>
                <w:sz w:val="13"/>
                <w:szCs w:val="13"/>
              </w:rPr>
            </w:pPr>
            <w:r>
              <w:rPr>
                <w:rFonts w:ascii="Times New Roman"/>
                <w:w w:val="95"/>
                <w:sz w:val="13"/>
              </w:rPr>
              <w:t>97,642,435</w:t>
              <w:tab/>
              <w:t>2.85</w:t>
            </w:r>
            <w:r>
              <w:rPr>
                <w:rFonts w:ascii="Times New Roman"/>
                <w:sz w:val="13"/>
              </w:rPr>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1210" w:val="left" w:leader="none"/>
              </w:tabs>
              <w:spacing w:line="240" w:lineRule="auto"/>
              <w:ind w:right="43"/>
              <w:jc w:val="right"/>
              <w:rPr>
                <w:rFonts w:ascii="Times New Roman" w:hAnsi="Times New Roman" w:cs="Times New Roman" w:eastAsia="Times New Roman" w:hint="default"/>
                <w:sz w:val="13"/>
                <w:szCs w:val="13"/>
              </w:rPr>
            </w:pPr>
            <w:r>
              <w:rPr>
                <w:rFonts w:ascii="Times New Roman"/>
                <w:w w:val="95"/>
                <w:sz w:val="13"/>
              </w:rPr>
              <w:t>63,067,057</w:t>
              <w:tab/>
              <w:t>2.15</w:t>
            </w:r>
            <w:r>
              <w:rPr>
                <w:rFonts w:ascii="Times New Roman"/>
                <w:sz w:val="13"/>
              </w:rPr>
            </w:r>
          </w:p>
        </w:tc>
      </w:tr>
      <w:tr>
        <w:trPr>
          <w:trHeight w:val="274" w:hRule="exact"/>
        </w:trPr>
        <w:tc>
          <w:tcPr>
            <w:tcW w:w="5011" w:type="dxa"/>
            <w:tcBorders>
              <w:top w:val="nil" w:sz="6" w:space="0" w:color="auto"/>
              <w:left w:val="nil" w:sz="6" w:space="0" w:color="auto"/>
              <w:bottom w:val="single" w:sz="8" w:space="0" w:color="000000"/>
              <w:right w:val="nil" w:sz="6" w:space="0" w:color="auto"/>
            </w:tcBorders>
          </w:tcPr>
          <w:p>
            <w:pPr>
              <w:pStyle w:val="TableParagraph"/>
              <w:tabs>
                <w:tab w:pos="1196" w:val="left" w:leader="none"/>
                <w:tab w:pos="2013" w:val="left" w:leader="none"/>
                <w:tab w:pos="3409" w:val="left" w:leader="none"/>
              </w:tabs>
              <w:spacing w:line="240" w:lineRule="auto" w:before="71"/>
              <w:ind w:left="100" w:right="0"/>
              <w:jc w:val="left"/>
              <w:rPr>
                <w:rFonts w:ascii="宋体" w:hAnsi="宋体" w:cs="宋体" w:eastAsia="宋体" w:hint="default"/>
                <w:sz w:val="13"/>
                <w:szCs w:val="13"/>
              </w:rPr>
            </w:pPr>
            <w:r>
              <w:rPr>
                <w:rFonts w:ascii="宋体" w:hAnsi="宋体" w:cs="宋体" w:eastAsia="宋体" w:hint="default"/>
                <w:w w:val="95"/>
                <w:sz w:val="13"/>
                <w:szCs w:val="13"/>
              </w:rPr>
              <w:t>东软飞利浦</w:t>
              <w:tab/>
              <w:t>销售商品</w:t>
              <w:tab/>
              <w:t>系统集成或软件</w:t>
              <w:tab/>
            </w:r>
            <w:r>
              <w:rPr>
                <w:rFonts w:ascii="宋体" w:hAnsi="宋体" w:cs="宋体" w:eastAsia="宋体" w:hint="default"/>
                <w:sz w:val="13"/>
                <w:szCs w:val="13"/>
              </w:rPr>
              <w:t>根据市场价格经协商确定</w:t>
            </w:r>
          </w:p>
        </w:tc>
        <w:tc>
          <w:tcPr>
            <w:tcW w:w="1673" w:type="dxa"/>
            <w:tcBorders>
              <w:top w:val="nil" w:sz="6" w:space="0" w:color="auto"/>
              <w:left w:val="nil" w:sz="6" w:space="0" w:color="auto"/>
              <w:bottom w:val="single" w:sz="8" w:space="0" w:color="000000"/>
              <w:right w:val="nil" w:sz="6" w:space="0" w:color="auto"/>
            </w:tcBorders>
          </w:tcPr>
          <w:p>
            <w:pPr/>
          </w:p>
        </w:tc>
        <w:tc>
          <w:tcPr>
            <w:tcW w:w="1673" w:type="dxa"/>
            <w:tcBorders>
              <w:top w:val="nil" w:sz="6" w:space="0" w:color="auto"/>
              <w:left w:val="nil" w:sz="6" w:space="0" w:color="auto"/>
              <w:bottom w:val="single" w:sz="8"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983" w:val="left" w:leader="none"/>
              </w:tabs>
              <w:spacing w:line="240" w:lineRule="auto"/>
              <w:ind w:right="43"/>
              <w:jc w:val="right"/>
              <w:rPr>
                <w:rFonts w:ascii="Times New Roman" w:hAnsi="Times New Roman" w:cs="Times New Roman" w:eastAsia="Times New Roman" w:hint="default"/>
                <w:sz w:val="13"/>
                <w:szCs w:val="13"/>
              </w:rPr>
            </w:pPr>
            <w:r>
              <w:rPr>
                <w:rFonts w:ascii="Times New Roman"/>
                <w:w w:val="95"/>
                <w:sz w:val="13"/>
              </w:rPr>
              <w:t>24,463</w:t>
              <w:tab/>
              <w:t>0.00</w:t>
            </w:r>
            <w:r>
              <w:rPr>
                <w:rFonts w:ascii="Times New Roman"/>
                <w:sz w:val="13"/>
              </w:rPr>
            </w:r>
          </w:p>
        </w:tc>
      </w:tr>
    </w:tbl>
    <w:p>
      <w:pPr>
        <w:spacing w:after="0" w:line="240" w:lineRule="auto"/>
        <w:jc w:val="right"/>
        <w:rPr>
          <w:rFonts w:ascii="Times New Roman" w:hAnsi="Times New Roman" w:cs="Times New Roman" w:eastAsia="Times New Roman" w:hint="default"/>
          <w:sz w:val="13"/>
          <w:szCs w:val="13"/>
        </w:rPr>
        <w:sectPr>
          <w:headerReference w:type="default" r:id="rId149"/>
          <w:footerReference w:type="default" r:id="rId150"/>
          <w:pgSz w:w="11900" w:h="16840"/>
          <w:pgMar w:header="883" w:footer="1003" w:top="1540" w:bottom="1200" w:left="1460" w:right="1100"/>
          <w:pgNumType w:start="67"/>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tbl>
      <w:tblPr>
        <w:tblW w:w="0" w:type="auto"/>
        <w:jc w:val="left"/>
        <w:tblInd w:w="735" w:type="dxa"/>
        <w:tblLayout w:type="fixed"/>
        <w:tblCellMar>
          <w:top w:w="0" w:type="dxa"/>
          <w:left w:w="0" w:type="dxa"/>
          <w:bottom w:w="0" w:type="dxa"/>
          <w:right w:w="0" w:type="dxa"/>
        </w:tblCellMar>
        <w:tblLook w:val="01E0"/>
      </w:tblPr>
      <w:tblGrid>
        <w:gridCol w:w="1060"/>
        <w:gridCol w:w="826"/>
        <w:gridCol w:w="1432"/>
        <w:gridCol w:w="1722"/>
        <w:gridCol w:w="1007"/>
        <w:gridCol w:w="692"/>
        <w:gridCol w:w="1021"/>
        <w:gridCol w:w="626"/>
      </w:tblGrid>
      <w:tr>
        <w:trPr>
          <w:trHeight w:val="348" w:hRule="exact"/>
        </w:trPr>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3"/>
                <w:szCs w:val="13"/>
              </w:rPr>
            </w:pPr>
            <w:r>
              <w:rPr>
                <w:rFonts w:ascii="宋体" w:hAnsi="宋体" w:cs="宋体" w:eastAsia="宋体" w:hint="default"/>
                <w:sz w:val="13"/>
                <w:szCs w:val="13"/>
              </w:rPr>
              <w:t>成都职业学院</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 w:right="0"/>
              <w:jc w:val="center"/>
              <w:rPr>
                <w:rFonts w:ascii="宋体" w:hAnsi="宋体" w:cs="宋体" w:eastAsia="宋体" w:hint="default"/>
                <w:sz w:val="13"/>
                <w:szCs w:val="13"/>
              </w:rPr>
            </w:pPr>
            <w:r>
              <w:rPr>
                <w:rFonts w:ascii="宋体" w:hAnsi="宋体" w:cs="宋体" w:eastAsia="宋体" w:hint="default"/>
                <w:sz w:val="13"/>
                <w:szCs w:val="13"/>
              </w:rPr>
              <w:t>销售商品</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49" w:right="0"/>
              <w:jc w:val="left"/>
              <w:rPr>
                <w:rFonts w:ascii="宋体" w:hAnsi="宋体" w:cs="宋体" w:eastAsia="宋体" w:hint="default"/>
                <w:sz w:val="13"/>
                <w:szCs w:val="13"/>
              </w:rPr>
            </w:pPr>
            <w:r>
              <w:rPr>
                <w:rFonts w:ascii="宋体" w:hAnsi="宋体" w:cs="宋体" w:eastAsia="宋体" w:hint="default"/>
                <w:sz w:val="13"/>
                <w:szCs w:val="13"/>
              </w:rPr>
              <w:t>系统集成或软件</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13"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42"/>
              <w:jc w:val="right"/>
              <w:rPr>
                <w:rFonts w:ascii="Times New Roman" w:hAnsi="Times New Roman" w:cs="Times New Roman" w:eastAsia="Times New Roman" w:hint="default"/>
                <w:sz w:val="13"/>
                <w:szCs w:val="13"/>
              </w:rPr>
            </w:pPr>
            <w:r>
              <w:rPr>
                <w:rFonts w:ascii="Times New Roman"/>
                <w:w w:val="95"/>
                <w:sz w:val="13"/>
              </w:rPr>
              <w:t>5,936,667</w:t>
            </w:r>
            <w:r>
              <w:rPr>
                <w:rFonts w:ascii="Times New Roman"/>
                <w:sz w:val="13"/>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54"/>
              <w:jc w:val="right"/>
              <w:rPr>
                <w:rFonts w:ascii="Times New Roman" w:hAnsi="Times New Roman" w:cs="Times New Roman" w:eastAsia="Times New Roman" w:hint="default"/>
                <w:sz w:val="13"/>
                <w:szCs w:val="13"/>
              </w:rPr>
            </w:pPr>
            <w:r>
              <w:rPr>
                <w:rFonts w:ascii="Times New Roman"/>
                <w:w w:val="95"/>
                <w:sz w:val="13"/>
              </w:rPr>
              <w:t>0.17</w:t>
            </w:r>
            <w:r>
              <w:rPr>
                <w:rFonts w:ascii="Times New Roman"/>
                <w:sz w:val="13"/>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79"/>
              <w:jc w:val="right"/>
              <w:rPr>
                <w:rFonts w:ascii="Times New Roman" w:hAnsi="Times New Roman" w:cs="Times New Roman" w:eastAsia="Times New Roman" w:hint="default"/>
                <w:sz w:val="13"/>
                <w:szCs w:val="13"/>
              </w:rPr>
            </w:pPr>
            <w:r>
              <w:rPr>
                <w:rFonts w:ascii="Times New Roman"/>
                <w:w w:val="95"/>
                <w:sz w:val="13"/>
              </w:rPr>
              <w:t>6,368,462</w:t>
            </w:r>
            <w:r>
              <w:rPr>
                <w:rFonts w:ascii="Times New Roman"/>
                <w:sz w:val="13"/>
              </w:rPr>
            </w: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50"/>
              <w:jc w:val="right"/>
              <w:rPr>
                <w:rFonts w:ascii="Times New Roman" w:hAnsi="Times New Roman" w:cs="Times New Roman" w:eastAsia="Times New Roman" w:hint="default"/>
                <w:sz w:val="13"/>
                <w:szCs w:val="13"/>
              </w:rPr>
            </w:pPr>
            <w:r>
              <w:rPr>
                <w:rFonts w:ascii="Times New Roman"/>
                <w:w w:val="95"/>
                <w:sz w:val="13"/>
              </w:rPr>
              <w:t>0.22</w:t>
            </w:r>
            <w:r>
              <w:rPr>
                <w:rFonts w:ascii="Times New Roman"/>
                <w:sz w:val="13"/>
              </w:rPr>
            </w:r>
          </w:p>
        </w:tc>
      </w:tr>
      <w:tr>
        <w:trPr>
          <w:trHeight w:val="350" w:hRule="exact"/>
        </w:trPr>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22" w:right="0"/>
              <w:jc w:val="left"/>
              <w:rPr>
                <w:rFonts w:ascii="宋体" w:hAnsi="宋体" w:cs="宋体" w:eastAsia="宋体" w:hint="default"/>
                <w:sz w:val="13"/>
                <w:szCs w:val="13"/>
              </w:rPr>
            </w:pPr>
            <w:r>
              <w:rPr>
                <w:rFonts w:ascii="宋体" w:hAnsi="宋体" w:cs="宋体" w:eastAsia="宋体" w:hint="default"/>
                <w:sz w:val="13"/>
                <w:szCs w:val="13"/>
              </w:rPr>
              <w:t>大连职业学院</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8" w:right="0"/>
              <w:jc w:val="center"/>
              <w:rPr>
                <w:rFonts w:ascii="宋体" w:hAnsi="宋体" w:cs="宋体" w:eastAsia="宋体" w:hint="default"/>
                <w:sz w:val="13"/>
                <w:szCs w:val="13"/>
              </w:rPr>
            </w:pPr>
            <w:r>
              <w:rPr>
                <w:rFonts w:ascii="宋体" w:hAnsi="宋体" w:cs="宋体" w:eastAsia="宋体" w:hint="default"/>
                <w:sz w:val="13"/>
                <w:szCs w:val="13"/>
              </w:rPr>
              <w:t>销售商品</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49" w:right="0"/>
              <w:jc w:val="left"/>
              <w:rPr>
                <w:rFonts w:ascii="宋体" w:hAnsi="宋体" w:cs="宋体" w:eastAsia="宋体" w:hint="default"/>
                <w:sz w:val="13"/>
                <w:szCs w:val="13"/>
              </w:rPr>
            </w:pPr>
            <w:r>
              <w:rPr>
                <w:rFonts w:ascii="宋体" w:hAnsi="宋体" w:cs="宋体" w:eastAsia="宋体" w:hint="default"/>
                <w:sz w:val="13"/>
                <w:szCs w:val="13"/>
              </w:rPr>
              <w:t>系统集成或软件</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2"/>
              <w:jc w:val="right"/>
              <w:rPr>
                <w:rFonts w:ascii="Times New Roman" w:hAnsi="Times New Roman" w:cs="Times New Roman" w:eastAsia="Times New Roman" w:hint="default"/>
                <w:sz w:val="13"/>
                <w:szCs w:val="13"/>
              </w:rPr>
            </w:pPr>
            <w:r>
              <w:rPr>
                <w:rFonts w:ascii="Times New Roman"/>
                <w:w w:val="95"/>
                <w:sz w:val="13"/>
              </w:rPr>
              <w:t>5,357,000</w:t>
            </w:r>
            <w:r>
              <w:rPr>
                <w:rFonts w:ascii="Times New Roman"/>
                <w:sz w:val="13"/>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4"/>
              <w:jc w:val="right"/>
              <w:rPr>
                <w:rFonts w:ascii="Times New Roman" w:hAnsi="Times New Roman" w:cs="Times New Roman" w:eastAsia="Times New Roman" w:hint="default"/>
                <w:sz w:val="13"/>
                <w:szCs w:val="13"/>
              </w:rPr>
            </w:pPr>
            <w:r>
              <w:rPr>
                <w:rFonts w:ascii="Times New Roman"/>
                <w:w w:val="95"/>
                <w:sz w:val="13"/>
              </w:rPr>
              <w:t>0.16</w:t>
            </w:r>
            <w:r>
              <w:rPr>
                <w:rFonts w:ascii="Times New Roman"/>
                <w:sz w:val="13"/>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9"/>
              <w:jc w:val="right"/>
              <w:rPr>
                <w:rFonts w:ascii="Times New Roman" w:hAnsi="Times New Roman" w:cs="Times New Roman" w:eastAsia="Times New Roman" w:hint="default"/>
                <w:sz w:val="13"/>
                <w:szCs w:val="13"/>
              </w:rPr>
            </w:pPr>
            <w:r>
              <w:rPr>
                <w:rFonts w:ascii="Times New Roman"/>
                <w:w w:val="95"/>
                <w:sz w:val="13"/>
              </w:rPr>
              <w:t>5,540,300</w:t>
            </w:r>
            <w:r>
              <w:rPr>
                <w:rFonts w:ascii="Times New Roman"/>
                <w:sz w:val="13"/>
              </w:rPr>
            </w: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0"/>
              <w:jc w:val="right"/>
              <w:rPr>
                <w:rFonts w:ascii="Times New Roman" w:hAnsi="Times New Roman" w:cs="Times New Roman" w:eastAsia="Times New Roman" w:hint="default"/>
                <w:sz w:val="13"/>
                <w:szCs w:val="13"/>
              </w:rPr>
            </w:pPr>
            <w:r>
              <w:rPr>
                <w:rFonts w:ascii="Times New Roman"/>
                <w:w w:val="95"/>
                <w:sz w:val="13"/>
              </w:rPr>
              <w:t>0.19</w:t>
            </w:r>
            <w:r>
              <w:rPr>
                <w:rFonts w:ascii="Times New Roman"/>
                <w:sz w:val="13"/>
              </w:rPr>
            </w:r>
          </w:p>
        </w:tc>
      </w:tr>
      <w:tr>
        <w:trPr>
          <w:trHeight w:val="350" w:hRule="exact"/>
        </w:trPr>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22" w:right="0"/>
              <w:jc w:val="left"/>
              <w:rPr>
                <w:rFonts w:ascii="宋体" w:hAnsi="宋体" w:cs="宋体" w:eastAsia="宋体" w:hint="default"/>
                <w:sz w:val="13"/>
                <w:szCs w:val="13"/>
              </w:rPr>
            </w:pPr>
            <w:r>
              <w:rPr>
                <w:rFonts w:ascii="宋体" w:hAnsi="宋体" w:cs="宋体" w:eastAsia="宋体" w:hint="default"/>
                <w:sz w:val="13"/>
                <w:szCs w:val="13"/>
              </w:rPr>
              <w:t>南海职业学院</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8" w:right="0"/>
              <w:jc w:val="center"/>
              <w:rPr>
                <w:rFonts w:ascii="宋体" w:hAnsi="宋体" w:cs="宋体" w:eastAsia="宋体" w:hint="default"/>
                <w:sz w:val="13"/>
                <w:szCs w:val="13"/>
              </w:rPr>
            </w:pPr>
            <w:r>
              <w:rPr>
                <w:rFonts w:ascii="宋体" w:hAnsi="宋体" w:cs="宋体" w:eastAsia="宋体" w:hint="default"/>
                <w:sz w:val="13"/>
                <w:szCs w:val="13"/>
              </w:rPr>
              <w:t>销售商品</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49" w:right="0"/>
              <w:jc w:val="left"/>
              <w:rPr>
                <w:rFonts w:ascii="宋体" w:hAnsi="宋体" w:cs="宋体" w:eastAsia="宋体" w:hint="default"/>
                <w:sz w:val="13"/>
                <w:szCs w:val="13"/>
              </w:rPr>
            </w:pPr>
            <w:r>
              <w:rPr>
                <w:rFonts w:ascii="宋体" w:hAnsi="宋体" w:cs="宋体" w:eastAsia="宋体" w:hint="default"/>
                <w:sz w:val="13"/>
                <w:szCs w:val="13"/>
              </w:rPr>
              <w:t>系统集成或软件</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2"/>
              <w:jc w:val="right"/>
              <w:rPr>
                <w:rFonts w:ascii="Times New Roman" w:hAnsi="Times New Roman" w:cs="Times New Roman" w:eastAsia="Times New Roman" w:hint="default"/>
                <w:sz w:val="13"/>
                <w:szCs w:val="13"/>
              </w:rPr>
            </w:pPr>
            <w:r>
              <w:rPr>
                <w:rFonts w:ascii="Times New Roman"/>
                <w:w w:val="95"/>
                <w:sz w:val="13"/>
              </w:rPr>
              <w:t>5,936,667</w:t>
            </w:r>
            <w:r>
              <w:rPr>
                <w:rFonts w:ascii="Times New Roman"/>
                <w:sz w:val="13"/>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4"/>
              <w:jc w:val="right"/>
              <w:rPr>
                <w:rFonts w:ascii="Times New Roman" w:hAnsi="Times New Roman" w:cs="Times New Roman" w:eastAsia="Times New Roman" w:hint="default"/>
                <w:sz w:val="13"/>
                <w:szCs w:val="13"/>
              </w:rPr>
            </w:pPr>
            <w:r>
              <w:rPr>
                <w:rFonts w:ascii="Times New Roman"/>
                <w:w w:val="95"/>
                <w:sz w:val="13"/>
              </w:rPr>
              <w:t>0.17</w:t>
            </w:r>
            <w:r>
              <w:rPr>
                <w:rFonts w:ascii="Times New Roman"/>
                <w:sz w:val="13"/>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9"/>
              <w:jc w:val="right"/>
              <w:rPr>
                <w:rFonts w:ascii="Times New Roman" w:hAnsi="Times New Roman" w:cs="Times New Roman" w:eastAsia="Times New Roman" w:hint="default"/>
                <w:sz w:val="13"/>
                <w:szCs w:val="13"/>
              </w:rPr>
            </w:pPr>
            <w:r>
              <w:rPr>
                <w:rFonts w:ascii="Times New Roman"/>
                <w:w w:val="95"/>
                <w:sz w:val="13"/>
              </w:rPr>
              <w:t>6,330,000</w:t>
            </w:r>
            <w:r>
              <w:rPr>
                <w:rFonts w:ascii="Times New Roman"/>
                <w:sz w:val="13"/>
              </w:rPr>
            </w: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0"/>
              <w:jc w:val="right"/>
              <w:rPr>
                <w:rFonts w:ascii="Times New Roman" w:hAnsi="Times New Roman" w:cs="Times New Roman" w:eastAsia="Times New Roman" w:hint="default"/>
                <w:sz w:val="13"/>
                <w:szCs w:val="13"/>
              </w:rPr>
            </w:pPr>
            <w:r>
              <w:rPr>
                <w:rFonts w:ascii="Times New Roman"/>
                <w:w w:val="95"/>
                <w:sz w:val="13"/>
              </w:rPr>
              <w:t>0.22</w:t>
            </w:r>
            <w:r>
              <w:rPr>
                <w:rFonts w:ascii="Times New Roman"/>
                <w:sz w:val="13"/>
              </w:rPr>
            </w:r>
          </w:p>
        </w:tc>
      </w:tr>
      <w:tr>
        <w:trPr>
          <w:trHeight w:val="350" w:hRule="exact"/>
        </w:trPr>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13"/>
                <w:szCs w:val="13"/>
              </w:rPr>
            </w:pPr>
            <w:r>
              <w:rPr>
                <w:rFonts w:ascii="宋体" w:hAnsi="宋体" w:cs="宋体" w:eastAsia="宋体" w:hint="default"/>
                <w:sz w:val="13"/>
                <w:szCs w:val="13"/>
              </w:rPr>
              <w:t>东软信息学院</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8" w:right="0"/>
              <w:jc w:val="center"/>
              <w:rPr>
                <w:rFonts w:ascii="宋体" w:hAnsi="宋体" w:cs="宋体" w:eastAsia="宋体" w:hint="default"/>
                <w:sz w:val="13"/>
                <w:szCs w:val="13"/>
              </w:rPr>
            </w:pPr>
            <w:r>
              <w:rPr>
                <w:rFonts w:ascii="宋体" w:hAnsi="宋体" w:cs="宋体" w:eastAsia="宋体" w:hint="default"/>
                <w:sz w:val="13"/>
                <w:szCs w:val="13"/>
              </w:rPr>
              <w:t>销售商品</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49" w:right="0"/>
              <w:jc w:val="left"/>
              <w:rPr>
                <w:rFonts w:ascii="宋体" w:hAnsi="宋体" w:cs="宋体" w:eastAsia="宋体" w:hint="default"/>
                <w:sz w:val="13"/>
                <w:szCs w:val="13"/>
              </w:rPr>
            </w:pPr>
            <w:r>
              <w:rPr>
                <w:rFonts w:ascii="宋体" w:hAnsi="宋体" w:cs="宋体" w:eastAsia="宋体" w:hint="default"/>
                <w:sz w:val="13"/>
                <w:szCs w:val="13"/>
              </w:rPr>
              <w:t>系统集成或软件</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13"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242"/>
              <w:jc w:val="right"/>
              <w:rPr>
                <w:rFonts w:ascii="Times New Roman" w:hAnsi="Times New Roman" w:cs="Times New Roman" w:eastAsia="Times New Roman" w:hint="default"/>
                <w:sz w:val="13"/>
                <w:szCs w:val="13"/>
              </w:rPr>
            </w:pPr>
            <w:r>
              <w:rPr>
                <w:rFonts w:ascii="Times New Roman"/>
                <w:w w:val="95"/>
                <w:sz w:val="13"/>
              </w:rPr>
              <w:t>10,967,200</w:t>
            </w:r>
            <w:r>
              <w:rPr>
                <w:rFonts w:ascii="Times New Roman"/>
                <w:sz w:val="13"/>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54"/>
              <w:jc w:val="right"/>
              <w:rPr>
                <w:rFonts w:ascii="Times New Roman" w:hAnsi="Times New Roman" w:cs="Times New Roman" w:eastAsia="Times New Roman" w:hint="default"/>
                <w:sz w:val="13"/>
                <w:szCs w:val="13"/>
              </w:rPr>
            </w:pPr>
            <w:r>
              <w:rPr>
                <w:rFonts w:ascii="Times New Roman"/>
                <w:w w:val="95"/>
                <w:sz w:val="13"/>
              </w:rPr>
              <w:t>0.32</w:t>
            </w:r>
            <w:r>
              <w:rPr>
                <w:rFonts w:ascii="Times New Roman"/>
                <w:sz w:val="13"/>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279"/>
              <w:jc w:val="right"/>
              <w:rPr>
                <w:rFonts w:ascii="Times New Roman" w:hAnsi="Times New Roman" w:cs="Times New Roman" w:eastAsia="Times New Roman" w:hint="default"/>
                <w:sz w:val="13"/>
                <w:szCs w:val="13"/>
              </w:rPr>
            </w:pPr>
            <w:r>
              <w:rPr>
                <w:rFonts w:ascii="Times New Roman"/>
                <w:w w:val="95"/>
                <w:sz w:val="13"/>
              </w:rPr>
              <w:t>10,967,200</w:t>
            </w:r>
            <w:r>
              <w:rPr>
                <w:rFonts w:ascii="Times New Roman"/>
                <w:sz w:val="13"/>
              </w:rPr>
            </w: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50"/>
              <w:jc w:val="right"/>
              <w:rPr>
                <w:rFonts w:ascii="Times New Roman" w:hAnsi="Times New Roman" w:cs="Times New Roman" w:eastAsia="Times New Roman" w:hint="default"/>
                <w:sz w:val="13"/>
                <w:szCs w:val="13"/>
              </w:rPr>
            </w:pPr>
            <w:r>
              <w:rPr>
                <w:rFonts w:ascii="Times New Roman"/>
                <w:w w:val="95"/>
                <w:sz w:val="13"/>
              </w:rPr>
              <w:t>0.37</w:t>
            </w:r>
            <w:r>
              <w:rPr>
                <w:rFonts w:ascii="Times New Roman"/>
                <w:sz w:val="13"/>
              </w:rPr>
            </w:r>
          </w:p>
        </w:tc>
      </w:tr>
      <w:tr>
        <w:trPr>
          <w:trHeight w:val="350" w:hRule="exact"/>
        </w:trPr>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22" w:right="0"/>
              <w:jc w:val="left"/>
              <w:rPr>
                <w:rFonts w:ascii="宋体" w:hAnsi="宋体" w:cs="宋体" w:eastAsia="宋体" w:hint="default"/>
                <w:sz w:val="13"/>
                <w:szCs w:val="13"/>
              </w:rPr>
            </w:pPr>
            <w:r>
              <w:rPr>
                <w:rFonts w:ascii="宋体" w:hAnsi="宋体" w:cs="宋体" w:eastAsia="宋体" w:hint="default"/>
                <w:sz w:val="13"/>
                <w:szCs w:val="13"/>
              </w:rPr>
              <w:t>大连东软教育</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8" w:right="0"/>
              <w:jc w:val="center"/>
              <w:rPr>
                <w:rFonts w:ascii="宋体" w:hAnsi="宋体" w:cs="宋体" w:eastAsia="宋体" w:hint="default"/>
                <w:sz w:val="13"/>
                <w:szCs w:val="13"/>
              </w:rPr>
            </w:pPr>
            <w:r>
              <w:rPr>
                <w:rFonts w:ascii="宋体" w:hAnsi="宋体" w:cs="宋体" w:eastAsia="宋体" w:hint="default"/>
                <w:sz w:val="13"/>
                <w:szCs w:val="13"/>
              </w:rPr>
              <w:t>销售商品</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49" w:right="0"/>
              <w:jc w:val="left"/>
              <w:rPr>
                <w:rFonts w:ascii="宋体" w:hAnsi="宋体" w:cs="宋体" w:eastAsia="宋体" w:hint="default"/>
                <w:sz w:val="13"/>
                <w:szCs w:val="13"/>
              </w:rPr>
            </w:pPr>
            <w:r>
              <w:rPr>
                <w:rFonts w:ascii="宋体" w:hAnsi="宋体" w:cs="宋体" w:eastAsia="宋体" w:hint="default"/>
                <w:sz w:val="13"/>
                <w:szCs w:val="13"/>
              </w:rPr>
              <w:t>系统集成或软件</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2"/>
              <w:jc w:val="right"/>
              <w:rPr>
                <w:rFonts w:ascii="Times New Roman" w:hAnsi="Times New Roman" w:cs="Times New Roman" w:eastAsia="Times New Roman" w:hint="default"/>
                <w:sz w:val="13"/>
                <w:szCs w:val="13"/>
              </w:rPr>
            </w:pPr>
            <w:r>
              <w:rPr>
                <w:rFonts w:ascii="Times New Roman"/>
                <w:w w:val="95"/>
                <w:sz w:val="13"/>
              </w:rPr>
              <w:t>228,962</w:t>
            </w:r>
            <w:r>
              <w:rPr>
                <w:rFonts w:ascii="Times New Roman"/>
                <w:sz w:val="13"/>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4"/>
              <w:jc w:val="right"/>
              <w:rPr>
                <w:rFonts w:ascii="Times New Roman" w:hAnsi="Times New Roman" w:cs="Times New Roman" w:eastAsia="Times New Roman" w:hint="default"/>
                <w:sz w:val="13"/>
                <w:szCs w:val="13"/>
              </w:rPr>
            </w:pPr>
            <w:r>
              <w:rPr>
                <w:rFonts w:ascii="Times New Roman"/>
                <w:w w:val="95"/>
                <w:sz w:val="13"/>
              </w:rPr>
              <w:t>0.01</w:t>
            </w:r>
            <w:r>
              <w:rPr>
                <w:rFonts w:ascii="Times New Roman"/>
                <w:sz w:val="13"/>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9"/>
              <w:jc w:val="right"/>
              <w:rPr>
                <w:rFonts w:ascii="Times New Roman" w:hAnsi="Times New Roman" w:cs="Times New Roman" w:eastAsia="Times New Roman" w:hint="default"/>
                <w:sz w:val="13"/>
                <w:szCs w:val="13"/>
              </w:rPr>
            </w:pPr>
            <w:r>
              <w:rPr>
                <w:rFonts w:ascii="Times New Roman"/>
                <w:w w:val="95"/>
                <w:sz w:val="13"/>
              </w:rPr>
              <w:t>542,216</w:t>
            </w:r>
            <w:r>
              <w:rPr>
                <w:rFonts w:ascii="Times New Roman"/>
                <w:sz w:val="13"/>
              </w:rPr>
            </w: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0"/>
              <w:jc w:val="right"/>
              <w:rPr>
                <w:rFonts w:ascii="Times New Roman" w:hAnsi="Times New Roman" w:cs="Times New Roman" w:eastAsia="Times New Roman" w:hint="default"/>
                <w:sz w:val="13"/>
                <w:szCs w:val="13"/>
              </w:rPr>
            </w:pPr>
            <w:r>
              <w:rPr>
                <w:rFonts w:ascii="Times New Roman"/>
                <w:w w:val="95"/>
                <w:sz w:val="13"/>
              </w:rPr>
              <w:t>0.02</w:t>
            </w:r>
            <w:r>
              <w:rPr>
                <w:rFonts w:ascii="Times New Roman"/>
                <w:sz w:val="13"/>
              </w:rPr>
            </w:r>
          </w:p>
        </w:tc>
      </w:tr>
      <w:tr>
        <w:trPr>
          <w:trHeight w:val="350" w:hRule="exact"/>
        </w:trPr>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22" w:right="0"/>
              <w:jc w:val="left"/>
              <w:rPr>
                <w:rFonts w:ascii="宋体" w:hAnsi="宋体" w:cs="宋体" w:eastAsia="宋体" w:hint="default"/>
                <w:sz w:val="13"/>
                <w:szCs w:val="13"/>
              </w:rPr>
            </w:pPr>
            <w:r>
              <w:rPr>
                <w:rFonts w:ascii="宋体" w:hAnsi="宋体" w:cs="宋体" w:eastAsia="宋体" w:hint="default"/>
                <w:sz w:val="13"/>
                <w:szCs w:val="13"/>
              </w:rPr>
              <w:t>北京利博赛</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8" w:right="0"/>
              <w:jc w:val="center"/>
              <w:rPr>
                <w:rFonts w:ascii="宋体" w:hAnsi="宋体" w:cs="宋体" w:eastAsia="宋体" w:hint="default"/>
                <w:sz w:val="13"/>
                <w:szCs w:val="13"/>
              </w:rPr>
            </w:pPr>
            <w:r>
              <w:rPr>
                <w:rFonts w:ascii="宋体" w:hAnsi="宋体" w:cs="宋体" w:eastAsia="宋体" w:hint="default"/>
                <w:sz w:val="13"/>
                <w:szCs w:val="13"/>
              </w:rPr>
              <w:t>销售商品</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49" w:right="0"/>
              <w:jc w:val="left"/>
              <w:rPr>
                <w:rFonts w:ascii="宋体" w:hAnsi="宋体" w:cs="宋体" w:eastAsia="宋体" w:hint="default"/>
                <w:sz w:val="13"/>
                <w:szCs w:val="13"/>
              </w:rPr>
            </w:pPr>
            <w:r>
              <w:rPr>
                <w:rFonts w:ascii="宋体" w:hAnsi="宋体" w:cs="宋体" w:eastAsia="宋体" w:hint="default"/>
                <w:sz w:val="13"/>
                <w:szCs w:val="13"/>
              </w:rPr>
              <w:t>系统集成或软件</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2"/>
              <w:jc w:val="right"/>
              <w:rPr>
                <w:rFonts w:ascii="Times New Roman" w:hAnsi="Times New Roman" w:cs="Times New Roman" w:eastAsia="Times New Roman" w:hint="default"/>
                <w:sz w:val="13"/>
                <w:szCs w:val="13"/>
              </w:rPr>
            </w:pPr>
            <w:r>
              <w:rPr>
                <w:rFonts w:ascii="Times New Roman"/>
                <w:w w:val="95"/>
                <w:sz w:val="13"/>
              </w:rPr>
              <w:t>1,099,038</w:t>
            </w:r>
            <w:r>
              <w:rPr>
                <w:rFonts w:ascii="Times New Roman"/>
                <w:sz w:val="13"/>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4"/>
              <w:jc w:val="right"/>
              <w:rPr>
                <w:rFonts w:ascii="Times New Roman" w:hAnsi="Times New Roman" w:cs="Times New Roman" w:eastAsia="Times New Roman" w:hint="default"/>
                <w:sz w:val="13"/>
                <w:szCs w:val="13"/>
              </w:rPr>
            </w:pPr>
            <w:r>
              <w:rPr>
                <w:rFonts w:ascii="Times New Roman"/>
                <w:w w:val="95"/>
                <w:sz w:val="13"/>
              </w:rPr>
              <w:t>0.03</w:t>
            </w:r>
            <w:r>
              <w:rPr>
                <w:rFonts w:ascii="Times New Roman"/>
                <w:sz w:val="13"/>
              </w:rPr>
            </w:r>
          </w:p>
        </w:tc>
        <w:tc>
          <w:tcPr>
            <w:tcW w:w="1021"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
        </w:tc>
      </w:tr>
      <w:tr>
        <w:trPr>
          <w:trHeight w:val="350" w:hRule="exact"/>
        </w:trPr>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13"/>
                <w:szCs w:val="13"/>
              </w:rPr>
            </w:pPr>
            <w:r>
              <w:rPr>
                <w:rFonts w:ascii="宋体" w:hAnsi="宋体" w:cs="宋体" w:eastAsia="宋体" w:hint="default"/>
                <w:sz w:val="13"/>
                <w:szCs w:val="13"/>
              </w:rPr>
              <w:t>东软飞利浦</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8" w:right="0"/>
              <w:jc w:val="center"/>
              <w:rPr>
                <w:rFonts w:ascii="宋体" w:hAnsi="宋体" w:cs="宋体" w:eastAsia="宋体" w:hint="default"/>
                <w:sz w:val="13"/>
                <w:szCs w:val="13"/>
              </w:rPr>
            </w:pPr>
            <w:r>
              <w:rPr>
                <w:rFonts w:ascii="宋体" w:hAnsi="宋体" w:cs="宋体" w:eastAsia="宋体" w:hint="default"/>
                <w:sz w:val="13"/>
                <w:szCs w:val="13"/>
              </w:rPr>
              <w:t>销售商品</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49" w:right="0"/>
              <w:jc w:val="left"/>
              <w:rPr>
                <w:rFonts w:ascii="宋体" w:hAnsi="宋体" w:cs="宋体" w:eastAsia="宋体" w:hint="default"/>
                <w:sz w:val="13"/>
                <w:szCs w:val="13"/>
              </w:rPr>
            </w:pPr>
            <w:r>
              <w:rPr>
                <w:rFonts w:ascii="宋体" w:hAnsi="宋体" w:cs="宋体" w:eastAsia="宋体" w:hint="default"/>
                <w:sz w:val="13"/>
                <w:szCs w:val="13"/>
              </w:rPr>
              <w:t>材料及配件</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13"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242"/>
              <w:jc w:val="right"/>
              <w:rPr>
                <w:rFonts w:ascii="Times New Roman" w:hAnsi="Times New Roman" w:cs="Times New Roman" w:eastAsia="Times New Roman" w:hint="default"/>
                <w:sz w:val="13"/>
                <w:szCs w:val="13"/>
              </w:rPr>
            </w:pPr>
            <w:r>
              <w:rPr>
                <w:rFonts w:ascii="Times New Roman"/>
                <w:w w:val="95"/>
                <w:sz w:val="13"/>
              </w:rPr>
              <w:t>26,681,923</w:t>
            </w:r>
            <w:r>
              <w:rPr>
                <w:rFonts w:ascii="Times New Roman"/>
                <w:sz w:val="13"/>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54"/>
              <w:jc w:val="right"/>
              <w:rPr>
                <w:rFonts w:ascii="Times New Roman" w:hAnsi="Times New Roman" w:cs="Times New Roman" w:eastAsia="Times New Roman" w:hint="default"/>
                <w:sz w:val="13"/>
                <w:szCs w:val="13"/>
              </w:rPr>
            </w:pPr>
            <w:r>
              <w:rPr>
                <w:rFonts w:ascii="Times New Roman"/>
                <w:w w:val="95"/>
                <w:sz w:val="13"/>
              </w:rPr>
              <w:t>4.13</w:t>
            </w:r>
            <w:r>
              <w:rPr>
                <w:rFonts w:ascii="Times New Roman"/>
                <w:sz w:val="13"/>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279"/>
              <w:jc w:val="right"/>
              <w:rPr>
                <w:rFonts w:ascii="Times New Roman" w:hAnsi="Times New Roman" w:cs="Times New Roman" w:eastAsia="Times New Roman" w:hint="default"/>
                <w:sz w:val="13"/>
                <w:szCs w:val="13"/>
              </w:rPr>
            </w:pPr>
            <w:r>
              <w:rPr>
                <w:rFonts w:ascii="Times New Roman"/>
                <w:w w:val="95"/>
                <w:sz w:val="13"/>
              </w:rPr>
              <w:t>35,658,071</w:t>
            </w:r>
            <w:r>
              <w:rPr>
                <w:rFonts w:ascii="Times New Roman"/>
                <w:sz w:val="13"/>
              </w:rPr>
            </w: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50"/>
              <w:jc w:val="right"/>
              <w:rPr>
                <w:rFonts w:ascii="Times New Roman" w:hAnsi="Times New Roman" w:cs="Times New Roman" w:eastAsia="Times New Roman" w:hint="default"/>
                <w:sz w:val="13"/>
                <w:szCs w:val="13"/>
              </w:rPr>
            </w:pPr>
            <w:r>
              <w:rPr>
                <w:rFonts w:ascii="Times New Roman"/>
                <w:w w:val="95"/>
                <w:sz w:val="13"/>
              </w:rPr>
              <w:t>5.31</w:t>
            </w:r>
            <w:r>
              <w:rPr>
                <w:rFonts w:ascii="Times New Roman"/>
                <w:sz w:val="13"/>
              </w:rPr>
            </w:r>
          </w:p>
        </w:tc>
      </w:tr>
      <w:tr>
        <w:trPr>
          <w:trHeight w:val="350" w:hRule="exact"/>
        </w:trPr>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22" w:right="0"/>
              <w:jc w:val="left"/>
              <w:rPr>
                <w:rFonts w:ascii="宋体" w:hAnsi="宋体" w:cs="宋体" w:eastAsia="宋体" w:hint="default"/>
                <w:sz w:val="13"/>
                <w:szCs w:val="13"/>
              </w:rPr>
            </w:pPr>
            <w:r>
              <w:rPr>
                <w:rFonts w:ascii="宋体" w:hAnsi="宋体" w:cs="宋体" w:eastAsia="宋体" w:hint="default"/>
                <w:sz w:val="13"/>
                <w:szCs w:val="13"/>
              </w:rPr>
              <w:t>大连职业学院</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8" w:right="0"/>
              <w:jc w:val="center"/>
              <w:rPr>
                <w:rFonts w:ascii="宋体" w:hAnsi="宋体" w:cs="宋体" w:eastAsia="宋体" w:hint="default"/>
                <w:sz w:val="13"/>
                <w:szCs w:val="13"/>
              </w:rPr>
            </w:pPr>
            <w:r>
              <w:rPr>
                <w:rFonts w:ascii="宋体" w:hAnsi="宋体" w:cs="宋体" w:eastAsia="宋体" w:hint="default"/>
                <w:sz w:val="13"/>
                <w:szCs w:val="13"/>
              </w:rPr>
              <w:t>提供劳务</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49" w:right="0"/>
              <w:jc w:val="left"/>
              <w:rPr>
                <w:rFonts w:ascii="宋体" w:hAnsi="宋体" w:cs="宋体" w:eastAsia="宋体" w:hint="default"/>
                <w:sz w:val="13"/>
                <w:szCs w:val="13"/>
              </w:rPr>
            </w:pPr>
            <w:r>
              <w:rPr>
                <w:rFonts w:ascii="宋体" w:hAnsi="宋体" w:cs="宋体" w:eastAsia="宋体" w:hint="default"/>
                <w:sz w:val="13"/>
                <w:szCs w:val="13"/>
              </w:rPr>
              <w:t>培训服务收入</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2"/>
              <w:jc w:val="right"/>
              <w:rPr>
                <w:rFonts w:ascii="Times New Roman" w:hAnsi="Times New Roman" w:cs="Times New Roman" w:eastAsia="Times New Roman" w:hint="default"/>
                <w:sz w:val="13"/>
                <w:szCs w:val="13"/>
              </w:rPr>
            </w:pPr>
            <w:r>
              <w:rPr>
                <w:rFonts w:ascii="Times New Roman"/>
                <w:w w:val="95"/>
                <w:sz w:val="13"/>
              </w:rPr>
              <w:t>6,221,000</w:t>
            </w:r>
            <w:r>
              <w:rPr>
                <w:rFonts w:ascii="Times New Roman"/>
                <w:sz w:val="13"/>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4"/>
              <w:jc w:val="right"/>
              <w:rPr>
                <w:rFonts w:ascii="Times New Roman" w:hAnsi="Times New Roman" w:cs="Times New Roman" w:eastAsia="Times New Roman" w:hint="default"/>
                <w:sz w:val="13"/>
                <w:szCs w:val="13"/>
              </w:rPr>
            </w:pPr>
            <w:r>
              <w:rPr>
                <w:rFonts w:ascii="Times New Roman"/>
                <w:w w:val="95"/>
                <w:sz w:val="13"/>
              </w:rPr>
              <w:t>0.18</w:t>
            </w:r>
            <w:r>
              <w:rPr>
                <w:rFonts w:ascii="Times New Roman"/>
                <w:sz w:val="13"/>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9"/>
              <w:jc w:val="right"/>
              <w:rPr>
                <w:rFonts w:ascii="Times New Roman" w:hAnsi="Times New Roman" w:cs="Times New Roman" w:eastAsia="Times New Roman" w:hint="default"/>
                <w:sz w:val="13"/>
                <w:szCs w:val="13"/>
              </w:rPr>
            </w:pPr>
            <w:r>
              <w:rPr>
                <w:rFonts w:ascii="Times New Roman"/>
                <w:w w:val="95"/>
                <w:sz w:val="13"/>
              </w:rPr>
              <w:t>10,860,000</w:t>
            </w:r>
            <w:r>
              <w:rPr>
                <w:rFonts w:ascii="Times New Roman"/>
                <w:sz w:val="13"/>
              </w:rPr>
            </w: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0"/>
              <w:jc w:val="right"/>
              <w:rPr>
                <w:rFonts w:ascii="Times New Roman" w:hAnsi="Times New Roman" w:cs="Times New Roman" w:eastAsia="Times New Roman" w:hint="default"/>
                <w:sz w:val="13"/>
                <w:szCs w:val="13"/>
              </w:rPr>
            </w:pPr>
            <w:r>
              <w:rPr>
                <w:rFonts w:ascii="Times New Roman"/>
                <w:w w:val="95"/>
                <w:sz w:val="13"/>
              </w:rPr>
              <w:t>0.37</w:t>
            </w:r>
            <w:r>
              <w:rPr>
                <w:rFonts w:ascii="Times New Roman"/>
                <w:sz w:val="13"/>
              </w:rPr>
            </w:r>
          </w:p>
        </w:tc>
      </w:tr>
      <w:tr>
        <w:trPr>
          <w:trHeight w:val="350" w:hRule="exact"/>
        </w:trPr>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22" w:right="0"/>
              <w:jc w:val="left"/>
              <w:rPr>
                <w:rFonts w:ascii="宋体" w:hAnsi="宋体" w:cs="宋体" w:eastAsia="宋体" w:hint="default"/>
                <w:sz w:val="13"/>
                <w:szCs w:val="13"/>
              </w:rPr>
            </w:pPr>
            <w:r>
              <w:rPr>
                <w:rFonts w:ascii="宋体" w:hAnsi="宋体" w:cs="宋体" w:eastAsia="宋体" w:hint="default"/>
                <w:sz w:val="13"/>
                <w:szCs w:val="13"/>
              </w:rPr>
              <w:t>东软信息学院</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8" w:right="0"/>
              <w:jc w:val="center"/>
              <w:rPr>
                <w:rFonts w:ascii="宋体" w:hAnsi="宋体" w:cs="宋体" w:eastAsia="宋体" w:hint="default"/>
                <w:sz w:val="13"/>
                <w:szCs w:val="13"/>
              </w:rPr>
            </w:pPr>
            <w:r>
              <w:rPr>
                <w:rFonts w:ascii="宋体" w:hAnsi="宋体" w:cs="宋体" w:eastAsia="宋体" w:hint="default"/>
                <w:sz w:val="13"/>
                <w:szCs w:val="13"/>
              </w:rPr>
              <w:t>提供劳务</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49" w:right="0"/>
              <w:jc w:val="left"/>
              <w:rPr>
                <w:rFonts w:ascii="宋体" w:hAnsi="宋体" w:cs="宋体" w:eastAsia="宋体" w:hint="default"/>
                <w:sz w:val="13"/>
                <w:szCs w:val="13"/>
              </w:rPr>
            </w:pPr>
            <w:r>
              <w:rPr>
                <w:rFonts w:ascii="宋体" w:hAnsi="宋体" w:cs="宋体" w:eastAsia="宋体" w:hint="default"/>
                <w:sz w:val="13"/>
                <w:szCs w:val="13"/>
              </w:rPr>
              <w:t>培训服务收入</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2"/>
              <w:jc w:val="right"/>
              <w:rPr>
                <w:rFonts w:ascii="Times New Roman" w:hAnsi="Times New Roman" w:cs="Times New Roman" w:eastAsia="Times New Roman" w:hint="default"/>
                <w:sz w:val="13"/>
                <w:szCs w:val="13"/>
              </w:rPr>
            </w:pPr>
            <w:r>
              <w:rPr>
                <w:rFonts w:ascii="Times New Roman"/>
                <w:w w:val="95"/>
                <w:sz w:val="13"/>
              </w:rPr>
              <w:t>13,929,000</w:t>
            </w:r>
            <w:r>
              <w:rPr>
                <w:rFonts w:ascii="Times New Roman"/>
                <w:sz w:val="13"/>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4"/>
              <w:jc w:val="right"/>
              <w:rPr>
                <w:rFonts w:ascii="Times New Roman" w:hAnsi="Times New Roman" w:cs="Times New Roman" w:eastAsia="Times New Roman" w:hint="default"/>
                <w:sz w:val="13"/>
                <w:szCs w:val="13"/>
              </w:rPr>
            </w:pPr>
            <w:r>
              <w:rPr>
                <w:rFonts w:ascii="Times New Roman"/>
                <w:w w:val="95"/>
                <w:sz w:val="13"/>
              </w:rPr>
              <w:t>0.41</w:t>
            </w:r>
            <w:r>
              <w:rPr>
                <w:rFonts w:ascii="Times New Roman"/>
                <w:sz w:val="13"/>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9"/>
              <w:jc w:val="right"/>
              <w:rPr>
                <w:rFonts w:ascii="Times New Roman" w:hAnsi="Times New Roman" w:cs="Times New Roman" w:eastAsia="Times New Roman" w:hint="default"/>
                <w:sz w:val="13"/>
                <w:szCs w:val="13"/>
              </w:rPr>
            </w:pPr>
            <w:r>
              <w:rPr>
                <w:rFonts w:ascii="Times New Roman"/>
                <w:w w:val="95"/>
                <w:sz w:val="13"/>
              </w:rPr>
              <w:t>8,224,000</w:t>
            </w:r>
            <w:r>
              <w:rPr>
                <w:rFonts w:ascii="Times New Roman"/>
                <w:sz w:val="13"/>
              </w:rPr>
            </w: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0"/>
              <w:jc w:val="right"/>
              <w:rPr>
                <w:rFonts w:ascii="Times New Roman" w:hAnsi="Times New Roman" w:cs="Times New Roman" w:eastAsia="Times New Roman" w:hint="default"/>
                <w:sz w:val="13"/>
                <w:szCs w:val="13"/>
              </w:rPr>
            </w:pPr>
            <w:r>
              <w:rPr>
                <w:rFonts w:ascii="Times New Roman"/>
                <w:w w:val="95"/>
                <w:sz w:val="13"/>
              </w:rPr>
              <w:t>0.28</w:t>
            </w:r>
            <w:r>
              <w:rPr>
                <w:rFonts w:ascii="Times New Roman"/>
                <w:sz w:val="13"/>
              </w:rPr>
            </w:r>
          </w:p>
        </w:tc>
      </w:tr>
      <w:tr>
        <w:trPr>
          <w:trHeight w:val="350" w:hRule="exact"/>
        </w:trPr>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13"/>
                <w:szCs w:val="13"/>
              </w:rPr>
            </w:pPr>
            <w:r>
              <w:rPr>
                <w:rFonts w:ascii="宋体" w:hAnsi="宋体" w:cs="宋体" w:eastAsia="宋体" w:hint="default"/>
                <w:sz w:val="13"/>
                <w:szCs w:val="13"/>
              </w:rPr>
              <w:t>东北大学</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8" w:right="0"/>
              <w:jc w:val="center"/>
              <w:rPr>
                <w:rFonts w:ascii="宋体" w:hAnsi="宋体" w:cs="宋体" w:eastAsia="宋体" w:hint="default"/>
                <w:sz w:val="13"/>
                <w:szCs w:val="13"/>
              </w:rPr>
            </w:pPr>
            <w:r>
              <w:rPr>
                <w:rFonts w:ascii="宋体" w:hAnsi="宋体" w:cs="宋体" w:eastAsia="宋体" w:hint="default"/>
                <w:sz w:val="13"/>
                <w:szCs w:val="13"/>
              </w:rPr>
              <w:t>提供劳务</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49" w:right="0"/>
              <w:jc w:val="left"/>
              <w:rPr>
                <w:rFonts w:ascii="宋体" w:hAnsi="宋体" w:cs="宋体" w:eastAsia="宋体" w:hint="default"/>
                <w:sz w:val="13"/>
                <w:szCs w:val="13"/>
              </w:rPr>
            </w:pPr>
            <w:r>
              <w:rPr>
                <w:rFonts w:ascii="宋体" w:hAnsi="宋体" w:cs="宋体" w:eastAsia="宋体" w:hint="default"/>
                <w:sz w:val="13"/>
                <w:szCs w:val="13"/>
              </w:rPr>
              <w:t>培训服务收入</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13"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242"/>
              <w:jc w:val="right"/>
              <w:rPr>
                <w:rFonts w:ascii="Times New Roman" w:hAnsi="Times New Roman" w:cs="Times New Roman" w:eastAsia="Times New Roman" w:hint="default"/>
                <w:sz w:val="13"/>
                <w:szCs w:val="13"/>
              </w:rPr>
            </w:pPr>
            <w:r>
              <w:rPr>
                <w:rFonts w:ascii="Times New Roman"/>
                <w:w w:val="95"/>
                <w:sz w:val="13"/>
              </w:rPr>
              <w:t>1,124,698</w:t>
            </w:r>
            <w:r>
              <w:rPr>
                <w:rFonts w:ascii="Times New Roman"/>
                <w:sz w:val="13"/>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54"/>
              <w:jc w:val="right"/>
              <w:rPr>
                <w:rFonts w:ascii="Times New Roman" w:hAnsi="Times New Roman" w:cs="Times New Roman" w:eastAsia="Times New Roman" w:hint="default"/>
                <w:sz w:val="13"/>
                <w:szCs w:val="13"/>
              </w:rPr>
            </w:pPr>
            <w:r>
              <w:rPr>
                <w:rFonts w:ascii="Times New Roman"/>
                <w:w w:val="95"/>
                <w:sz w:val="13"/>
              </w:rPr>
              <w:t>0.03</w:t>
            </w:r>
            <w:r>
              <w:rPr>
                <w:rFonts w:ascii="Times New Roman"/>
                <w:sz w:val="13"/>
              </w:rPr>
            </w:r>
          </w:p>
        </w:tc>
        <w:tc>
          <w:tcPr>
            <w:tcW w:w="1021"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
        </w:tc>
      </w:tr>
      <w:tr>
        <w:trPr>
          <w:trHeight w:val="350" w:hRule="exact"/>
        </w:trPr>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22" w:right="0"/>
              <w:jc w:val="left"/>
              <w:rPr>
                <w:rFonts w:ascii="宋体" w:hAnsi="宋体" w:cs="宋体" w:eastAsia="宋体" w:hint="default"/>
                <w:sz w:val="13"/>
                <w:szCs w:val="13"/>
              </w:rPr>
            </w:pPr>
            <w:r>
              <w:rPr>
                <w:rFonts w:ascii="宋体" w:hAnsi="宋体" w:cs="宋体" w:eastAsia="宋体" w:hint="default"/>
                <w:sz w:val="13"/>
                <w:szCs w:val="13"/>
              </w:rPr>
              <w:t>东软飞利浦</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8" w:right="0"/>
              <w:jc w:val="center"/>
              <w:rPr>
                <w:rFonts w:ascii="宋体" w:hAnsi="宋体" w:cs="宋体" w:eastAsia="宋体" w:hint="default"/>
                <w:sz w:val="13"/>
                <w:szCs w:val="13"/>
              </w:rPr>
            </w:pPr>
            <w:r>
              <w:rPr>
                <w:rFonts w:ascii="宋体" w:hAnsi="宋体" w:cs="宋体" w:eastAsia="宋体" w:hint="default"/>
                <w:sz w:val="13"/>
                <w:szCs w:val="13"/>
              </w:rPr>
              <w:t>提供劳务</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49" w:right="0"/>
              <w:jc w:val="left"/>
              <w:rPr>
                <w:rFonts w:ascii="宋体" w:hAnsi="宋体" w:cs="宋体" w:eastAsia="宋体" w:hint="default"/>
                <w:sz w:val="13"/>
                <w:szCs w:val="13"/>
              </w:rPr>
            </w:pPr>
            <w:r>
              <w:rPr>
                <w:rFonts w:ascii="宋体" w:hAnsi="宋体" w:cs="宋体" w:eastAsia="宋体" w:hint="default"/>
                <w:sz w:val="13"/>
                <w:szCs w:val="13"/>
              </w:rPr>
              <w:t>房租及物业管理收入</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2"/>
              <w:jc w:val="right"/>
              <w:rPr>
                <w:rFonts w:ascii="Times New Roman" w:hAnsi="Times New Roman" w:cs="Times New Roman" w:eastAsia="Times New Roman" w:hint="default"/>
                <w:sz w:val="13"/>
                <w:szCs w:val="13"/>
              </w:rPr>
            </w:pPr>
            <w:r>
              <w:rPr>
                <w:rFonts w:ascii="Times New Roman"/>
                <w:w w:val="95"/>
                <w:sz w:val="13"/>
              </w:rPr>
              <w:t>15,819,939</w:t>
            </w:r>
            <w:r>
              <w:rPr>
                <w:rFonts w:ascii="Times New Roman"/>
                <w:sz w:val="13"/>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4"/>
              <w:jc w:val="right"/>
              <w:rPr>
                <w:rFonts w:ascii="Times New Roman" w:hAnsi="Times New Roman" w:cs="Times New Roman" w:eastAsia="Times New Roman" w:hint="default"/>
                <w:sz w:val="13"/>
                <w:szCs w:val="13"/>
              </w:rPr>
            </w:pPr>
            <w:r>
              <w:rPr>
                <w:rFonts w:ascii="Times New Roman"/>
                <w:w w:val="95"/>
                <w:sz w:val="13"/>
              </w:rPr>
              <w:t>16.16</w:t>
            </w:r>
            <w:r>
              <w:rPr>
                <w:rFonts w:ascii="Times New Roman"/>
                <w:sz w:val="13"/>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9"/>
              <w:jc w:val="right"/>
              <w:rPr>
                <w:rFonts w:ascii="Times New Roman" w:hAnsi="Times New Roman" w:cs="Times New Roman" w:eastAsia="Times New Roman" w:hint="default"/>
                <w:sz w:val="13"/>
                <w:szCs w:val="13"/>
              </w:rPr>
            </w:pPr>
            <w:r>
              <w:rPr>
                <w:rFonts w:ascii="Times New Roman"/>
                <w:w w:val="95"/>
                <w:sz w:val="13"/>
              </w:rPr>
              <w:t>15,321,799</w:t>
            </w:r>
            <w:r>
              <w:rPr>
                <w:rFonts w:ascii="Times New Roman"/>
                <w:sz w:val="13"/>
              </w:rPr>
            </w: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0"/>
              <w:jc w:val="right"/>
              <w:rPr>
                <w:rFonts w:ascii="Times New Roman" w:hAnsi="Times New Roman" w:cs="Times New Roman" w:eastAsia="Times New Roman" w:hint="default"/>
                <w:sz w:val="13"/>
                <w:szCs w:val="13"/>
              </w:rPr>
            </w:pPr>
            <w:r>
              <w:rPr>
                <w:rFonts w:ascii="Times New Roman"/>
                <w:w w:val="95"/>
                <w:sz w:val="13"/>
              </w:rPr>
              <w:t>15.27</w:t>
            </w:r>
            <w:r>
              <w:rPr>
                <w:rFonts w:ascii="Times New Roman"/>
                <w:sz w:val="13"/>
              </w:rPr>
            </w:r>
          </w:p>
        </w:tc>
      </w:tr>
      <w:tr>
        <w:trPr>
          <w:trHeight w:val="350" w:hRule="exact"/>
        </w:trPr>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22" w:right="0"/>
              <w:jc w:val="left"/>
              <w:rPr>
                <w:rFonts w:ascii="宋体" w:hAnsi="宋体" w:cs="宋体" w:eastAsia="宋体" w:hint="default"/>
                <w:sz w:val="13"/>
                <w:szCs w:val="13"/>
              </w:rPr>
            </w:pPr>
            <w:r>
              <w:rPr>
                <w:rFonts w:ascii="宋体" w:hAnsi="宋体" w:cs="宋体" w:eastAsia="宋体" w:hint="default"/>
                <w:sz w:val="13"/>
                <w:szCs w:val="13"/>
              </w:rPr>
              <w:t>阿尔派中国</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8" w:right="0"/>
              <w:jc w:val="center"/>
              <w:rPr>
                <w:rFonts w:ascii="宋体" w:hAnsi="宋体" w:cs="宋体" w:eastAsia="宋体" w:hint="default"/>
                <w:sz w:val="13"/>
                <w:szCs w:val="13"/>
              </w:rPr>
            </w:pPr>
            <w:r>
              <w:rPr>
                <w:rFonts w:ascii="宋体" w:hAnsi="宋体" w:cs="宋体" w:eastAsia="宋体" w:hint="default"/>
                <w:sz w:val="13"/>
                <w:szCs w:val="13"/>
              </w:rPr>
              <w:t>提供劳务</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49" w:right="0"/>
              <w:jc w:val="left"/>
              <w:rPr>
                <w:rFonts w:ascii="宋体" w:hAnsi="宋体" w:cs="宋体" w:eastAsia="宋体" w:hint="default"/>
                <w:sz w:val="13"/>
                <w:szCs w:val="13"/>
              </w:rPr>
            </w:pPr>
            <w:r>
              <w:rPr>
                <w:rFonts w:ascii="宋体" w:hAnsi="宋体" w:cs="宋体" w:eastAsia="宋体" w:hint="default"/>
                <w:sz w:val="13"/>
                <w:szCs w:val="13"/>
              </w:rPr>
              <w:t>房租及物业管理收入</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2"/>
              <w:jc w:val="right"/>
              <w:rPr>
                <w:rFonts w:ascii="Times New Roman" w:hAnsi="Times New Roman" w:cs="Times New Roman" w:eastAsia="Times New Roman" w:hint="default"/>
                <w:sz w:val="13"/>
                <w:szCs w:val="13"/>
              </w:rPr>
            </w:pPr>
            <w:r>
              <w:rPr>
                <w:rFonts w:ascii="Times New Roman"/>
                <w:w w:val="95"/>
                <w:sz w:val="13"/>
              </w:rPr>
              <w:t>8,708,900</w:t>
            </w:r>
            <w:r>
              <w:rPr>
                <w:rFonts w:ascii="Times New Roman"/>
                <w:sz w:val="13"/>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4"/>
              <w:jc w:val="right"/>
              <w:rPr>
                <w:rFonts w:ascii="Times New Roman" w:hAnsi="Times New Roman" w:cs="Times New Roman" w:eastAsia="Times New Roman" w:hint="default"/>
                <w:sz w:val="13"/>
                <w:szCs w:val="13"/>
              </w:rPr>
            </w:pPr>
            <w:r>
              <w:rPr>
                <w:rFonts w:ascii="Times New Roman"/>
                <w:w w:val="95"/>
                <w:sz w:val="13"/>
              </w:rPr>
              <w:t>8.90</w:t>
            </w:r>
            <w:r>
              <w:rPr>
                <w:rFonts w:ascii="Times New Roman"/>
                <w:sz w:val="13"/>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9"/>
              <w:jc w:val="right"/>
              <w:rPr>
                <w:rFonts w:ascii="Times New Roman" w:hAnsi="Times New Roman" w:cs="Times New Roman" w:eastAsia="Times New Roman" w:hint="default"/>
                <w:sz w:val="13"/>
                <w:szCs w:val="13"/>
              </w:rPr>
            </w:pPr>
            <w:r>
              <w:rPr>
                <w:rFonts w:ascii="Times New Roman"/>
                <w:w w:val="95"/>
                <w:sz w:val="13"/>
              </w:rPr>
              <w:t>9,429,968</w:t>
            </w:r>
            <w:r>
              <w:rPr>
                <w:rFonts w:ascii="Times New Roman"/>
                <w:sz w:val="13"/>
              </w:rPr>
            </w: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0"/>
              <w:jc w:val="right"/>
              <w:rPr>
                <w:rFonts w:ascii="Times New Roman" w:hAnsi="Times New Roman" w:cs="Times New Roman" w:eastAsia="Times New Roman" w:hint="default"/>
                <w:sz w:val="13"/>
                <w:szCs w:val="13"/>
              </w:rPr>
            </w:pPr>
            <w:r>
              <w:rPr>
                <w:rFonts w:ascii="Times New Roman"/>
                <w:w w:val="95"/>
                <w:sz w:val="13"/>
              </w:rPr>
              <w:t>9.40</w:t>
            </w:r>
            <w:r>
              <w:rPr>
                <w:rFonts w:ascii="Times New Roman"/>
                <w:sz w:val="13"/>
              </w:rPr>
            </w:r>
          </w:p>
        </w:tc>
      </w:tr>
      <w:tr>
        <w:trPr>
          <w:trHeight w:val="350" w:hRule="exact"/>
        </w:trPr>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13"/>
                <w:szCs w:val="13"/>
              </w:rPr>
            </w:pPr>
            <w:r>
              <w:rPr>
                <w:rFonts w:ascii="宋体" w:hAnsi="宋体" w:cs="宋体" w:eastAsia="宋体" w:hint="default"/>
                <w:sz w:val="13"/>
                <w:szCs w:val="13"/>
              </w:rPr>
              <w:t>南海职业学院</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8" w:right="0"/>
              <w:jc w:val="center"/>
              <w:rPr>
                <w:rFonts w:ascii="宋体" w:hAnsi="宋体" w:cs="宋体" w:eastAsia="宋体" w:hint="default"/>
                <w:sz w:val="13"/>
                <w:szCs w:val="13"/>
              </w:rPr>
            </w:pPr>
            <w:r>
              <w:rPr>
                <w:rFonts w:ascii="宋体" w:hAnsi="宋体" w:cs="宋体" w:eastAsia="宋体" w:hint="default"/>
                <w:sz w:val="13"/>
                <w:szCs w:val="13"/>
              </w:rPr>
              <w:t>提供劳务</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49" w:right="0"/>
              <w:jc w:val="left"/>
              <w:rPr>
                <w:rFonts w:ascii="宋体" w:hAnsi="宋体" w:cs="宋体" w:eastAsia="宋体" w:hint="default"/>
                <w:sz w:val="13"/>
                <w:szCs w:val="13"/>
              </w:rPr>
            </w:pPr>
            <w:r>
              <w:rPr>
                <w:rFonts w:ascii="宋体" w:hAnsi="宋体" w:cs="宋体" w:eastAsia="宋体" w:hint="default"/>
                <w:sz w:val="13"/>
                <w:szCs w:val="13"/>
              </w:rPr>
              <w:t>房租及物业管理收入</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13"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007" w:type="dxa"/>
            <w:tcBorders>
              <w:top w:val="nil" w:sz="6" w:space="0" w:color="auto"/>
              <w:left w:val="nil" w:sz="6" w:space="0" w:color="auto"/>
              <w:bottom w:val="nil" w:sz="6" w:space="0" w:color="auto"/>
              <w:right w:val="nil" w:sz="6" w:space="0" w:color="auto"/>
            </w:tcBorders>
          </w:tcPr>
          <w:p>
            <w:pPr/>
          </w:p>
        </w:tc>
        <w:tc>
          <w:tcPr>
            <w:tcW w:w="692" w:type="dxa"/>
            <w:tcBorders>
              <w:top w:val="nil" w:sz="6" w:space="0" w:color="auto"/>
              <w:left w:val="nil" w:sz="6" w:space="0" w:color="auto"/>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279"/>
              <w:jc w:val="right"/>
              <w:rPr>
                <w:rFonts w:ascii="Times New Roman" w:hAnsi="Times New Roman" w:cs="Times New Roman" w:eastAsia="Times New Roman" w:hint="default"/>
                <w:sz w:val="13"/>
                <w:szCs w:val="13"/>
              </w:rPr>
            </w:pPr>
            <w:r>
              <w:rPr>
                <w:rFonts w:ascii="Times New Roman"/>
                <w:w w:val="95"/>
                <w:sz w:val="13"/>
              </w:rPr>
              <w:t>1,215,584</w:t>
            </w:r>
            <w:r>
              <w:rPr>
                <w:rFonts w:ascii="Times New Roman"/>
                <w:sz w:val="13"/>
              </w:rPr>
            </w: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50"/>
              <w:jc w:val="right"/>
              <w:rPr>
                <w:rFonts w:ascii="Times New Roman" w:hAnsi="Times New Roman" w:cs="Times New Roman" w:eastAsia="Times New Roman" w:hint="default"/>
                <w:sz w:val="13"/>
                <w:szCs w:val="13"/>
              </w:rPr>
            </w:pPr>
            <w:r>
              <w:rPr>
                <w:rFonts w:ascii="Times New Roman"/>
                <w:w w:val="95"/>
                <w:sz w:val="13"/>
              </w:rPr>
              <w:t>1.21</w:t>
            </w:r>
            <w:r>
              <w:rPr>
                <w:rFonts w:ascii="Times New Roman"/>
                <w:sz w:val="13"/>
              </w:rPr>
            </w:r>
          </w:p>
        </w:tc>
      </w:tr>
      <w:tr>
        <w:trPr>
          <w:trHeight w:val="350" w:hRule="exact"/>
        </w:trPr>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22" w:right="0"/>
              <w:jc w:val="left"/>
              <w:rPr>
                <w:rFonts w:ascii="宋体" w:hAnsi="宋体" w:cs="宋体" w:eastAsia="宋体" w:hint="default"/>
                <w:sz w:val="13"/>
                <w:szCs w:val="13"/>
              </w:rPr>
            </w:pPr>
            <w:r>
              <w:rPr>
                <w:rFonts w:ascii="宋体" w:hAnsi="宋体" w:cs="宋体" w:eastAsia="宋体" w:hint="default"/>
                <w:sz w:val="13"/>
                <w:szCs w:val="13"/>
              </w:rPr>
              <w:t>成都职业学院</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8" w:right="0"/>
              <w:jc w:val="center"/>
              <w:rPr>
                <w:rFonts w:ascii="宋体" w:hAnsi="宋体" w:cs="宋体" w:eastAsia="宋体" w:hint="default"/>
                <w:sz w:val="13"/>
                <w:szCs w:val="13"/>
              </w:rPr>
            </w:pPr>
            <w:r>
              <w:rPr>
                <w:rFonts w:ascii="宋体" w:hAnsi="宋体" w:cs="宋体" w:eastAsia="宋体" w:hint="default"/>
                <w:sz w:val="13"/>
                <w:szCs w:val="13"/>
              </w:rPr>
              <w:t>提供劳务</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49" w:right="0"/>
              <w:jc w:val="left"/>
              <w:rPr>
                <w:rFonts w:ascii="宋体" w:hAnsi="宋体" w:cs="宋体" w:eastAsia="宋体" w:hint="default"/>
                <w:sz w:val="13"/>
                <w:szCs w:val="13"/>
              </w:rPr>
            </w:pPr>
            <w:r>
              <w:rPr>
                <w:rFonts w:ascii="宋体" w:hAnsi="宋体" w:cs="宋体" w:eastAsia="宋体" w:hint="default"/>
                <w:sz w:val="13"/>
                <w:szCs w:val="13"/>
              </w:rPr>
              <w:t>房租及物业管理收入</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0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2"/>
              <w:jc w:val="right"/>
              <w:rPr>
                <w:rFonts w:ascii="Times New Roman" w:hAnsi="Times New Roman" w:cs="Times New Roman" w:eastAsia="Times New Roman" w:hint="default"/>
                <w:sz w:val="13"/>
                <w:szCs w:val="13"/>
              </w:rPr>
            </w:pPr>
            <w:r>
              <w:rPr>
                <w:rFonts w:ascii="Times New Roman"/>
                <w:w w:val="95"/>
                <w:sz w:val="13"/>
              </w:rPr>
              <w:t>4,420</w:t>
            </w:r>
            <w:r>
              <w:rPr>
                <w:rFonts w:ascii="Times New Roman"/>
                <w:sz w:val="13"/>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4"/>
              <w:jc w:val="right"/>
              <w:rPr>
                <w:rFonts w:ascii="Times New Roman" w:hAnsi="Times New Roman" w:cs="Times New Roman" w:eastAsia="Times New Roman" w:hint="default"/>
                <w:sz w:val="13"/>
                <w:szCs w:val="13"/>
              </w:rPr>
            </w:pPr>
            <w:r>
              <w:rPr>
                <w:rFonts w:ascii="Times New Roman"/>
                <w:w w:val="95"/>
                <w:sz w:val="13"/>
              </w:rPr>
              <w:t>0.00</w:t>
            </w:r>
            <w:r>
              <w:rPr>
                <w:rFonts w:ascii="Times New Roman"/>
                <w:sz w:val="13"/>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9"/>
              <w:jc w:val="right"/>
              <w:rPr>
                <w:rFonts w:ascii="Times New Roman" w:hAnsi="Times New Roman" w:cs="Times New Roman" w:eastAsia="Times New Roman" w:hint="default"/>
                <w:sz w:val="13"/>
                <w:szCs w:val="13"/>
              </w:rPr>
            </w:pPr>
            <w:r>
              <w:rPr>
                <w:rFonts w:ascii="Times New Roman"/>
                <w:w w:val="95"/>
                <w:sz w:val="13"/>
              </w:rPr>
              <w:t>863,393</w:t>
            </w:r>
            <w:r>
              <w:rPr>
                <w:rFonts w:ascii="Times New Roman"/>
                <w:sz w:val="13"/>
              </w:rPr>
            </w:r>
          </w:p>
        </w:tc>
        <w:tc>
          <w:tcPr>
            <w:tcW w:w="62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0"/>
              <w:jc w:val="right"/>
              <w:rPr>
                <w:rFonts w:ascii="Times New Roman" w:hAnsi="Times New Roman" w:cs="Times New Roman" w:eastAsia="Times New Roman" w:hint="default"/>
                <w:sz w:val="13"/>
                <w:szCs w:val="13"/>
              </w:rPr>
            </w:pPr>
            <w:r>
              <w:rPr>
                <w:rFonts w:ascii="Times New Roman"/>
                <w:w w:val="95"/>
                <w:sz w:val="13"/>
              </w:rPr>
              <w:t>0.86</w:t>
            </w:r>
            <w:r>
              <w:rPr>
                <w:rFonts w:ascii="Times New Roman"/>
                <w:sz w:val="13"/>
              </w:rPr>
            </w:r>
          </w:p>
        </w:tc>
      </w:tr>
      <w:tr>
        <w:trPr>
          <w:trHeight w:val="264" w:hRule="exact"/>
        </w:trPr>
        <w:tc>
          <w:tcPr>
            <w:tcW w:w="1060" w:type="dxa"/>
            <w:tcBorders>
              <w:top w:val="nil" w:sz="6" w:space="0" w:color="auto"/>
              <w:left w:val="nil" w:sz="6" w:space="0" w:color="auto"/>
              <w:bottom w:val="single" w:sz="8" w:space="0" w:color="000000"/>
              <w:right w:val="nil" w:sz="6" w:space="0" w:color="auto"/>
            </w:tcBorders>
          </w:tcPr>
          <w:p>
            <w:pPr>
              <w:pStyle w:val="TableParagraph"/>
              <w:spacing w:line="240" w:lineRule="auto" w:before="62"/>
              <w:ind w:left="122" w:right="0"/>
              <w:jc w:val="left"/>
              <w:rPr>
                <w:rFonts w:ascii="宋体" w:hAnsi="宋体" w:cs="宋体" w:eastAsia="宋体" w:hint="default"/>
                <w:sz w:val="13"/>
                <w:szCs w:val="13"/>
              </w:rPr>
            </w:pPr>
            <w:r>
              <w:rPr>
                <w:rFonts w:ascii="宋体" w:hAnsi="宋体" w:cs="宋体" w:eastAsia="宋体" w:hint="default"/>
                <w:sz w:val="13"/>
                <w:szCs w:val="13"/>
              </w:rPr>
              <w:t>东软飞利浦</w:t>
            </w:r>
          </w:p>
        </w:tc>
        <w:tc>
          <w:tcPr>
            <w:tcW w:w="826" w:type="dxa"/>
            <w:tcBorders>
              <w:top w:val="nil" w:sz="6" w:space="0" w:color="auto"/>
              <w:left w:val="nil" w:sz="6" w:space="0" w:color="auto"/>
              <w:bottom w:val="single" w:sz="8" w:space="0" w:color="000000"/>
              <w:right w:val="nil" w:sz="6" w:space="0" w:color="auto"/>
            </w:tcBorders>
          </w:tcPr>
          <w:p>
            <w:pPr>
              <w:pStyle w:val="TableParagraph"/>
              <w:spacing w:line="240" w:lineRule="auto" w:before="62"/>
              <w:ind w:left="8" w:right="0"/>
              <w:jc w:val="center"/>
              <w:rPr>
                <w:rFonts w:ascii="宋体" w:hAnsi="宋体" w:cs="宋体" w:eastAsia="宋体" w:hint="default"/>
                <w:sz w:val="13"/>
                <w:szCs w:val="13"/>
              </w:rPr>
            </w:pPr>
            <w:r>
              <w:rPr>
                <w:rFonts w:ascii="宋体" w:hAnsi="宋体" w:cs="宋体" w:eastAsia="宋体" w:hint="default"/>
                <w:sz w:val="13"/>
                <w:szCs w:val="13"/>
              </w:rPr>
              <w:t>提供劳务</w:t>
            </w:r>
          </w:p>
        </w:tc>
        <w:tc>
          <w:tcPr>
            <w:tcW w:w="1432" w:type="dxa"/>
            <w:tcBorders>
              <w:top w:val="nil" w:sz="6" w:space="0" w:color="auto"/>
              <w:left w:val="nil" w:sz="6" w:space="0" w:color="auto"/>
              <w:bottom w:val="single" w:sz="8" w:space="0" w:color="000000"/>
              <w:right w:val="nil" w:sz="6" w:space="0" w:color="auto"/>
            </w:tcBorders>
          </w:tcPr>
          <w:p>
            <w:pPr>
              <w:pStyle w:val="TableParagraph"/>
              <w:spacing w:line="240" w:lineRule="auto" w:before="62"/>
              <w:ind w:left="149" w:right="0"/>
              <w:jc w:val="left"/>
              <w:rPr>
                <w:rFonts w:ascii="宋体" w:hAnsi="宋体" w:cs="宋体" w:eastAsia="宋体" w:hint="default"/>
                <w:sz w:val="13"/>
                <w:szCs w:val="13"/>
              </w:rPr>
            </w:pPr>
            <w:r>
              <w:rPr>
                <w:rFonts w:ascii="宋体" w:hAnsi="宋体" w:cs="宋体" w:eastAsia="宋体" w:hint="default"/>
                <w:sz w:val="13"/>
                <w:szCs w:val="13"/>
              </w:rPr>
              <w:t>管理服务收入</w:t>
            </w:r>
          </w:p>
        </w:tc>
        <w:tc>
          <w:tcPr>
            <w:tcW w:w="1722" w:type="dxa"/>
            <w:tcBorders>
              <w:top w:val="nil" w:sz="6" w:space="0" w:color="auto"/>
              <w:left w:val="nil" w:sz="6" w:space="0" w:color="auto"/>
              <w:bottom w:val="single" w:sz="8" w:space="0" w:color="000000"/>
              <w:right w:val="nil" w:sz="6" w:space="0" w:color="auto"/>
            </w:tcBorders>
          </w:tcPr>
          <w:p>
            <w:pPr>
              <w:pStyle w:val="TableParagraph"/>
              <w:spacing w:line="240" w:lineRule="auto" w:before="62"/>
              <w:ind w:left="113" w:right="0"/>
              <w:jc w:val="left"/>
              <w:rPr>
                <w:rFonts w:ascii="宋体" w:hAnsi="宋体" w:cs="宋体" w:eastAsia="宋体" w:hint="default"/>
                <w:sz w:val="13"/>
                <w:szCs w:val="13"/>
              </w:rPr>
            </w:pPr>
            <w:r>
              <w:rPr>
                <w:rFonts w:ascii="宋体" w:hAnsi="宋体" w:cs="宋体" w:eastAsia="宋体" w:hint="default"/>
                <w:sz w:val="13"/>
                <w:szCs w:val="13"/>
              </w:rPr>
              <w:t>根据市场价格经协商确定</w:t>
            </w:r>
          </w:p>
        </w:tc>
        <w:tc>
          <w:tcPr>
            <w:tcW w:w="1007"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242"/>
              <w:jc w:val="right"/>
              <w:rPr>
                <w:rFonts w:ascii="Times New Roman" w:hAnsi="Times New Roman" w:cs="Times New Roman" w:eastAsia="Times New Roman" w:hint="default"/>
                <w:sz w:val="13"/>
                <w:szCs w:val="13"/>
              </w:rPr>
            </w:pPr>
            <w:r>
              <w:rPr>
                <w:rFonts w:ascii="Times New Roman"/>
                <w:w w:val="95"/>
                <w:sz w:val="13"/>
              </w:rPr>
              <w:t>2,547,570</w:t>
            </w:r>
            <w:r>
              <w:rPr>
                <w:rFonts w:ascii="Times New Roman"/>
                <w:sz w:val="13"/>
              </w:rPr>
            </w:r>
          </w:p>
        </w:tc>
        <w:tc>
          <w:tcPr>
            <w:tcW w:w="692"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54"/>
              <w:jc w:val="right"/>
              <w:rPr>
                <w:rFonts w:ascii="Times New Roman" w:hAnsi="Times New Roman" w:cs="Times New Roman" w:eastAsia="Times New Roman" w:hint="default"/>
                <w:sz w:val="13"/>
                <w:szCs w:val="13"/>
              </w:rPr>
            </w:pPr>
            <w:r>
              <w:rPr>
                <w:rFonts w:ascii="Times New Roman"/>
                <w:w w:val="95"/>
                <w:sz w:val="13"/>
              </w:rPr>
              <w:t>0.07</w:t>
            </w:r>
            <w:r>
              <w:rPr>
                <w:rFonts w:ascii="Times New Roman"/>
                <w:sz w:val="13"/>
              </w:rPr>
            </w:r>
          </w:p>
        </w:tc>
        <w:tc>
          <w:tcPr>
            <w:tcW w:w="1021"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279"/>
              <w:jc w:val="right"/>
              <w:rPr>
                <w:rFonts w:ascii="Times New Roman" w:hAnsi="Times New Roman" w:cs="Times New Roman" w:eastAsia="Times New Roman" w:hint="default"/>
                <w:sz w:val="13"/>
                <w:szCs w:val="13"/>
              </w:rPr>
            </w:pPr>
            <w:r>
              <w:rPr>
                <w:rFonts w:ascii="Times New Roman"/>
                <w:w w:val="95"/>
                <w:sz w:val="13"/>
              </w:rPr>
              <w:t>2,614,413</w:t>
            </w:r>
            <w:r>
              <w:rPr>
                <w:rFonts w:ascii="Times New Roman"/>
                <w:sz w:val="13"/>
              </w:rPr>
            </w:r>
          </w:p>
        </w:tc>
        <w:tc>
          <w:tcPr>
            <w:tcW w:w="626"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50"/>
              <w:jc w:val="right"/>
              <w:rPr>
                <w:rFonts w:ascii="Times New Roman" w:hAnsi="Times New Roman" w:cs="Times New Roman" w:eastAsia="Times New Roman" w:hint="default"/>
                <w:sz w:val="13"/>
                <w:szCs w:val="13"/>
              </w:rPr>
            </w:pPr>
            <w:r>
              <w:rPr>
                <w:rFonts w:ascii="Times New Roman"/>
                <w:w w:val="95"/>
                <w:sz w:val="13"/>
              </w:rPr>
              <w:t>0.09</w:t>
            </w:r>
            <w:r>
              <w:rPr>
                <w:rFonts w:ascii="Times New Roman"/>
                <w:sz w:val="13"/>
              </w:rPr>
            </w:r>
          </w:p>
        </w:tc>
      </w:tr>
    </w:tbl>
    <w:p>
      <w:pPr>
        <w:spacing w:line="240" w:lineRule="auto" w:before="1"/>
        <w:rPr>
          <w:rFonts w:ascii="宋体" w:hAnsi="宋体" w:cs="宋体" w:eastAsia="宋体" w:hint="default"/>
          <w:sz w:val="25"/>
          <w:szCs w:val="25"/>
        </w:rPr>
      </w:pPr>
    </w:p>
    <w:p>
      <w:pPr>
        <w:tabs>
          <w:tab w:pos="1413" w:val="left" w:leader="none"/>
        </w:tabs>
        <w:spacing w:before="35"/>
        <w:ind w:left="857" w:right="0" w:firstLine="0"/>
        <w:jc w:val="left"/>
        <w:rPr>
          <w:rFonts w:ascii="宋体" w:hAnsi="宋体" w:cs="宋体" w:eastAsia="宋体" w:hint="default"/>
          <w:sz w:val="21"/>
          <w:szCs w:val="21"/>
        </w:rPr>
      </w:pPr>
      <w:r>
        <w:rPr/>
        <w:pict>
          <v:group style="position:absolute;margin-left:79.260010pt;margin-top:-336.386444pt;width:453.15pt;height:318.55pt;mso-position-horizontal-relative:page;mso-position-vertical-relative:paragraph;z-index:-977320" coordorigin="1585,-6728" coordsize="9063,6371">
            <v:group style="position:absolute;left:1590;top:-6723;width:9053;height:2" coordorigin="1590,-6723" coordsize="9053,2">
              <v:shape style="position:absolute;left:1590;top:-6723;width:9053;height:2" coordorigin="1590,-6723" coordsize="9053,0" path="m1590,-6723l10643,-6723e" filled="false" stroked="true" strokeweight=".47998pt" strokecolor="#000000">
                <v:path arrowok="t"/>
              </v:shape>
            </v:group>
            <v:group style="position:absolute;left:2237;top:-6709;width:1084;height:2" coordorigin="2237,-6709" coordsize="1084,2">
              <v:shape style="position:absolute;left:2237;top:-6709;width:1084;height:2" coordorigin="2237,-6709" coordsize="1084,0" path="m2237,-6709l3320,-6709e" filled="false" stroked="true" strokeweight=".96002pt" strokecolor="#000000">
                <v:path arrowok="t"/>
              </v:shape>
            </v:group>
            <v:group style="position:absolute;left:3320;top:-6709;width:818;height:2" coordorigin="3320,-6709" coordsize="818,2">
              <v:shape style="position:absolute;left:3320;top:-6709;width:818;height:2" coordorigin="3320,-6709" coordsize="818,0" path="m3320,-6709l4138,-6709e" filled="false" stroked="true" strokeweight=".96002pt" strokecolor="#000000">
                <v:path arrowok="t"/>
              </v:shape>
            </v:group>
            <v:group style="position:absolute;left:4138;top:-6709;width:1396;height:2" coordorigin="4138,-6709" coordsize="1396,2">
              <v:shape style="position:absolute;left:4138;top:-6709;width:1396;height:2" coordorigin="4138,-6709" coordsize="1396,0" path="m4138,-6709l5533,-6709e" filled="false" stroked="true" strokeweight=".96002pt" strokecolor="#000000">
                <v:path arrowok="t"/>
              </v:shape>
            </v:group>
            <v:group style="position:absolute;left:5533;top:-6709;width:1696;height:2" coordorigin="5533,-6709" coordsize="1696,2">
              <v:shape style="position:absolute;left:5533;top:-6709;width:1696;height:2" coordorigin="5533,-6709" coordsize="1696,0" path="m5533,-6709l7229,-6709e" filled="false" stroked="true" strokeweight=".96002pt" strokecolor="#000000">
                <v:path arrowok="t"/>
              </v:shape>
            </v:group>
            <v:group style="position:absolute;left:7229;top:-6709;width:1617;height:2" coordorigin="7229,-6709" coordsize="1617,2">
              <v:shape style="position:absolute;left:7229;top:-6709;width:1617;height:2" coordorigin="7229,-6709" coordsize="1617,0" path="m7229,-6709l8845,-6709e" filled="false" stroked="true" strokeweight=".96002pt" strokecolor="#000000">
                <v:path arrowok="t"/>
              </v:shape>
            </v:group>
            <v:group style="position:absolute;left:8845;top:-6709;width:1749;height:2" coordorigin="8845,-6709" coordsize="1749,2">
              <v:shape style="position:absolute;left:8845;top:-6709;width:1749;height:2" coordorigin="8845,-6709" coordsize="1749,0" path="m8845,-6709l10594,-6709e" filled="false" stroked="true" strokeweight=".96002pt" strokecolor="#000000">
                <v:path arrowok="t"/>
              </v:shape>
              <v:shape style="position:absolute;left:2230;top:-6699;width:8377;height:6342" type="#_x0000_t75" stroked="false">
                <v:imagedata r:id="rId154" o:title=""/>
              </v:shape>
              <v:shape style="position:absolute;left:7718;top:-6489;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本期发生额</w:t>
                      </w:r>
                      <w:r>
                        <w:rPr>
                          <w:rFonts w:ascii="宋体" w:hAnsi="宋体" w:cs="宋体" w:eastAsia="宋体" w:hint="default"/>
                          <w:sz w:val="13"/>
                          <w:szCs w:val="13"/>
                        </w:rPr>
                      </w:r>
                    </w:p>
                  </w:txbxContent>
                </v:textbox>
                <w10:wrap type="none"/>
              </v:shape>
              <v:shape style="position:absolute;left:9402;top:-6489;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上期发生额</w:t>
                      </w:r>
                      <w:r>
                        <w:rPr>
                          <w:rFonts w:ascii="宋体" w:hAnsi="宋体" w:cs="宋体" w:eastAsia="宋体" w:hint="default"/>
                          <w:sz w:val="13"/>
                          <w:szCs w:val="13"/>
                        </w:rPr>
                      </w:r>
                    </w:p>
                  </w:txbxContent>
                </v:textbox>
                <w10:wrap type="none"/>
              </v:shape>
              <v:shape style="position:absolute;left:3436;top:-6315;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关联交易类</w:t>
                      </w:r>
                      <w:r>
                        <w:rPr>
                          <w:rFonts w:ascii="宋体" w:hAnsi="宋体" w:cs="宋体" w:eastAsia="宋体" w:hint="default"/>
                          <w:sz w:val="13"/>
                          <w:szCs w:val="13"/>
                        </w:rPr>
                      </w:r>
                    </w:p>
                  </w:txbxContent>
                </v:textbox>
                <w10:wrap type="none"/>
              </v:shape>
              <v:shape style="position:absolute;left:5698;top:-6315;width:143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关联交易定价方式及决策</w:t>
                      </w:r>
                      <w:r>
                        <w:rPr>
                          <w:rFonts w:ascii="宋体" w:hAnsi="宋体" w:cs="宋体" w:eastAsia="宋体" w:hint="default"/>
                          <w:sz w:val="13"/>
                          <w:szCs w:val="13"/>
                        </w:rPr>
                      </w:r>
                    </w:p>
                  </w:txbxContent>
                </v:textbox>
                <w10:wrap type="none"/>
              </v:shape>
              <v:shape style="position:absolute;left:2479;top:-6135;width:6306;height:146" type="#_x0000_t202" filled="false" stroked="false">
                <v:textbox inset="0,0,0,0">
                  <w:txbxContent>
                    <w:p>
                      <w:pPr>
                        <w:tabs>
                          <w:tab w:pos="1999" w:val="left" w:leader="none"/>
                          <w:tab w:pos="5656" w:val="left" w:leader="none"/>
                        </w:tabs>
                        <w:spacing w:line="145" w:lineRule="exact" w:before="0"/>
                        <w:ind w:left="0" w:right="0" w:firstLine="0"/>
                        <w:jc w:val="left"/>
                        <w:rPr>
                          <w:rFonts w:ascii="宋体" w:hAnsi="宋体" w:cs="宋体" w:eastAsia="宋体" w:hint="default"/>
                          <w:sz w:val="13"/>
                          <w:szCs w:val="13"/>
                        </w:rPr>
                      </w:pPr>
                      <w:r>
                        <w:rPr>
                          <w:rFonts w:ascii="宋体" w:hAnsi="宋体" w:cs="宋体" w:eastAsia="宋体" w:hint="default"/>
                          <w:w w:val="95"/>
                          <w:position w:val="2"/>
                          <w:sz w:val="13"/>
                          <w:szCs w:val="13"/>
                        </w:rPr>
                        <w:t>关联方名称</w:t>
                        <w:tab/>
                        <w:t>关联交易内容</w:t>
                        <w:tab/>
                      </w:r>
                      <w:r>
                        <w:rPr>
                          <w:rFonts w:ascii="宋体" w:hAnsi="宋体" w:cs="宋体" w:eastAsia="宋体" w:hint="default"/>
                          <w:w w:val="95"/>
                          <w:sz w:val="13"/>
                          <w:szCs w:val="13"/>
                        </w:rPr>
                        <w:t>占同类交易</w:t>
                      </w:r>
                      <w:r>
                        <w:rPr>
                          <w:rFonts w:ascii="宋体" w:hAnsi="宋体" w:cs="宋体" w:eastAsia="宋体" w:hint="default"/>
                          <w:sz w:val="13"/>
                          <w:szCs w:val="13"/>
                        </w:rPr>
                      </w:r>
                    </w:p>
                  </w:txbxContent>
                </v:textbox>
                <w10:wrap type="none"/>
              </v:shape>
              <v:shape style="position:absolute;left:9850;top:-6119;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占同类交易</w:t>
                      </w:r>
                      <w:r>
                        <w:rPr>
                          <w:rFonts w:ascii="宋体" w:hAnsi="宋体" w:cs="宋体" w:eastAsia="宋体" w:hint="default"/>
                          <w:sz w:val="13"/>
                          <w:szCs w:val="13"/>
                        </w:rPr>
                      </w:r>
                    </w:p>
                  </w:txbxContent>
                </v:textbox>
                <w10:wrap type="none"/>
              </v:shape>
              <v:shape style="position:absolute;left:3696;top:-5955;width:6706;height:333" type="#_x0000_t202" filled="false" stroked="false">
                <v:textbox inset="0,0,0,0">
                  <w:txbxContent>
                    <w:p>
                      <w:pPr>
                        <w:tabs>
                          <w:tab w:pos="2587" w:val="left" w:leader="none"/>
                          <w:tab w:pos="3826" w:val="left" w:leader="none"/>
                          <w:tab w:pos="5473" w:val="left" w:leader="none"/>
                        </w:tabs>
                        <w:spacing w:line="145" w:lineRule="exact" w:before="0"/>
                        <w:ind w:left="0" w:right="0" w:firstLine="0"/>
                        <w:jc w:val="left"/>
                        <w:rPr>
                          <w:rFonts w:ascii="宋体" w:hAnsi="宋体" w:cs="宋体" w:eastAsia="宋体" w:hint="default"/>
                          <w:sz w:val="13"/>
                          <w:szCs w:val="13"/>
                        </w:rPr>
                      </w:pPr>
                      <w:r>
                        <w:rPr>
                          <w:rFonts w:ascii="宋体" w:hAnsi="宋体" w:cs="宋体" w:eastAsia="宋体" w:hint="default"/>
                          <w:w w:val="95"/>
                          <w:position w:val="2"/>
                          <w:sz w:val="13"/>
                          <w:szCs w:val="13"/>
                        </w:rPr>
                        <w:t>型</w:t>
                        <w:tab/>
                        <w:t>程序</w:t>
                        <w:tab/>
                      </w:r>
                      <w:r>
                        <w:rPr>
                          <w:rFonts w:ascii="宋体" w:hAnsi="宋体" w:cs="宋体" w:eastAsia="宋体" w:hint="default"/>
                          <w:w w:val="95"/>
                          <w:sz w:val="13"/>
                          <w:szCs w:val="13"/>
                        </w:rPr>
                        <w:t>金额</w:t>
                        <w:tab/>
                      </w:r>
                      <w:r>
                        <w:rPr>
                          <w:rFonts w:ascii="宋体" w:hAnsi="宋体" w:cs="宋体" w:eastAsia="宋体" w:hint="default"/>
                          <w:sz w:val="13"/>
                          <w:szCs w:val="13"/>
                        </w:rPr>
                        <w:t>金额</w:t>
                      </w:r>
                    </w:p>
                    <w:p>
                      <w:pPr>
                        <w:tabs>
                          <w:tab w:pos="1713" w:val="left" w:leader="none"/>
                        </w:tabs>
                        <w:spacing w:line="177" w:lineRule="exact" w:before="10"/>
                        <w:ind w:left="0" w:right="0" w:firstLine="0"/>
                        <w:jc w:val="right"/>
                        <w:rPr>
                          <w:rFonts w:ascii="Times New Roman" w:hAnsi="Times New Roman" w:cs="Times New Roman" w:eastAsia="Times New Roman" w:hint="default"/>
                          <w:sz w:val="13"/>
                          <w:szCs w:val="13"/>
                        </w:rPr>
                      </w:pPr>
                      <w:r>
                        <w:rPr>
                          <w:rFonts w:ascii="宋体" w:hAnsi="宋体" w:cs="宋体" w:eastAsia="宋体" w:hint="default"/>
                          <w:w w:val="95"/>
                          <w:sz w:val="13"/>
                          <w:szCs w:val="13"/>
                        </w:rPr>
                        <w:t>比例</w:t>
                      </w:r>
                      <w:r>
                        <w:rPr>
                          <w:rFonts w:ascii="Times New Roman" w:hAnsi="Times New Roman" w:cs="Times New Roman" w:eastAsia="Times New Roman" w:hint="default"/>
                          <w:w w:val="95"/>
                          <w:sz w:val="13"/>
                          <w:szCs w:val="13"/>
                        </w:rPr>
                        <w:t>(%)</w:t>
                        <w:tab/>
                      </w:r>
                      <w:r>
                        <w:rPr>
                          <w:rFonts w:ascii="宋体" w:hAnsi="宋体" w:cs="宋体" w:eastAsia="宋体" w:hint="default"/>
                          <w:w w:val="95"/>
                          <w:sz w:val="13"/>
                          <w:szCs w:val="13"/>
                        </w:rPr>
                        <w:t>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xbxContent>
                </v:textbox>
                <w10:wrap type="none"/>
              </v:shape>
            </v:group>
            <w10:wrap type="none"/>
          </v:group>
        </w:pict>
      </w: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tab/>
        <w:t>本报告期无关联托管情况</w:t>
      </w:r>
    </w:p>
    <w:p>
      <w:pPr>
        <w:spacing w:line="240" w:lineRule="auto" w:before="10"/>
        <w:rPr>
          <w:rFonts w:ascii="宋体" w:hAnsi="宋体" w:cs="宋体" w:eastAsia="宋体" w:hint="default"/>
          <w:sz w:val="29"/>
          <w:szCs w:val="29"/>
        </w:rPr>
      </w:pPr>
    </w:p>
    <w:p>
      <w:pPr>
        <w:tabs>
          <w:tab w:pos="1413"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sz w:val="21"/>
          <w:szCs w:val="21"/>
        </w:rPr>
        <w:t>、</w:t>
        <w:tab/>
        <w:t>本报告期无关联承包情况</w:t>
      </w:r>
    </w:p>
    <w:p>
      <w:pPr>
        <w:spacing w:line="240" w:lineRule="auto" w:before="10"/>
        <w:rPr>
          <w:rFonts w:ascii="宋体" w:hAnsi="宋体" w:cs="宋体" w:eastAsia="宋体" w:hint="default"/>
          <w:sz w:val="29"/>
          <w:szCs w:val="29"/>
        </w:rPr>
      </w:pPr>
    </w:p>
    <w:p>
      <w:pPr>
        <w:tabs>
          <w:tab w:pos="1413"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sz w:val="21"/>
          <w:szCs w:val="21"/>
        </w:rPr>
        <w:t>、</w:t>
        <w:tab/>
        <w:t>关联租赁情况</w:t>
      </w:r>
    </w:p>
    <w:p>
      <w:pPr>
        <w:spacing w:line="2790" w:lineRule="exact"/>
        <w:ind w:left="725" w:right="0" w:firstLine="0"/>
        <w:rPr>
          <w:rFonts w:ascii="宋体" w:hAnsi="宋体" w:cs="宋体" w:eastAsia="宋体" w:hint="default"/>
          <w:sz w:val="20"/>
          <w:szCs w:val="20"/>
        </w:rPr>
      </w:pPr>
      <w:r>
        <w:rPr>
          <w:rFonts w:ascii="宋体" w:hAnsi="宋体" w:cs="宋体" w:eastAsia="宋体" w:hint="default"/>
          <w:position w:val="-55"/>
          <w:sz w:val="20"/>
          <w:szCs w:val="20"/>
        </w:rPr>
        <w:pict>
          <v:group style="width:421.95pt;height:139.5pt;mso-position-horizontal-relative:char;mso-position-vertical-relative:line" coordorigin="0,0" coordsize="8439,2790">
            <v:group style="position:absolute;left:24;top:10;width:1248;height:2" coordorigin="24,10" coordsize="1248,2">
              <v:shape style="position:absolute;left:24;top:10;width:1248;height:2" coordorigin="24,10" coordsize="1248,0" path="m24,10l1272,10e" filled="false" stroked="true" strokeweight=".95999pt" strokecolor="#000000">
                <v:path arrowok="t"/>
              </v:shape>
            </v:group>
            <v:group style="position:absolute;left:1272;top:10;width:920;height:2" coordorigin="1272,10" coordsize="920,2">
              <v:shape style="position:absolute;left:1272;top:10;width:920;height:2" coordorigin="1272,10" coordsize="920,0" path="m1272,10l2191,10e" filled="false" stroked="true" strokeweight=".95999pt" strokecolor="#000000">
                <v:path arrowok="t"/>
              </v:shape>
            </v:group>
            <v:group style="position:absolute;left:2191;top:10;width:624;height:2" coordorigin="2191,10" coordsize="624,2">
              <v:shape style="position:absolute;left:2191;top:10;width:624;height:2" coordorigin="2191,10" coordsize="624,0" path="m2191,10l2815,10e" filled="false" stroked="true" strokeweight=".95999pt" strokecolor="#000000">
                <v:path arrowok="t"/>
              </v:shape>
            </v:group>
            <v:group style="position:absolute;left:2815;top:10;width:830;height:2" coordorigin="2815,10" coordsize="830,2">
              <v:shape style="position:absolute;left:2815;top:10;width:830;height:2" coordorigin="2815,10" coordsize="830,0" path="m2815,10l3644,10e" filled="false" stroked="true" strokeweight=".95999pt" strokecolor="#000000">
                <v:path arrowok="t"/>
              </v:shape>
            </v:group>
            <v:group style="position:absolute;left:3644;top:10;width:864;height:2" coordorigin="3644,10" coordsize="864,2">
              <v:shape style="position:absolute;left:3644;top:10;width:864;height:2" coordorigin="3644,10" coordsize="864,0" path="m3644,10l4508,10e" filled="false" stroked="true" strokeweight=".95999pt" strokecolor="#000000">
                <v:path arrowok="t"/>
              </v:shape>
            </v:group>
            <v:group style="position:absolute;left:4508;top:10;width:915;height:2" coordorigin="4508,10" coordsize="915,2">
              <v:shape style="position:absolute;left:4508;top:10;width:915;height:2" coordorigin="4508,10" coordsize="915,0" path="m4508,10l5423,10e" filled="false" stroked="true" strokeweight=".95999pt" strokecolor="#000000">
                <v:path arrowok="t"/>
              </v:shape>
            </v:group>
            <v:group style="position:absolute;left:5423;top:10;width:788;height:2" coordorigin="5423,10" coordsize="788,2">
              <v:shape style="position:absolute;left:5423;top:10;width:788;height:2" coordorigin="5423,10" coordsize="788,0" path="m5423,10l6210,10e" filled="false" stroked="true" strokeweight=".95999pt" strokecolor="#000000">
                <v:path arrowok="t"/>
              </v:shape>
            </v:group>
            <v:group style="position:absolute;left:6210;top:10;width:760;height:2" coordorigin="6210,10" coordsize="760,2">
              <v:shape style="position:absolute;left:6210;top:10;width:760;height:2" coordorigin="6210,10" coordsize="760,0" path="m6210,10l6970,10e" filled="false" stroked="true" strokeweight=".95999pt" strokecolor="#000000">
                <v:path arrowok="t"/>
              </v:shape>
            </v:group>
            <v:group style="position:absolute;left:6970;top:10;width:1452;height:2" coordorigin="6970,10" coordsize="1452,2">
              <v:shape style="position:absolute;left:6970;top:10;width:1452;height:2" coordorigin="6970,10" coordsize="1452,0" path="m6970,10l8422,10e" filled="false" stroked="true" strokeweight=".95999pt" strokecolor="#000000">
                <v:path arrowok="t"/>
              </v:shape>
            </v:group>
            <v:group style="position:absolute;left:10;top:2780;width:1263;height:2" coordorigin="10,2780" coordsize="1263,2">
              <v:shape style="position:absolute;left:10;top:2780;width:1263;height:2" coordorigin="10,2780" coordsize="1263,0" path="m10,2780l1272,2780e" filled="false" stroked="true" strokeweight=".96001pt" strokecolor="#000000">
                <v:path arrowok="t"/>
              </v:shape>
            </v:group>
            <v:group style="position:absolute;left:1272;top:2780;width:920;height:2" coordorigin="1272,2780" coordsize="920,2">
              <v:shape style="position:absolute;left:1272;top:2780;width:920;height:2" coordorigin="1272,2780" coordsize="920,0" path="m1272,2780l2191,2780e" filled="false" stroked="true" strokeweight=".96001pt" strokecolor="#000000">
                <v:path arrowok="t"/>
              </v:shape>
            </v:group>
            <v:group style="position:absolute;left:2191;top:2780;width:624;height:2" coordorigin="2191,2780" coordsize="624,2">
              <v:shape style="position:absolute;left:2191;top:2780;width:624;height:2" coordorigin="2191,2780" coordsize="624,0" path="m2191,2780l2815,2780e" filled="false" stroked="true" strokeweight=".96001pt" strokecolor="#000000">
                <v:path arrowok="t"/>
              </v:shape>
            </v:group>
            <v:group style="position:absolute;left:2815;top:2780;width:830;height:2" coordorigin="2815,2780" coordsize="830,2">
              <v:shape style="position:absolute;left:2815;top:2780;width:830;height:2" coordorigin="2815,2780" coordsize="830,0" path="m2815,2780l3644,2780e" filled="false" stroked="true" strokeweight=".96001pt" strokecolor="#000000">
                <v:path arrowok="t"/>
              </v:shape>
            </v:group>
            <v:group style="position:absolute;left:3644;top:2780;width:864;height:2" coordorigin="3644,2780" coordsize="864,2">
              <v:shape style="position:absolute;left:3644;top:2780;width:864;height:2" coordorigin="3644,2780" coordsize="864,0" path="m3644,2780l4508,2780e" filled="false" stroked="true" strokeweight=".96001pt" strokecolor="#000000">
                <v:path arrowok="t"/>
              </v:shape>
            </v:group>
            <v:group style="position:absolute;left:4508;top:2780;width:915;height:2" coordorigin="4508,2780" coordsize="915,2">
              <v:shape style="position:absolute;left:4508;top:2780;width:915;height:2" coordorigin="4508,2780" coordsize="915,0" path="m4508,2780l5423,2780e" filled="false" stroked="true" strokeweight=".96001pt" strokecolor="#000000">
                <v:path arrowok="t"/>
              </v:shape>
            </v:group>
            <v:group style="position:absolute;left:5423;top:2780;width:788;height:2" coordorigin="5423,2780" coordsize="788,2">
              <v:shape style="position:absolute;left:5423;top:2780;width:788;height:2" coordorigin="5423,2780" coordsize="788,0" path="m5423,2780l6210,2780e" filled="false" stroked="true" strokeweight=".96001pt" strokecolor="#000000">
                <v:path arrowok="t"/>
              </v:shape>
            </v:group>
            <v:group style="position:absolute;left:6210;top:2780;width:760;height:2" coordorigin="6210,2780" coordsize="760,2">
              <v:shape style="position:absolute;left:6210;top:2780;width:760;height:2" coordorigin="6210,2780" coordsize="760,0" path="m6210,2780l6970,2780e" filled="false" stroked="true" strokeweight=".96001pt" strokecolor="#000000">
                <v:path arrowok="t"/>
              </v:shape>
              <v:shape style="position:absolute;left:24;top:19;width:8410;height:2752" type="#_x0000_t75" stroked="false">
                <v:imagedata r:id="rId155" o:title=""/>
              </v:shape>
            </v:group>
            <v:group style="position:absolute;left:6970;top:2780;width:1460;height:2" coordorigin="6970,2780" coordsize="1460,2">
              <v:shape style="position:absolute;left:6970;top:2780;width:1460;height:2" coordorigin="6970,2780" coordsize="1460,0" path="m6970,2780l8429,2780e" filled="false" stroked="true" strokeweight=".96001pt" strokecolor="#000000">
                <v:path arrowok="t"/>
              </v:shape>
              <v:shape style="position:absolute;left:2312;top:209;width:1247;height:130" type="#_x0000_t202" filled="false" stroked="false">
                <v:textbox inset="0,0,0,0">
                  <w:txbxContent>
                    <w:p>
                      <w:pPr>
                        <w:tabs>
                          <w:tab w:pos="597"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租赁资</w:t>
                        <w:tab/>
                        <w:t>租赁资产涉</w:t>
                      </w:r>
                      <w:r>
                        <w:rPr>
                          <w:rFonts w:ascii="宋体" w:hAnsi="宋体" w:cs="宋体" w:eastAsia="宋体" w:hint="default"/>
                          <w:sz w:val="13"/>
                          <w:szCs w:val="13"/>
                        </w:rPr>
                      </w:r>
                    </w:p>
                  </w:txbxContent>
                </v:textbox>
                <w10:wrap type="none"/>
              </v:shape>
              <v:shape style="position:absolute;left:6270;top:209;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租赁收益确</w:t>
                      </w:r>
                      <w:r>
                        <w:rPr>
                          <w:rFonts w:ascii="宋体" w:hAnsi="宋体" w:cs="宋体" w:eastAsia="宋体" w:hint="default"/>
                          <w:sz w:val="13"/>
                          <w:szCs w:val="13"/>
                        </w:rPr>
                      </w:r>
                    </w:p>
                  </w:txbxContent>
                </v:textbox>
                <w10:wrap type="none"/>
              </v:shape>
              <v:shape style="position:absolute;left:132;top:378;width:8188;height:2370" type="#_x0000_t202" filled="false" stroked="false">
                <v:textbox inset="0,0,0,0">
                  <w:txbxContent>
                    <w:p>
                      <w:pPr>
                        <w:tabs>
                          <w:tab w:pos="1279" w:val="left" w:leader="none"/>
                          <w:tab w:pos="3623" w:val="left" w:leader="none"/>
                          <w:tab w:pos="4513" w:val="left" w:leader="none"/>
                          <w:tab w:pos="5429" w:val="left" w:leader="none"/>
                          <w:tab w:pos="6983" w:val="left" w:leader="none"/>
                        </w:tabs>
                        <w:spacing w:line="130" w:lineRule="exact" w:before="0"/>
                        <w:ind w:left="193" w:right="0" w:firstLine="0"/>
                        <w:jc w:val="left"/>
                        <w:rPr>
                          <w:rFonts w:ascii="宋体" w:hAnsi="宋体" w:cs="宋体" w:eastAsia="宋体" w:hint="default"/>
                          <w:sz w:val="13"/>
                          <w:szCs w:val="13"/>
                        </w:rPr>
                      </w:pPr>
                      <w:r>
                        <w:rPr>
                          <w:rFonts w:ascii="宋体" w:hAnsi="宋体" w:cs="宋体" w:eastAsia="宋体" w:hint="default"/>
                          <w:w w:val="95"/>
                          <w:sz w:val="13"/>
                          <w:szCs w:val="13"/>
                        </w:rPr>
                        <w:t>出租方名称</w:t>
                        <w:tab/>
                        <w:t>承租方名称</w:t>
                        <w:tab/>
                        <w:t>租赁起始日</w:t>
                        <w:tab/>
                        <w:t>租赁终止日</w:t>
                        <w:tab/>
                        <w:t>租赁收益</w:t>
                        <w:tab/>
                      </w:r>
                      <w:r>
                        <w:rPr>
                          <w:rFonts w:ascii="宋体" w:hAnsi="宋体" w:cs="宋体" w:eastAsia="宋体" w:hint="default"/>
                          <w:sz w:val="13"/>
                          <w:szCs w:val="13"/>
                        </w:rPr>
                        <w:t>租赁收益对公司影响</w:t>
                      </w:r>
                    </w:p>
                    <w:p>
                      <w:pPr>
                        <w:tabs>
                          <w:tab w:pos="2908" w:val="left" w:leader="none"/>
                          <w:tab w:pos="6268" w:val="left" w:leader="none"/>
                        </w:tabs>
                        <w:spacing w:before="0"/>
                        <w:ind w:left="2181" w:right="0" w:firstLine="0"/>
                        <w:jc w:val="left"/>
                        <w:rPr>
                          <w:rFonts w:ascii="宋体" w:hAnsi="宋体" w:cs="宋体" w:eastAsia="宋体" w:hint="default"/>
                          <w:sz w:val="13"/>
                          <w:szCs w:val="13"/>
                        </w:rPr>
                      </w:pPr>
                      <w:r>
                        <w:rPr>
                          <w:rFonts w:ascii="宋体" w:hAnsi="宋体" w:cs="宋体" w:eastAsia="宋体" w:hint="default"/>
                          <w:w w:val="95"/>
                          <w:sz w:val="13"/>
                          <w:szCs w:val="13"/>
                        </w:rPr>
                        <w:t>产情况</w:t>
                        <w:tab/>
                        <w:t>及金额</w:t>
                        <w:tab/>
                      </w:r>
                      <w:r>
                        <w:rPr>
                          <w:rFonts w:ascii="宋体" w:hAnsi="宋体" w:cs="宋体" w:eastAsia="宋体" w:hint="default"/>
                          <w:sz w:val="13"/>
                          <w:szCs w:val="13"/>
                        </w:rPr>
                        <w:t>认依据</w:t>
                      </w:r>
                    </w:p>
                    <w:p>
                      <w:pPr>
                        <w:spacing w:line="240" w:lineRule="auto" w:before="9"/>
                        <w:rPr>
                          <w:rFonts w:ascii="宋体" w:hAnsi="宋体" w:cs="宋体" w:eastAsia="宋体" w:hint="default"/>
                          <w:sz w:val="13"/>
                          <w:szCs w:val="13"/>
                        </w:rPr>
                      </w:pPr>
                    </w:p>
                    <w:p>
                      <w:pPr>
                        <w:spacing w:line="169" w:lineRule="exact" w:before="0"/>
                        <w:ind w:left="0" w:right="0" w:firstLine="0"/>
                        <w:jc w:val="left"/>
                        <w:rPr>
                          <w:rFonts w:ascii="宋体" w:hAnsi="宋体" w:cs="宋体" w:eastAsia="宋体" w:hint="default"/>
                          <w:sz w:val="13"/>
                          <w:szCs w:val="13"/>
                        </w:rPr>
                      </w:pPr>
                      <w:r>
                        <w:rPr>
                          <w:rFonts w:ascii="宋体" w:hAnsi="宋体" w:cs="宋体" w:eastAsia="宋体" w:hint="default"/>
                          <w:spacing w:val="17"/>
                          <w:sz w:val="13"/>
                          <w:szCs w:val="13"/>
                        </w:rPr>
                        <w:t>沈阳东软医疗</w:t>
                      </w:r>
                      <w:r>
                        <w:rPr>
                          <w:rFonts w:ascii="宋体" w:hAnsi="宋体" w:cs="宋体" w:eastAsia="宋体" w:hint="default"/>
                          <w:spacing w:val="-46"/>
                          <w:sz w:val="13"/>
                          <w:szCs w:val="13"/>
                        </w:rPr>
                        <w:t> </w:t>
                      </w:r>
                      <w:r>
                        <w:rPr>
                          <w:rFonts w:ascii="宋体" w:hAnsi="宋体" w:cs="宋体" w:eastAsia="宋体" w:hint="default"/>
                          <w:sz w:val="13"/>
                          <w:szCs w:val="13"/>
                        </w:rPr>
                        <w:t>系</w:t>
                      </w:r>
                    </w:p>
                    <w:p>
                      <w:pPr>
                        <w:tabs>
                          <w:tab w:pos="2246" w:val="left" w:leader="none"/>
                          <w:tab w:pos="2827" w:val="left" w:leader="none"/>
                          <w:tab w:pos="3689" w:val="left" w:leader="none"/>
                          <w:tab w:pos="4604" w:val="left" w:leader="none"/>
                          <w:tab w:pos="5456" w:val="left" w:leader="none"/>
                          <w:tab w:pos="6202" w:val="left" w:leader="none"/>
                          <w:tab w:pos="6975" w:val="left" w:leader="none"/>
                        </w:tabs>
                        <w:spacing w:line="180" w:lineRule="exact" w:before="0"/>
                        <w:ind w:left="1252" w:right="0" w:firstLine="0"/>
                        <w:jc w:val="left"/>
                        <w:rPr>
                          <w:rFonts w:ascii="宋体" w:hAnsi="宋体" w:cs="宋体" w:eastAsia="宋体" w:hint="default"/>
                          <w:sz w:val="13"/>
                          <w:szCs w:val="13"/>
                        </w:rPr>
                      </w:pPr>
                      <w:r>
                        <w:rPr>
                          <w:rFonts w:ascii="宋体" w:hAnsi="宋体" w:cs="宋体" w:eastAsia="宋体" w:hint="default"/>
                          <w:w w:val="95"/>
                          <w:position w:val="1"/>
                          <w:sz w:val="13"/>
                          <w:szCs w:val="13"/>
                        </w:rPr>
                        <w:t>东软飞利浦</w:t>
                        <w:tab/>
                        <w:t>房屋</w:t>
                        <w:tab/>
                      </w:r>
                      <w:r>
                        <w:rPr>
                          <w:rFonts w:ascii="Times New Roman" w:hAnsi="Times New Roman" w:cs="Times New Roman" w:eastAsia="Times New Roman" w:hint="default"/>
                          <w:w w:val="95"/>
                          <w:sz w:val="13"/>
                          <w:szCs w:val="13"/>
                        </w:rPr>
                        <w:t>23,698,283</w:t>
                        <w:tab/>
                        <w:t>2009.01.01</w:t>
                        <w:tab/>
                        <w:t>2009.12.31</w:t>
                        <w:tab/>
                        <w:t>5,177,833</w:t>
                        <w:tab/>
                      </w:r>
                      <w:r>
                        <w:rPr>
                          <w:rFonts w:ascii="宋体" w:hAnsi="宋体" w:cs="宋体" w:eastAsia="宋体" w:hint="default"/>
                          <w:w w:val="95"/>
                          <w:position w:val="1"/>
                          <w:sz w:val="13"/>
                          <w:szCs w:val="13"/>
                        </w:rPr>
                        <w:t>租赁合同</w:t>
                        <w:tab/>
                      </w:r>
                      <w:r>
                        <w:rPr>
                          <w:rFonts w:ascii="Times New Roman" w:hAnsi="Times New Roman" w:cs="Times New Roman" w:eastAsia="Times New Roman" w:hint="default"/>
                          <w:w w:val="95"/>
                          <w:position w:val="1"/>
                          <w:sz w:val="13"/>
                          <w:szCs w:val="13"/>
                        </w:rPr>
                        <w:t>100%</w:t>
                      </w:r>
                      <w:r>
                        <w:rPr>
                          <w:rFonts w:ascii="宋体" w:hAnsi="宋体" w:cs="宋体" w:eastAsia="宋体" w:hint="default"/>
                          <w:w w:val="95"/>
                          <w:position w:val="1"/>
                          <w:sz w:val="13"/>
                          <w:szCs w:val="13"/>
                        </w:rPr>
                        <w:t>确认为租赁收入</w:t>
                      </w:r>
                      <w:r>
                        <w:rPr>
                          <w:rFonts w:ascii="宋体" w:hAnsi="宋体" w:cs="宋体" w:eastAsia="宋体" w:hint="default"/>
                          <w:sz w:val="13"/>
                          <w:szCs w:val="13"/>
                        </w:rPr>
                      </w:r>
                    </w:p>
                    <w:p>
                      <w:pPr>
                        <w:spacing w:line="161"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统有限公司</w:t>
                      </w:r>
                    </w:p>
                    <w:p>
                      <w:pPr>
                        <w:spacing w:line="240" w:lineRule="auto" w:before="9"/>
                        <w:rPr>
                          <w:rFonts w:ascii="宋体" w:hAnsi="宋体" w:cs="宋体" w:eastAsia="宋体" w:hint="default"/>
                          <w:sz w:val="13"/>
                          <w:szCs w:val="13"/>
                        </w:rPr>
                      </w:pPr>
                    </w:p>
                    <w:p>
                      <w:pPr>
                        <w:spacing w:line="169" w:lineRule="exact" w:before="0"/>
                        <w:ind w:left="0" w:right="0" w:firstLine="0"/>
                        <w:jc w:val="left"/>
                        <w:rPr>
                          <w:rFonts w:ascii="宋体" w:hAnsi="宋体" w:cs="宋体" w:eastAsia="宋体" w:hint="default"/>
                          <w:sz w:val="13"/>
                          <w:szCs w:val="13"/>
                        </w:rPr>
                      </w:pPr>
                      <w:r>
                        <w:rPr>
                          <w:rFonts w:ascii="宋体" w:hAnsi="宋体" w:cs="宋体" w:eastAsia="宋体" w:hint="default"/>
                          <w:spacing w:val="17"/>
                          <w:sz w:val="13"/>
                          <w:szCs w:val="13"/>
                        </w:rPr>
                        <w:t>东软集团股份</w:t>
                      </w:r>
                      <w:r>
                        <w:rPr>
                          <w:rFonts w:ascii="宋体" w:hAnsi="宋体" w:cs="宋体" w:eastAsia="宋体" w:hint="default"/>
                          <w:spacing w:val="-46"/>
                          <w:sz w:val="13"/>
                          <w:szCs w:val="13"/>
                        </w:rPr>
                        <w:t> </w:t>
                      </w:r>
                      <w:r>
                        <w:rPr>
                          <w:rFonts w:ascii="宋体" w:hAnsi="宋体" w:cs="宋体" w:eastAsia="宋体" w:hint="default"/>
                          <w:sz w:val="13"/>
                          <w:szCs w:val="13"/>
                        </w:rPr>
                        <w:t>有</w:t>
                      </w:r>
                    </w:p>
                    <w:p>
                      <w:pPr>
                        <w:tabs>
                          <w:tab w:pos="2246" w:val="left" w:leader="none"/>
                          <w:tab w:pos="2827" w:val="left" w:leader="none"/>
                          <w:tab w:pos="3689" w:val="left" w:leader="none"/>
                          <w:tab w:pos="4604" w:val="left" w:leader="none"/>
                          <w:tab w:pos="5456" w:val="left" w:leader="none"/>
                          <w:tab w:pos="6202" w:val="left" w:leader="none"/>
                          <w:tab w:pos="6975" w:val="left" w:leader="none"/>
                        </w:tabs>
                        <w:spacing w:line="180" w:lineRule="exact" w:before="0"/>
                        <w:ind w:left="1252" w:right="0" w:firstLine="0"/>
                        <w:jc w:val="left"/>
                        <w:rPr>
                          <w:rFonts w:ascii="宋体" w:hAnsi="宋体" w:cs="宋体" w:eastAsia="宋体" w:hint="default"/>
                          <w:sz w:val="13"/>
                          <w:szCs w:val="13"/>
                        </w:rPr>
                      </w:pPr>
                      <w:r>
                        <w:rPr>
                          <w:rFonts w:ascii="宋体" w:hAnsi="宋体" w:cs="宋体" w:eastAsia="宋体" w:hint="default"/>
                          <w:w w:val="95"/>
                          <w:position w:val="1"/>
                          <w:sz w:val="13"/>
                          <w:szCs w:val="13"/>
                        </w:rPr>
                        <w:t>东软飞利浦</w:t>
                        <w:tab/>
                        <w:t>房屋</w:t>
                        <w:tab/>
                      </w:r>
                      <w:r>
                        <w:rPr>
                          <w:rFonts w:ascii="Times New Roman" w:hAnsi="Times New Roman" w:cs="Times New Roman" w:eastAsia="Times New Roman" w:hint="default"/>
                          <w:w w:val="95"/>
                          <w:sz w:val="13"/>
                          <w:szCs w:val="13"/>
                        </w:rPr>
                        <w:t>35,392,721</w:t>
                        <w:tab/>
                        <w:t>2005.07.01</w:t>
                        <w:tab/>
                        <w:t>2012.08.31</w:t>
                        <w:tab/>
                        <w:t>7,562,184</w:t>
                        <w:tab/>
                      </w:r>
                      <w:r>
                        <w:rPr>
                          <w:rFonts w:ascii="宋体" w:hAnsi="宋体" w:cs="宋体" w:eastAsia="宋体" w:hint="default"/>
                          <w:w w:val="95"/>
                          <w:position w:val="1"/>
                          <w:sz w:val="13"/>
                          <w:szCs w:val="13"/>
                        </w:rPr>
                        <w:t>租赁合同</w:t>
                        <w:tab/>
                      </w:r>
                      <w:r>
                        <w:rPr>
                          <w:rFonts w:ascii="Times New Roman" w:hAnsi="Times New Roman" w:cs="Times New Roman" w:eastAsia="Times New Roman" w:hint="default"/>
                          <w:w w:val="95"/>
                          <w:position w:val="1"/>
                          <w:sz w:val="13"/>
                          <w:szCs w:val="13"/>
                        </w:rPr>
                        <w:t>100%</w:t>
                      </w:r>
                      <w:r>
                        <w:rPr>
                          <w:rFonts w:ascii="宋体" w:hAnsi="宋体" w:cs="宋体" w:eastAsia="宋体" w:hint="default"/>
                          <w:w w:val="95"/>
                          <w:position w:val="1"/>
                          <w:sz w:val="13"/>
                          <w:szCs w:val="13"/>
                        </w:rPr>
                        <w:t>确认为租赁收入</w:t>
                      </w:r>
                      <w:r>
                        <w:rPr>
                          <w:rFonts w:ascii="宋体" w:hAnsi="宋体" w:cs="宋体" w:eastAsia="宋体" w:hint="default"/>
                          <w:sz w:val="13"/>
                          <w:szCs w:val="13"/>
                        </w:rPr>
                      </w:r>
                    </w:p>
                    <w:p>
                      <w:pPr>
                        <w:spacing w:line="161"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限公司</w:t>
                      </w:r>
                    </w:p>
                    <w:p>
                      <w:pPr>
                        <w:spacing w:line="240" w:lineRule="auto" w:before="9"/>
                        <w:rPr>
                          <w:rFonts w:ascii="宋体" w:hAnsi="宋体" w:cs="宋体" w:eastAsia="宋体" w:hint="default"/>
                          <w:sz w:val="13"/>
                          <w:szCs w:val="13"/>
                        </w:rPr>
                      </w:pPr>
                    </w:p>
                    <w:p>
                      <w:pPr>
                        <w:spacing w:line="169" w:lineRule="exact" w:before="0"/>
                        <w:ind w:left="0" w:right="0" w:firstLine="0"/>
                        <w:jc w:val="left"/>
                        <w:rPr>
                          <w:rFonts w:ascii="宋体" w:hAnsi="宋体" w:cs="宋体" w:eastAsia="宋体" w:hint="default"/>
                          <w:sz w:val="13"/>
                          <w:szCs w:val="13"/>
                        </w:rPr>
                      </w:pPr>
                      <w:r>
                        <w:rPr>
                          <w:rFonts w:ascii="宋体" w:hAnsi="宋体" w:cs="宋体" w:eastAsia="宋体" w:hint="default"/>
                          <w:spacing w:val="8"/>
                          <w:sz w:val="13"/>
                          <w:szCs w:val="13"/>
                        </w:rPr>
                        <w:t>大连东软软件园产</w:t>
                      </w:r>
                      <w:r>
                        <w:rPr>
                          <w:rFonts w:ascii="宋体" w:hAnsi="宋体" w:cs="宋体" w:eastAsia="宋体" w:hint="default"/>
                          <w:sz w:val="13"/>
                          <w:szCs w:val="13"/>
                        </w:rPr>
                      </w:r>
                    </w:p>
                    <w:p>
                      <w:pPr>
                        <w:tabs>
                          <w:tab w:pos="2246" w:val="left" w:leader="none"/>
                          <w:tab w:pos="2891" w:val="left" w:leader="none"/>
                          <w:tab w:pos="3689" w:val="left" w:leader="none"/>
                          <w:tab w:pos="4604" w:val="left" w:leader="none"/>
                          <w:tab w:pos="5456" w:val="left" w:leader="none"/>
                          <w:tab w:pos="6202" w:val="left" w:leader="none"/>
                          <w:tab w:pos="6975" w:val="left" w:leader="none"/>
                        </w:tabs>
                        <w:spacing w:line="180" w:lineRule="exact" w:before="0"/>
                        <w:ind w:left="1252" w:right="0" w:firstLine="0"/>
                        <w:jc w:val="left"/>
                        <w:rPr>
                          <w:rFonts w:ascii="宋体" w:hAnsi="宋体" w:cs="宋体" w:eastAsia="宋体" w:hint="default"/>
                          <w:sz w:val="13"/>
                          <w:szCs w:val="13"/>
                        </w:rPr>
                      </w:pPr>
                      <w:r>
                        <w:rPr>
                          <w:rFonts w:ascii="宋体" w:hAnsi="宋体" w:cs="宋体" w:eastAsia="宋体" w:hint="default"/>
                          <w:w w:val="95"/>
                          <w:position w:val="1"/>
                          <w:sz w:val="13"/>
                          <w:szCs w:val="13"/>
                        </w:rPr>
                        <w:t>阿尔派中国</w:t>
                        <w:tab/>
                        <w:t>房屋</w:t>
                        <w:tab/>
                      </w:r>
                      <w:r>
                        <w:rPr>
                          <w:rFonts w:ascii="Times New Roman" w:hAnsi="Times New Roman" w:cs="Times New Roman" w:eastAsia="Times New Roman" w:hint="default"/>
                          <w:w w:val="95"/>
                          <w:sz w:val="13"/>
                          <w:szCs w:val="13"/>
                        </w:rPr>
                        <w:t>2,504,282</w:t>
                        <w:tab/>
                        <w:t>2009.01.01</w:t>
                        <w:tab/>
                        <w:t>2010,12.31</w:t>
                        <w:tab/>
                        <w:t>8,702,900</w:t>
                        <w:tab/>
                      </w:r>
                      <w:r>
                        <w:rPr>
                          <w:rFonts w:ascii="宋体" w:hAnsi="宋体" w:cs="宋体" w:eastAsia="宋体" w:hint="default"/>
                          <w:w w:val="95"/>
                          <w:position w:val="1"/>
                          <w:sz w:val="13"/>
                          <w:szCs w:val="13"/>
                        </w:rPr>
                        <w:t>租赁合同</w:t>
                        <w:tab/>
                      </w:r>
                      <w:r>
                        <w:rPr>
                          <w:rFonts w:ascii="Times New Roman" w:hAnsi="Times New Roman" w:cs="Times New Roman" w:eastAsia="Times New Roman" w:hint="default"/>
                          <w:w w:val="95"/>
                          <w:position w:val="1"/>
                          <w:sz w:val="13"/>
                          <w:szCs w:val="13"/>
                        </w:rPr>
                        <w:t>100%</w:t>
                      </w:r>
                      <w:r>
                        <w:rPr>
                          <w:rFonts w:ascii="宋体" w:hAnsi="宋体" w:cs="宋体" w:eastAsia="宋体" w:hint="default"/>
                          <w:w w:val="95"/>
                          <w:position w:val="1"/>
                          <w:sz w:val="13"/>
                          <w:szCs w:val="13"/>
                        </w:rPr>
                        <w:t>确认为租赁收入</w:t>
                      </w:r>
                      <w:r>
                        <w:rPr>
                          <w:rFonts w:ascii="宋体" w:hAnsi="宋体" w:cs="宋体" w:eastAsia="宋体" w:hint="default"/>
                          <w:sz w:val="13"/>
                          <w:szCs w:val="13"/>
                        </w:rPr>
                      </w:r>
                    </w:p>
                    <w:p>
                      <w:pPr>
                        <w:spacing w:line="161"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业发展有限公司</w:t>
                      </w:r>
                    </w:p>
                  </w:txbxContent>
                </v:textbox>
                <w10:wrap type="none"/>
              </v:shape>
            </v:group>
          </v:group>
        </w:pict>
      </w:r>
      <w:r>
        <w:rPr>
          <w:rFonts w:ascii="宋体" w:hAnsi="宋体" w:cs="宋体" w:eastAsia="宋体" w:hint="default"/>
          <w:position w:val="-55"/>
          <w:sz w:val="20"/>
          <w:szCs w:val="20"/>
        </w:rPr>
      </w:r>
    </w:p>
    <w:p>
      <w:pPr>
        <w:spacing w:line="240" w:lineRule="auto" w:before="13"/>
        <w:rPr>
          <w:rFonts w:ascii="宋体" w:hAnsi="宋体" w:cs="宋体" w:eastAsia="宋体" w:hint="default"/>
          <w:sz w:val="26"/>
          <w:szCs w:val="26"/>
        </w:rPr>
      </w:pPr>
    </w:p>
    <w:tbl>
      <w:tblPr>
        <w:tblW w:w="0" w:type="auto"/>
        <w:jc w:val="left"/>
        <w:tblInd w:w="749" w:type="dxa"/>
        <w:tblLayout w:type="fixed"/>
        <w:tblCellMar>
          <w:top w:w="0" w:type="dxa"/>
          <w:left w:w="0" w:type="dxa"/>
          <w:bottom w:w="0" w:type="dxa"/>
          <w:right w:w="0" w:type="dxa"/>
        </w:tblCellMar>
        <w:tblLook w:val="01E0"/>
      </w:tblPr>
      <w:tblGrid>
        <w:gridCol w:w="2002"/>
        <w:gridCol w:w="1469"/>
        <w:gridCol w:w="1091"/>
        <w:gridCol w:w="1042"/>
        <w:gridCol w:w="1068"/>
        <w:gridCol w:w="1757"/>
      </w:tblGrid>
      <w:tr>
        <w:trPr>
          <w:trHeight w:val="352" w:hRule="exact"/>
        </w:trPr>
        <w:tc>
          <w:tcPr>
            <w:tcW w:w="2002" w:type="dxa"/>
            <w:tcBorders>
              <w:top w:val="nil" w:sz="6" w:space="0" w:color="auto"/>
              <w:left w:val="nil" w:sz="6" w:space="0" w:color="auto"/>
              <w:bottom w:val="single" w:sz="8" w:space="0" w:color="000000"/>
              <w:right w:val="nil" w:sz="6" w:space="0" w:color="auto"/>
            </w:tcBorders>
          </w:tcPr>
          <w:p>
            <w:pPr>
              <w:pStyle w:val="TableParagraph"/>
              <w:tabs>
                <w:tab w:pos="663" w:val="left" w:leader="none"/>
              </w:tabs>
              <w:spacing w:line="240" w:lineRule="auto" w:before="35"/>
              <w:ind w:left="107"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sz w:val="21"/>
                <w:szCs w:val="21"/>
              </w:rPr>
              <w:t>、</w:t>
              <w:tab/>
              <w:t>关联担保情况</w:t>
            </w:r>
          </w:p>
        </w:tc>
        <w:tc>
          <w:tcPr>
            <w:tcW w:w="6426" w:type="dxa"/>
            <w:gridSpan w:val="5"/>
            <w:tcBorders>
              <w:top w:val="nil" w:sz="6" w:space="0" w:color="auto"/>
              <w:left w:val="nil" w:sz="6" w:space="0" w:color="auto"/>
              <w:bottom w:val="single" w:sz="8" w:space="0" w:color="000000"/>
              <w:right w:val="nil" w:sz="6" w:space="0" w:color="auto"/>
            </w:tcBorders>
          </w:tcPr>
          <w:p>
            <w:pPr/>
          </w:p>
        </w:tc>
      </w:tr>
      <w:tr>
        <w:trPr>
          <w:trHeight w:val="427" w:hRule="exact"/>
        </w:trPr>
        <w:tc>
          <w:tcPr>
            <w:tcW w:w="2002" w:type="dxa"/>
            <w:tcBorders>
              <w:top w:val="single" w:sz="8" w:space="0" w:color="000000"/>
              <w:left w:val="nil" w:sz="6" w:space="0" w:color="auto"/>
              <w:bottom w:val="nil" w:sz="6" w:space="0" w:color="auto"/>
              <w:right w:val="nil" w:sz="6" w:space="0" w:color="auto"/>
            </w:tcBorders>
          </w:tcPr>
          <w:p>
            <w:pPr>
              <w:pStyle w:val="TableParagraph"/>
              <w:spacing w:line="240" w:lineRule="auto" w:before="121"/>
              <w:ind w:right="32"/>
              <w:jc w:val="center"/>
              <w:rPr>
                <w:rFonts w:ascii="宋体" w:hAnsi="宋体" w:cs="宋体" w:eastAsia="宋体" w:hint="default"/>
                <w:sz w:val="15"/>
                <w:szCs w:val="15"/>
              </w:rPr>
            </w:pPr>
            <w:r>
              <w:rPr>
                <w:rFonts w:ascii="宋体" w:hAnsi="宋体" w:cs="宋体" w:eastAsia="宋体" w:hint="default"/>
                <w:sz w:val="15"/>
                <w:szCs w:val="15"/>
              </w:rPr>
              <w:t>担保方</w:t>
            </w:r>
          </w:p>
        </w:tc>
        <w:tc>
          <w:tcPr>
            <w:tcW w:w="1469" w:type="dxa"/>
            <w:tcBorders>
              <w:top w:val="single" w:sz="8" w:space="0" w:color="000000"/>
              <w:left w:val="nil" w:sz="6" w:space="0" w:color="auto"/>
              <w:bottom w:val="nil" w:sz="6" w:space="0" w:color="auto"/>
              <w:right w:val="nil" w:sz="6" w:space="0" w:color="auto"/>
            </w:tcBorders>
          </w:tcPr>
          <w:p>
            <w:pPr>
              <w:pStyle w:val="TableParagraph"/>
              <w:spacing w:line="240" w:lineRule="auto" w:before="121"/>
              <w:ind w:right="118"/>
              <w:jc w:val="center"/>
              <w:rPr>
                <w:rFonts w:ascii="宋体" w:hAnsi="宋体" w:cs="宋体" w:eastAsia="宋体" w:hint="default"/>
                <w:sz w:val="15"/>
                <w:szCs w:val="15"/>
              </w:rPr>
            </w:pPr>
            <w:r>
              <w:rPr>
                <w:rFonts w:ascii="宋体" w:hAnsi="宋体" w:cs="宋体" w:eastAsia="宋体" w:hint="default"/>
                <w:sz w:val="15"/>
                <w:szCs w:val="15"/>
              </w:rPr>
              <w:t>被担保方</w:t>
            </w:r>
          </w:p>
        </w:tc>
        <w:tc>
          <w:tcPr>
            <w:tcW w:w="1091" w:type="dxa"/>
            <w:tcBorders>
              <w:top w:val="single" w:sz="8" w:space="0" w:color="000000"/>
              <w:left w:val="nil" w:sz="6" w:space="0" w:color="auto"/>
              <w:bottom w:val="nil" w:sz="6" w:space="0" w:color="auto"/>
              <w:right w:val="nil" w:sz="6" w:space="0" w:color="auto"/>
            </w:tcBorders>
          </w:tcPr>
          <w:p>
            <w:pPr>
              <w:pStyle w:val="TableParagraph"/>
              <w:spacing w:line="240" w:lineRule="auto" w:before="121"/>
              <w:ind w:left="194" w:right="0"/>
              <w:jc w:val="left"/>
              <w:rPr>
                <w:rFonts w:ascii="宋体" w:hAnsi="宋体" w:cs="宋体" w:eastAsia="宋体" w:hint="default"/>
                <w:sz w:val="15"/>
                <w:szCs w:val="15"/>
              </w:rPr>
            </w:pPr>
            <w:r>
              <w:rPr>
                <w:rFonts w:ascii="宋体" w:hAnsi="宋体" w:cs="宋体" w:eastAsia="宋体" w:hint="default"/>
                <w:sz w:val="15"/>
                <w:szCs w:val="15"/>
              </w:rPr>
              <w:t>担保金额</w:t>
            </w:r>
          </w:p>
        </w:tc>
        <w:tc>
          <w:tcPr>
            <w:tcW w:w="1042" w:type="dxa"/>
            <w:tcBorders>
              <w:top w:val="single" w:sz="8" w:space="0" w:color="000000"/>
              <w:left w:val="nil" w:sz="6" w:space="0" w:color="auto"/>
              <w:bottom w:val="nil" w:sz="6" w:space="0" w:color="auto"/>
              <w:right w:val="nil" w:sz="6" w:space="0" w:color="auto"/>
            </w:tcBorders>
          </w:tcPr>
          <w:p>
            <w:pPr>
              <w:pStyle w:val="TableParagraph"/>
              <w:spacing w:line="240" w:lineRule="auto" w:before="121"/>
              <w:ind w:left="124" w:right="0"/>
              <w:jc w:val="left"/>
              <w:rPr>
                <w:rFonts w:ascii="宋体" w:hAnsi="宋体" w:cs="宋体" w:eastAsia="宋体" w:hint="default"/>
                <w:sz w:val="15"/>
                <w:szCs w:val="15"/>
              </w:rPr>
            </w:pPr>
            <w:r>
              <w:rPr>
                <w:rFonts w:ascii="宋体" w:hAnsi="宋体" w:cs="宋体" w:eastAsia="宋体" w:hint="default"/>
                <w:sz w:val="15"/>
                <w:szCs w:val="15"/>
              </w:rPr>
              <w:t>担保起始日</w:t>
            </w:r>
          </w:p>
        </w:tc>
        <w:tc>
          <w:tcPr>
            <w:tcW w:w="1068" w:type="dxa"/>
            <w:tcBorders>
              <w:top w:val="single" w:sz="8" w:space="0" w:color="000000"/>
              <w:left w:val="nil" w:sz="6" w:space="0" w:color="auto"/>
              <w:bottom w:val="nil" w:sz="6" w:space="0" w:color="auto"/>
              <w:right w:val="nil" w:sz="6" w:space="0" w:color="auto"/>
            </w:tcBorders>
          </w:tcPr>
          <w:p>
            <w:pPr>
              <w:pStyle w:val="TableParagraph"/>
              <w:spacing w:line="240" w:lineRule="auto" w:before="121"/>
              <w:ind w:left="15" w:right="0"/>
              <w:jc w:val="center"/>
              <w:rPr>
                <w:rFonts w:ascii="宋体" w:hAnsi="宋体" w:cs="宋体" w:eastAsia="宋体" w:hint="default"/>
                <w:sz w:val="15"/>
                <w:szCs w:val="15"/>
              </w:rPr>
            </w:pPr>
            <w:r>
              <w:rPr>
                <w:rFonts w:ascii="宋体" w:hAnsi="宋体" w:cs="宋体" w:eastAsia="宋体" w:hint="default"/>
                <w:sz w:val="15"/>
                <w:szCs w:val="15"/>
              </w:rPr>
              <w:t>担保到期日</w:t>
            </w:r>
          </w:p>
        </w:tc>
        <w:tc>
          <w:tcPr>
            <w:tcW w:w="1757" w:type="dxa"/>
            <w:tcBorders>
              <w:top w:val="single" w:sz="8" w:space="0" w:color="000000"/>
              <w:left w:val="nil" w:sz="6" w:space="0" w:color="auto"/>
              <w:bottom w:val="nil" w:sz="6" w:space="0" w:color="auto"/>
              <w:right w:val="nil" w:sz="6" w:space="0" w:color="auto"/>
            </w:tcBorders>
          </w:tcPr>
          <w:p>
            <w:pPr>
              <w:pStyle w:val="TableParagraph"/>
              <w:spacing w:line="240" w:lineRule="auto" w:before="121"/>
              <w:ind w:right="103"/>
              <w:jc w:val="right"/>
              <w:rPr>
                <w:rFonts w:ascii="宋体" w:hAnsi="宋体" w:cs="宋体" w:eastAsia="宋体" w:hint="default"/>
                <w:sz w:val="15"/>
                <w:szCs w:val="15"/>
              </w:rPr>
            </w:pPr>
            <w:r>
              <w:rPr>
                <w:rFonts w:ascii="宋体" w:hAnsi="宋体" w:cs="宋体" w:eastAsia="宋体" w:hint="default"/>
                <w:sz w:val="15"/>
                <w:szCs w:val="15"/>
              </w:rPr>
              <w:t>担保是否已经履行完毕</w:t>
            </w:r>
          </w:p>
        </w:tc>
      </w:tr>
      <w:tr>
        <w:trPr>
          <w:trHeight w:val="358" w:hRule="exact"/>
        </w:trPr>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7" w:right="0"/>
              <w:jc w:val="left"/>
              <w:rPr>
                <w:rFonts w:ascii="宋体" w:hAnsi="宋体" w:cs="宋体" w:eastAsia="宋体" w:hint="default"/>
                <w:sz w:val="15"/>
                <w:szCs w:val="15"/>
              </w:rPr>
            </w:pPr>
            <w:r>
              <w:rPr>
                <w:rFonts w:ascii="宋体" w:hAnsi="宋体" w:cs="宋体" w:eastAsia="宋体" w:hint="default"/>
                <w:sz w:val="15"/>
                <w:szCs w:val="15"/>
              </w:rPr>
              <w:t>东软集团股份有限公司</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18"/>
              <w:jc w:val="center"/>
              <w:rPr>
                <w:rFonts w:ascii="宋体" w:hAnsi="宋体" w:cs="宋体" w:eastAsia="宋体" w:hint="default"/>
                <w:sz w:val="15"/>
                <w:szCs w:val="15"/>
              </w:rPr>
            </w:pPr>
            <w:r>
              <w:rPr>
                <w:rFonts w:ascii="宋体" w:hAnsi="宋体" w:cs="宋体" w:eastAsia="宋体" w:hint="default"/>
                <w:sz w:val="15"/>
                <w:szCs w:val="15"/>
              </w:rPr>
              <w:t>大连东软信息学院</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22"/>
              <w:jc w:val="right"/>
              <w:rPr>
                <w:rFonts w:ascii="宋体" w:hAnsi="宋体" w:cs="宋体" w:eastAsia="宋体" w:hint="default"/>
                <w:sz w:val="15"/>
                <w:szCs w:val="15"/>
              </w:rPr>
            </w:pPr>
            <w:r>
              <w:rPr>
                <w:rFonts w:ascii="Times New Roman" w:hAnsi="Times New Roman" w:cs="Times New Roman" w:eastAsia="Times New Roman" w:hint="default"/>
                <w:sz w:val="15"/>
                <w:szCs w:val="15"/>
              </w:rPr>
              <w:t>6,000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万元</w:t>
            </w: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61" w:right="0"/>
              <w:jc w:val="left"/>
              <w:rPr>
                <w:rFonts w:ascii="Times New Roman" w:hAnsi="Times New Roman" w:cs="Times New Roman" w:eastAsia="Times New Roman" w:hint="default"/>
                <w:sz w:val="15"/>
                <w:szCs w:val="15"/>
              </w:rPr>
            </w:pPr>
            <w:r>
              <w:rPr>
                <w:rFonts w:ascii="Times New Roman"/>
                <w:sz w:val="15"/>
              </w:rPr>
              <w:t>2009.12.10</w:t>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5" w:right="0"/>
              <w:jc w:val="center"/>
              <w:rPr>
                <w:rFonts w:ascii="Times New Roman" w:hAnsi="Times New Roman" w:cs="Times New Roman" w:eastAsia="Times New Roman" w:hint="default"/>
                <w:sz w:val="15"/>
                <w:szCs w:val="15"/>
              </w:rPr>
            </w:pPr>
            <w:r>
              <w:rPr>
                <w:rFonts w:ascii="Times New Roman"/>
                <w:sz w:val="15"/>
              </w:rPr>
              <w:t>2010.4.10</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宋体" w:hAnsi="宋体" w:cs="宋体" w:eastAsia="宋体" w:hint="default"/>
                <w:sz w:val="15"/>
                <w:szCs w:val="15"/>
              </w:rPr>
            </w:pPr>
            <w:r>
              <w:rPr>
                <w:rFonts w:ascii="宋体" w:hAnsi="宋体" w:cs="宋体" w:eastAsia="宋体" w:hint="default"/>
                <w:sz w:val="15"/>
                <w:szCs w:val="15"/>
              </w:rPr>
              <w:t>否</w:t>
            </w:r>
          </w:p>
        </w:tc>
      </w:tr>
      <w:tr>
        <w:trPr>
          <w:trHeight w:val="277" w:hRule="exact"/>
        </w:trPr>
        <w:tc>
          <w:tcPr>
            <w:tcW w:w="2002" w:type="dxa"/>
            <w:tcBorders>
              <w:top w:val="nil" w:sz="6" w:space="0" w:color="auto"/>
              <w:left w:val="nil" w:sz="6" w:space="0" w:color="auto"/>
              <w:bottom w:val="single" w:sz="8" w:space="0" w:color="000000"/>
              <w:right w:val="nil" w:sz="6" w:space="0" w:color="auto"/>
            </w:tcBorders>
          </w:tcPr>
          <w:p>
            <w:pPr>
              <w:pStyle w:val="TableParagraph"/>
              <w:spacing w:line="240" w:lineRule="auto" w:before="45"/>
              <w:ind w:left="107" w:right="0"/>
              <w:jc w:val="left"/>
              <w:rPr>
                <w:rFonts w:ascii="宋体" w:hAnsi="宋体" w:cs="宋体" w:eastAsia="宋体" w:hint="default"/>
                <w:sz w:val="15"/>
                <w:szCs w:val="15"/>
              </w:rPr>
            </w:pPr>
            <w:r>
              <w:rPr>
                <w:rFonts w:ascii="宋体" w:hAnsi="宋体" w:cs="宋体" w:eastAsia="宋体" w:hint="default"/>
                <w:sz w:val="15"/>
                <w:szCs w:val="15"/>
              </w:rPr>
              <w:t>东软集团股份有限公司</w:t>
            </w:r>
          </w:p>
        </w:tc>
        <w:tc>
          <w:tcPr>
            <w:tcW w:w="1469" w:type="dxa"/>
            <w:tcBorders>
              <w:top w:val="nil" w:sz="6" w:space="0" w:color="auto"/>
              <w:left w:val="nil" w:sz="6" w:space="0" w:color="auto"/>
              <w:bottom w:val="single" w:sz="8" w:space="0" w:color="000000"/>
              <w:right w:val="nil" w:sz="6" w:space="0" w:color="auto"/>
            </w:tcBorders>
          </w:tcPr>
          <w:p>
            <w:pPr>
              <w:pStyle w:val="TableParagraph"/>
              <w:spacing w:line="240" w:lineRule="auto" w:before="45"/>
              <w:ind w:right="118"/>
              <w:jc w:val="center"/>
              <w:rPr>
                <w:rFonts w:ascii="宋体" w:hAnsi="宋体" w:cs="宋体" w:eastAsia="宋体" w:hint="default"/>
                <w:sz w:val="15"/>
                <w:szCs w:val="15"/>
              </w:rPr>
            </w:pPr>
            <w:r>
              <w:rPr>
                <w:rFonts w:ascii="宋体" w:hAnsi="宋体" w:cs="宋体" w:eastAsia="宋体" w:hint="default"/>
                <w:sz w:val="15"/>
                <w:szCs w:val="15"/>
              </w:rPr>
              <w:t>大连东软信息学院</w:t>
            </w:r>
          </w:p>
        </w:tc>
        <w:tc>
          <w:tcPr>
            <w:tcW w:w="1091" w:type="dxa"/>
            <w:tcBorders>
              <w:top w:val="nil" w:sz="6" w:space="0" w:color="auto"/>
              <w:left w:val="nil" w:sz="6" w:space="0" w:color="auto"/>
              <w:bottom w:val="single" w:sz="8" w:space="0" w:color="000000"/>
              <w:right w:val="nil" w:sz="6" w:space="0" w:color="auto"/>
            </w:tcBorders>
          </w:tcPr>
          <w:p>
            <w:pPr>
              <w:pStyle w:val="TableParagraph"/>
              <w:spacing w:line="240" w:lineRule="auto" w:before="45"/>
              <w:ind w:right="122"/>
              <w:jc w:val="right"/>
              <w:rPr>
                <w:rFonts w:ascii="宋体" w:hAnsi="宋体" w:cs="宋体" w:eastAsia="宋体" w:hint="default"/>
                <w:sz w:val="15"/>
                <w:szCs w:val="15"/>
              </w:rPr>
            </w:pPr>
            <w:r>
              <w:rPr>
                <w:rFonts w:ascii="Times New Roman" w:hAnsi="Times New Roman" w:cs="Times New Roman" w:eastAsia="Times New Roman" w:hint="default"/>
                <w:sz w:val="15"/>
                <w:szCs w:val="15"/>
              </w:rPr>
              <w:t>3,000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万元</w:t>
            </w:r>
          </w:p>
        </w:tc>
        <w:tc>
          <w:tcPr>
            <w:tcW w:w="1042" w:type="dxa"/>
            <w:tcBorders>
              <w:top w:val="nil" w:sz="6" w:space="0" w:color="auto"/>
              <w:left w:val="nil" w:sz="6" w:space="0" w:color="auto"/>
              <w:bottom w:val="single" w:sz="8" w:space="0" w:color="000000"/>
              <w:right w:val="nil" w:sz="6" w:space="0" w:color="auto"/>
            </w:tcBorders>
          </w:tcPr>
          <w:p>
            <w:pPr>
              <w:pStyle w:val="TableParagraph"/>
              <w:spacing w:line="240" w:lineRule="auto" w:before="88"/>
              <w:ind w:left="161" w:right="0"/>
              <w:jc w:val="left"/>
              <w:rPr>
                <w:rFonts w:ascii="Times New Roman" w:hAnsi="Times New Roman" w:cs="Times New Roman" w:eastAsia="Times New Roman" w:hint="default"/>
                <w:sz w:val="15"/>
                <w:szCs w:val="15"/>
              </w:rPr>
            </w:pPr>
            <w:r>
              <w:rPr>
                <w:rFonts w:ascii="Times New Roman"/>
                <w:sz w:val="15"/>
              </w:rPr>
              <w:t>2009.12.18</w:t>
            </w:r>
          </w:p>
        </w:tc>
        <w:tc>
          <w:tcPr>
            <w:tcW w:w="1068" w:type="dxa"/>
            <w:tcBorders>
              <w:top w:val="nil" w:sz="6" w:space="0" w:color="auto"/>
              <w:left w:val="nil" w:sz="6" w:space="0" w:color="auto"/>
              <w:bottom w:val="single" w:sz="8" w:space="0" w:color="000000"/>
              <w:right w:val="nil" w:sz="6" w:space="0" w:color="auto"/>
            </w:tcBorders>
          </w:tcPr>
          <w:p>
            <w:pPr>
              <w:pStyle w:val="TableParagraph"/>
              <w:spacing w:line="240" w:lineRule="auto" w:before="88"/>
              <w:ind w:left="15" w:right="0"/>
              <w:jc w:val="center"/>
              <w:rPr>
                <w:rFonts w:ascii="Times New Roman" w:hAnsi="Times New Roman" w:cs="Times New Roman" w:eastAsia="Times New Roman" w:hint="default"/>
                <w:sz w:val="15"/>
                <w:szCs w:val="15"/>
              </w:rPr>
            </w:pPr>
            <w:r>
              <w:rPr>
                <w:rFonts w:ascii="Times New Roman"/>
                <w:sz w:val="15"/>
              </w:rPr>
              <w:t>2010.9.17</w:t>
            </w:r>
          </w:p>
        </w:tc>
        <w:tc>
          <w:tcPr>
            <w:tcW w:w="1757" w:type="dxa"/>
            <w:tcBorders>
              <w:top w:val="nil" w:sz="6" w:space="0" w:color="auto"/>
              <w:left w:val="nil" w:sz="6" w:space="0" w:color="auto"/>
              <w:bottom w:val="single" w:sz="8" w:space="0" w:color="000000"/>
              <w:right w:val="nil" w:sz="6" w:space="0" w:color="auto"/>
            </w:tcBorders>
          </w:tcPr>
          <w:p>
            <w:pPr>
              <w:pStyle w:val="TableParagraph"/>
              <w:spacing w:line="240" w:lineRule="auto" w:before="45"/>
              <w:ind w:right="98"/>
              <w:jc w:val="right"/>
              <w:rPr>
                <w:rFonts w:ascii="宋体" w:hAnsi="宋体" w:cs="宋体" w:eastAsia="宋体" w:hint="default"/>
                <w:sz w:val="15"/>
                <w:szCs w:val="15"/>
              </w:rPr>
            </w:pPr>
            <w:r>
              <w:rPr>
                <w:rFonts w:ascii="宋体" w:hAnsi="宋体" w:cs="宋体" w:eastAsia="宋体" w:hint="default"/>
                <w:sz w:val="15"/>
                <w:szCs w:val="15"/>
              </w:rPr>
              <w:t>否</w:t>
            </w:r>
          </w:p>
        </w:tc>
      </w:tr>
    </w:tbl>
    <w:p>
      <w:pPr>
        <w:spacing w:line="297" w:lineRule="auto" w:before="23"/>
        <w:ind w:left="857" w:right="0" w:firstLine="0"/>
        <w:jc w:val="left"/>
        <w:rPr>
          <w:rFonts w:ascii="宋体" w:hAnsi="宋体" w:cs="宋体" w:eastAsia="宋体" w:hint="default"/>
          <w:sz w:val="21"/>
          <w:szCs w:val="21"/>
        </w:rPr>
      </w:pPr>
      <w:r>
        <w:rPr/>
        <w:pict>
          <v:shape style="position:absolute;margin-left:111.480003pt;margin-top:-53.546375pt;width:421.919897pt;height:52.08pt;mso-position-horizontal-relative:page;mso-position-vertical-relative:paragraph;z-index:-977296" type="#_x0000_t75" stroked="false">
            <v:imagedata r:id="rId156" o:title=""/>
          </v:shape>
        </w:pict>
      </w:r>
      <w:r>
        <w:rPr>
          <w:rFonts w:ascii="宋体" w:hAnsi="宋体" w:cs="宋体" w:eastAsia="宋体" w:hint="default"/>
          <w:sz w:val="21"/>
          <w:szCs w:val="21"/>
        </w:rPr>
        <w:t>关联担保情况说明：本公司对关联方大连东软信息学院的上述银行借款担保为连带责任担</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保。</w:t>
      </w:r>
    </w:p>
    <w:p>
      <w:pPr>
        <w:spacing w:after="0" w:line="297" w:lineRule="auto"/>
        <w:jc w:val="left"/>
        <w:rPr>
          <w:rFonts w:ascii="宋体" w:hAnsi="宋体" w:cs="宋体" w:eastAsia="宋体" w:hint="default"/>
          <w:sz w:val="21"/>
          <w:szCs w:val="21"/>
        </w:rPr>
        <w:sectPr>
          <w:pgSz w:w="11900" w:h="16840"/>
          <w:pgMar w:header="883" w:footer="1003" w:top="1540" w:bottom="1200" w:left="1480" w:right="112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53.15pt;height:.5pt;mso-position-horizontal-relative:char;mso-position-vertical-relative:line" coordorigin="0,0" coordsize="9063,10">
            <v:group style="position:absolute;left:5;top:5;width:9053;height:2" coordorigin="5,5" coordsize="9053,2">
              <v:shape style="position:absolute;left:5;top:5;width:9053;height:2" coordorigin="5,5" coordsize="9053,0" path="m5,5l9058,5e" filled="false" stroked="true" strokeweight=".47998pt" strokecolor="#000000">
                <v:path arrowok="t"/>
              </v:shape>
            </v:group>
          </v:group>
        </w:pict>
      </w:r>
      <w:r>
        <w:rPr>
          <w:rFonts w:ascii="宋体" w:hAnsi="宋体" w:cs="宋体" w:eastAsia="宋体" w:hint="default"/>
          <w:sz w:val="2"/>
          <w:szCs w:val="2"/>
        </w:rPr>
      </w:r>
    </w:p>
    <w:p>
      <w:pPr>
        <w:tabs>
          <w:tab w:pos="1413" w:val="left" w:leader="none"/>
        </w:tabs>
        <w:spacing w:line="331" w:lineRule="auto" w:before="82"/>
        <w:ind w:left="1400" w:right="4517"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sz w:val="21"/>
          <w:szCs w:val="21"/>
        </w:rPr>
        <w:t>、</w:t>
        <w:tab/>
        <w:tab/>
        <w:t>关联方资金拆借</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报告期内无向关联方拆借资金情况。</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1413" w:val="left" w:leader="none"/>
        </w:tabs>
        <w:spacing w:before="0"/>
        <w:ind w:left="857" w:right="14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9</w:t>
      </w:r>
      <w:r>
        <w:rPr>
          <w:rFonts w:ascii="宋体" w:hAnsi="宋体" w:cs="宋体" w:eastAsia="宋体" w:hint="default"/>
          <w:sz w:val="21"/>
          <w:szCs w:val="21"/>
        </w:rPr>
        <w:t>、</w:t>
        <w:tab/>
        <w:t>本报告期无关联方资产转让、债务重组情况</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before="0"/>
        <w:ind w:left="857" w:right="4517"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10</w:t>
      </w:r>
      <w:r>
        <w:rPr>
          <w:rFonts w:ascii="宋体" w:hAnsi="宋体" w:cs="宋体" w:eastAsia="宋体" w:hint="default"/>
          <w:sz w:val="21"/>
          <w:szCs w:val="21"/>
        </w:rPr>
        <w:t>、</w:t>
      </w:r>
      <w:r>
        <w:rPr>
          <w:rFonts w:ascii="宋体" w:hAnsi="宋体" w:cs="宋体" w:eastAsia="宋体" w:hint="default"/>
          <w:spacing w:val="31"/>
          <w:sz w:val="21"/>
          <w:szCs w:val="21"/>
        </w:rPr>
        <w:t> </w:t>
      </w:r>
      <w:r>
        <w:rPr>
          <w:rFonts w:ascii="宋体" w:hAnsi="宋体" w:cs="宋体" w:eastAsia="宋体" w:hint="default"/>
          <w:sz w:val="21"/>
          <w:szCs w:val="21"/>
        </w:rPr>
        <w:t>其他关联交易</w:t>
      </w:r>
    </w:p>
    <w:p>
      <w:pPr>
        <w:spacing w:line="340" w:lineRule="auto" w:before="109"/>
        <w:ind w:left="1400" w:right="143"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）于</w:t>
      </w:r>
      <w:r>
        <w:rPr>
          <w:rFonts w:ascii="宋体" w:hAnsi="宋体" w:cs="宋体" w:eastAsia="宋体" w:hint="default"/>
          <w:spacing w:val="-38"/>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年，成都东软发展向成都职业学院转让资产，总价款</w:t>
      </w:r>
      <w:r>
        <w:rPr>
          <w:rFonts w:ascii="宋体" w:hAnsi="宋体" w:cs="宋体" w:eastAsia="宋体" w:hint="default"/>
          <w:spacing w:val="-38"/>
          <w:sz w:val="21"/>
          <w:szCs w:val="21"/>
        </w:rPr>
        <w:t> </w:t>
      </w:r>
      <w:r>
        <w:rPr>
          <w:rFonts w:ascii="Times New Roman" w:hAnsi="Times New Roman" w:cs="Times New Roman" w:eastAsia="Times New Roman" w:hint="default"/>
          <w:sz w:val="21"/>
          <w:szCs w:val="21"/>
        </w:rPr>
        <w:t>209,980,000</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元。 </w:t>
      </w:r>
      <w:r>
        <w:rPr>
          <w:rFonts w:ascii="宋体" w:hAnsi="宋体" w:cs="宋体" w:eastAsia="宋体" w:hint="default"/>
          <w:spacing w:val="-1"/>
          <w:sz w:val="21"/>
          <w:szCs w:val="21"/>
        </w:rPr>
        <w:t>根据双方协议，对于延期付款部分，由成都职业学院按照人民银行同期贷款利率向成</w:t>
      </w:r>
      <w:r>
        <w:rPr>
          <w:rFonts w:ascii="宋体" w:hAnsi="宋体" w:cs="宋体" w:eastAsia="宋体" w:hint="default"/>
          <w:sz w:val="21"/>
          <w:szCs w:val="21"/>
        </w:rPr>
        <w:t> 都东软发展支付利息。截止</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日余额为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154,130,000</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元，本报告期内收</w:t>
      </w:r>
    </w:p>
    <w:p>
      <w:pPr>
        <w:spacing w:before="11"/>
        <w:ind w:left="1399" w:right="0" w:firstLine="0"/>
        <w:jc w:val="both"/>
        <w:rPr>
          <w:rFonts w:ascii="宋体" w:hAnsi="宋体" w:cs="宋体" w:eastAsia="宋体" w:hint="default"/>
          <w:sz w:val="21"/>
          <w:szCs w:val="21"/>
        </w:rPr>
      </w:pPr>
      <w:r>
        <w:rPr>
          <w:rFonts w:ascii="宋体" w:hAnsi="宋体" w:cs="宋体" w:eastAsia="宋体" w:hint="default"/>
          <w:sz w:val="21"/>
          <w:szCs w:val="21"/>
        </w:rPr>
        <w:t>回</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75,090,000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元，本期末应收款余额为</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79,040,000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元。报告期内，成都东软发展收取</w:t>
      </w:r>
    </w:p>
    <w:p>
      <w:pPr>
        <w:spacing w:before="110"/>
        <w:ind w:left="1399" w:right="0" w:firstLine="0"/>
        <w:jc w:val="both"/>
        <w:rPr>
          <w:rFonts w:ascii="宋体" w:hAnsi="宋体" w:cs="宋体" w:eastAsia="宋体" w:hint="default"/>
          <w:sz w:val="21"/>
          <w:szCs w:val="21"/>
        </w:rPr>
      </w:pPr>
      <w:r>
        <w:rPr>
          <w:rFonts w:ascii="宋体" w:hAnsi="宋体" w:cs="宋体" w:eastAsia="宋体" w:hint="default"/>
          <w:sz w:val="21"/>
          <w:szCs w:val="21"/>
        </w:rPr>
        <w:t>按协议计算的延期付款利息</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6,610,863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spacing w:line="340" w:lineRule="auto" w:before="0"/>
        <w:ind w:left="1399" w:right="144" w:firstLine="0"/>
        <w:jc w:val="both"/>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）于</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年，南海东软发展向南海职业学院转让资产，总价款</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70,420,000</w:t>
      </w:r>
      <w:r>
        <w:rPr>
          <w:rFonts w:ascii="Times New Roman" w:hAnsi="Times New Roman" w:cs="Times New Roman" w:eastAsia="Times New Roman" w:hint="default"/>
          <w:spacing w:val="-5"/>
          <w:sz w:val="21"/>
          <w:szCs w:val="21"/>
        </w:rPr>
        <w:t> </w:t>
      </w:r>
      <w:r>
        <w:rPr>
          <w:rFonts w:ascii="宋体" w:hAnsi="宋体" w:cs="宋体" w:eastAsia="宋体" w:hint="default"/>
          <w:spacing w:val="-4"/>
          <w:sz w:val="21"/>
          <w:szCs w:val="21"/>
        </w:rPr>
        <w:t>元。根</w:t>
      </w:r>
      <w:r>
        <w:rPr>
          <w:rFonts w:ascii="宋体" w:hAnsi="宋体" w:cs="宋体" w:eastAsia="宋体" w:hint="default"/>
          <w:sz w:val="21"/>
          <w:szCs w:val="21"/>
        </w:rPr>
        <w:t> </w:t>
      </w:r>
      <w:r>
        <w:rPr>
          <w:rFonts w:ascii="宋体" w:hAnsi="宋体" w:cs="宋体" w:eastAsia="宋体" w:hint="default"/>
          <w:spacing w:val="-1"/>
          <w:sz w:val="21"/>
          <w:szCs w:val="21"/>
        </w:rPr>
        <w:t>据双方协议，对于延期付款部分，由成都职业学院按照人民银行同期贷款利率向成都</w:t>
      </w:r>
      <w:r>
        <w:rPr>
          <w:rFonts w:ascii="宋体" w:hAnsi="宋体" w:cs="宋体" w:eastAsia="宋体" w:hint="default"/>
          <w:sz w:val="21"/>
          <w:szCs w:val="21"/>
        </w:rPr>
        <w:t> 东软发展支付利息，截止</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日，该资产转让应收款已全部收回，报告</w:t>
      </w:r>
    </w:p>
    <w:p>
      <w:pPr>
        <w:spacing w:before="11"/>
        <w:ind w:left="1400" w:right="0" w:firstLine="0"/>
        <w:jc w:val="both"/>
        <w:rPr>
          <w:rFonts w:ascii="宋体" w:hAnsi="宋体" w:cs="宋体" w:eastAsia="宋体" w:hint="default"/>
          <w:sz w:val="21"/>
          <w:szCs w:val="21"/>
        </w:rPr>
      </w:pPr>
      <w:r>
        <w:rPr>
          <w:rFonts w:ascii="宋体" w:hAnsi="宋体" w:cs="宋体" w:eastAsia="宋体" w:hint="default"/>
          <w:sz w:val="21"/>
          <w:szCs w:val="21"/>
        </w:rPr>
        <w:t>期内收取全额回收前按协议计算的延期付款利息</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1,119,900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before="0"/>
        <w:ind w:left="857" w:right="4517" w:firstLine="0"/>
        <w:jc w:val="left"/>
        <w:rPr>
          <w:rFonts w:ascii="宋体" w:hAnsi="宋体" w:cs="宋体" w:eastAsia="宋体" w:hint="default"/>
          <w:sz w:val="21"/>
          <w:szCs w:val="21"/>
        </w:rPr>
      </w:pPr>
      <w:r>
        <w:rPr/>
        <w:pict>
          <v:group style="position:absolute;margin-left:115.260002pt;margin-top:15.320375pt;width:416.5pt;height:328.1pt;mso-position-horizontal-relative:page;mso-position-vertical-relative:paragraph;z-index:-977248" coordorigin="2305,306" coordsize="8330,6562">
            <v:group style="position:absolute;left:2315;top:316;width:1265;height:2" coordorigin="2315,316" coordsize="1265,2">
              <v:shape style="position:absolute;left:2315;top:316;width:1265;height:2" coordorigin="2315,316" coordsize="1265,0" path="m2315,316l3580,316e" filled="false" stroked="true" strokeweight=".95999pt" strokecolor="#000000">
                <v:path arrowok="t"/>
              </v:shape>
            </v:group>
            <v:group style="position:absolute;left:3580;top:316;width:1340;height:2" coordorigin="3580,316" coordsize="1340,2">
              <v:shape style="position:absolute;left:3580;top:316;width:1340;height:2" coordorigin="3580,316" coordsize="1340,0" path="m3580,316l4919,316e" filled="false" stroked="true" strokeweight=".95999pt" strokecolor="#000000">
                <v:path arrowok="t"/>
              </v:shape>
            </v:group>
            <v:group style="position:absolute;left:4919;top:316;width:2874;height:2" coordorigin="4919,316" coordsize="2874,2">
              <v:shape style="position:absolute;left:4919;top:316;width:2874;height:2" coordorigin="4919,316" coordsize="2874,0" path="m4919,316l7793,316e" filled="false" stroked="true" strokeweight=".95999pt" strokecolor="#000000">
                <v:path arrowok="t"/>
              </v:shape>
            </v:group>
            <v:group style="position:absolute;left:7793;top:316;width:2829;height:2" coordorigin="7793,316" coordsize="2829,2">
              <v:shape style="position:absolute;left:7793;top:316;width:2829;height:2" coordorigin="7793,316" coordsize="2829,0" path="m7793,316l10621,316e" filled="false" stroked="true" strokeweight=".95999pt" strokecolor="#000000">
                <v:path arrowok="t"/>
              </v:shape>
              <v:shape style="position:absolute;left:2308;top:326;width:8327;height:6542" type="#_x0000_t75" stroked="false">
                <v:imagedata r:id="rId157" o:title=""/>
              </v:shape>
            </v:group>
            <w10:wrap type="none"/>
          </v:group>
        </w:pict>
      </w:r>
      <w:r>
        <w:rPr>
          <w:rFonts w:ascii="Times New Roman" w:hAnsi="Times New Roman" w:cs="Times New Roman" w:eastAsia="Times New Roman" w:hint="default"/>
          <w:b/>
          <w:bCs/>
          <w:spacing w:val="-4"/>
          <w:sz w:val="21"/>
          <w:szCs w:val="21"/>
        </w:rPr>
        <w:t>11</w:t>
      </w:r>
      <w:r>
        <w:rPr>
          <w:rFonts w:ascii="宋体" w:hAnsi="宋体" w:cs="宋体" w:eastAsia="宋体" w:hint="default"/>
          <w:spacing w:val="-4"/>
          <w:sz w:val="21"/>
          <w:szCs w:val="21"/>
        </w:rPr>
        <w:t>、</w:t>
      </w:r>
      <w:r>
        <w:rPr>
          <w:rFonts w:ascii="宋体" w:hAnsi="宋体" w:cs="宋体" w:eastAsia="宋体" w:hint="default"/>
          <w:spacing w:val="47"/>
          <w:sz w:val="21"/>
          <w:szCs w:val="21"/>
        </w:rPr>
        <w:t> </w:t>
      </w:r>
      <w:r>
        <w:rPr>
          <w:rFonts w:ascii="宋体" w:hAnsi="宋体" w:cs="宋体" w:eastAsia="宋体" w:hint="default"/>
          <w:sz w:val="21"/>
          <w:szCs w:val="21"/>
        </w:rPr>
        <w:t>关联方应收应付款项</w:t>
      </w:r>
    </w:p>
    <w:p>
      <w:pPr>
        <w:spacing w:line="240" w:lineRule="auto" w:before="10"/>
        <w:rPr>
          <w:rFonts w:ascii="宋体" w:hAnsi="宋体" w:cs="宋体" w:eastAsia="宋体" w:hint="default"/>
          <w:sz w:val="9"/>
          <w:szCs w:val="9"/>
        </w:rPr>
      </w:pPr>
    </w:p>
    <w:tbl>
      <w:tblPr>
        <w:tblW w:w="0" w:type="auto"/>
        <w:jc w:val="left"/>
        <w:tblInd w:w="813" w:type="dxa"/>
        <w:tblLayout w:type="fixed"/>
        <w:tblCellMar>
          <w:top w:w="0" w:type="dxa"/>
          <w:left w:w="0" w:type="dxa"/>
          <w:bottom w:w="0" w:type="dxa"/>
          <w:right w:w="0" w:type="dxa"/>
        </w:tblCellMar>
        <w:tblLook w:val="01E0"/>
      </w:tblPr>
      <w:tblGrid>
        <w:gridCol w:w="1166"/>
        <w:gridCol w:w="1806"/>
        <w:gridCol w:w="870"/>
        <w:gridCol w:w="1818"/>
        <w:gridCol w:w="1010"/>
        <w:gridCol w:w="1680"/>
      </w:tblGrid>
      <w:tr>
        <w:trPr>
          <w:trHeight w:val="492" w:hRule="exact"/>
        </w:trPr>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91"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52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870"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4"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1010"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9" w:right="0"/>
              <w:jc w:val="left"/>
              <w:rPr>
                <w:rFonts w:ascii="宋体" w:hAnsi="宋体" w:cs="宋体" w:eastAsia="宋体" w:hint="default"/>
                <w:sz w:val="18"/>
                <w:szCs w:val="18"/>
              </w:rPr>
            </w:pPr>
            <w:r>
              <w:rPr>
                <w:rFonts w:ascii="宋体" w:hAnsi="宋体" w:cs="宋体" w:eastAsia="宋体" w:hint="default"/>
                <w:sz w:val="18"/>
                <w:szCs w:val="18"/>
              </w:rPr>
              <w:t>期初</w:t>
            </w:r>
          </w:p>
        </w:tc>
      </w:tr>
      <w:tr>
        <w:trPr>
          <w:trHeight w:val="313" w:hRule="exact"/>
        </w:trPr>
        <w:tc>
          <w:tcPr>
            <w:tcW w:w="1166"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nil" w:sz="6" w:space="0" w:color="auto"/>
            </w:tcBorders>
          </w:tcPr>
          <w:p>
            <w:pPr/>
          </w:p>
        </w:tc>
        <w:tc>
          <w:tcPr>
            <w:tcW w:w="870" w:type="dxa"/>
            <w:tcBorders>
              <w:top w:val="nil" w:sz="6" w:space="0" w:color="auto"/>
              <w:left w:val="nil" w:sz="6" w:space="0" w:color="auto"/>
              <w:bottom w:val="nil" w:sz="6" w:space="0" w:color="auto"/>
              <w:right w:val="nil" w:sz="6" w:space="0" w:color="auto"/>
            </w:tcBorders>
          </w:tcPr>
          <w:p>
            <w:pPr>
              <w:pStyle w:val="TableParagraph"/>
              <w:spacing w:line="197" w:lineRule="exact"/>
              <w:ind w:left="8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818" w:type="dxa"/>
            <w:tcBorders>
              <w:top w:val="nil" w:sz="6" w:space="0" w:color="auto"/>
              <w:left w:val="nil" w:sz="6" w:space="0" w:color="auto"/>
              <w:bottom w:val="nil" w:sz="6" w:space="0" w:color="auto"/>
              <w:right w:val="nil" w:sz="6" w:space="0" w:color="auto"/>
            </w:tcBorders>
          </w:tcPr>
          <w:p>
            <w:pPr>
              <w:pStyle w:val="TableParagraph"/>
              <w:spacing w:line="197" w:lineRule="exact"/>
              <w:ind w:left="23" w:right="0"/>
              <w:jc w:val="left"/>
              <w:rPr>
                <w:rFonts w:ascii="宋体" w:hAnsi="宋体" w:cs="宋体" w:eastAsia="宋体" w:hint="default"/>
                <w:sz w:val="18"/>
                <w:szCs w:val="18"/>
              </w:rPr>
            </w:pPr>
            <w:r>
              <w:rPr>
                <w:rFonts w:ascii="宋体" w:hAnsi="宋体" w:cs="宋体" w:eastAsia="宋体" w:hint="default"/>
                <w:sz w:val="18"/>
                <w:szCs w:val="18"/>
              </w:rPr>
              <w:t>其中：计提减值金额</w:t>
            </w:r>
          </w:p>
        </w:tc>
        <w:tc>
          <w:tcPr>
            <w:tcW w:w="1010" w:type="dxa"/>
            <w:tcBorders>
              <w:top w:val="nil" w:sz="6" w:space="0" w:color="auto"/>
              <w:left w:val="nil" w:sz="6" w:space="0" w:color="auto"/>
              <w:bottom w:val="nil" w:sz="6" w:space="0" w:color="auto"/>
              <w:right w:val="nil" w:sz="6" w:space="0" w:color="auto"/>
            </w:tcBorders>
          </w:tcPr>
          <w:p>
            <w:pPr>
              <w:pStyle w:val="TableParagraph"/>
              <w:spacing w:line="197" w:lineRule="exact"/>
              <w:ind w:left="249"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680" w:type="dxa"/>
            <w:tcBorders>
              <w:top w:val="nil" w:sz="6" w:space="0" w:color="auto"/>
              <w:left w:val="nil" w:sz="6" w:space="0" w:color="auto"/>
              <w:bottom w:val="nil" w:sz="6" w:space="0" w:color="auto"/>
              <w:right w:val="nil" w:sz="6" w:space="0" w:color="auto"/>
            </w:tcBorders>
          </w:tcPr>
          <w:p>
            <w:pPr>
              <w:pStyle w:val="TableParagraph"/>
              <w:spacing w:line="197" w:lineRule="exact"/>
              <w:ind w:left="24" w:right="0"/>
              <w:jc w:val="left"/>
              <w:rPr>
                <w:rFonts w:ascii="宋体" w:hAnsi="宋体" w:cs="宋体" w:eastAsia="宋体" w:hint="default"/>
                <w:sz w:val="18"/>
                <w:szCs w:val="18"/>
              </w:rPr>
            </w:pPr>
            <w:r>
              <w:rPr>
                <w:rFonts w:ascii="宋体" w:hAnsi="宋体" w:cs="宋体" w:eastAsia="宋体" w:hint="default"/>
                <w:sz w:val="18"/>
                <w:szCs w:val="18"/>
              </w:rPr>
              <w:t>其中：计提减值金额</w:t>
            </w:r>
          </w:p>
        </w:tc>
      </w:tr>
      <w:tr>
        <w:trPr>
          <w:trHeight w:val="410" w:hRule="exact"/>
        </w:trPr>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06" w:type="dxa"/>
            <w:tcBorders>
              <w:top w:val="nil" w:sz="6" w:space="0" w:color="auto"/>
              <w:left w:val="nil" w:sz="6" w:space="0" w:color="auto"/>
              <w:bottom w:val="nil" w:sz="6" w:space="0" w:color="auto"/>
              <w:right w:val="nil" w:sz="6" w:space="0" w:color="auto"/>
            </w:tcBorders>
          </w:tcPr>
          <w:p>
            <w:pPr/>
          </w:p>
        </w:tc>
        <w:tc>
          <w:tcPr>
            <w:tcW w:w="870"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
        </w:tc>
      </w:tr>
      <w:tr>
        <w:trPr>
          <w:trHeight w:val="420" w:hRule="exact"/>
        </w:trPr>
        <w:tc>
          <w:tcPr>
            <w:tcW w:w="1166"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54" w:right="0"/>
              <w:jc w:val="left"/>
              <w:rPr>
                <w:rFonts w:ascii="宋体" w:hAnsi="宋体" w:cs="宋体" w:eastAsia="宋体" w:hint="default"/>
                <w:sz w:val="18"/>
                <w:szCs w:val="18"/>
              </w:rPr>
            </w:pPr>
            <w:r>
              <w:rPr>
                <w:rFonts w:ascii="宋体" w:hAnsi="宋体" w:cs="宋体" w:eastAsia="宋体" w:hint="default"/>
                <w:sz w:val="18"/>
                <w:szCs w:val="18"/>
              </w:rPr>
              <w:t>阿尔派日本</w:t>
            </w:r>
          </w:p>
        </w:tc>
        <w:tc>
          <w:tcPr>
            <w:tcW w:w="87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658,023</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83"/>
              <w:jc w:val="right"/>
              <w:rPr>
                <w:rFonts w:ascii="Times New Roman" w:hAnsi="Times New Roman" w:cs="Times New Roman" w:eastAsia="Times New Roman" w:hint="default"/>
                <w:sz w:val="18"/>
                <w:szCs w:val="18"/>
              </w:rPr>
            </w:pPr>
            <w:r>
              <w:rPr>
                <w:rFonts w:ascii="Times New Roman"/>
                <w:sz w:val="18"/>
              </w:rPr>
              <w:t>6,580</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1,020,820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44"/>
              <w:jc w:val="right"/>
              <w:rPr>
                <w:rFonts w:ascii="Times New Roman" w:hAnsi="Times New Roman" w:cs="Times New Roman" w:eastAsia="Times New Roman" w:hint="default"/>
                <w:sz w:val="18"/>
                <w:szCs w:val="18"/>
              </w:rPr>
            </w:pPr>
            <w:r>
              <w:rPr>
                <w:rFonts w:ascii="Times New Roman"/>
                <w:sz w:val="18"/>
              </w:rPr>
              <w:t>3,062</w:t>
            </w:r>
          </w:p>
        </w:tc>
      </w:tr>
      <w:tr>
        <w:trPr>
          <w:trHeight w:val="410" w:hRule="exact"/>
        </w:trPr>
        <w:tc>
          <w:tcPr>
            <w:tcW w:w="1166"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54" w:right="0"/>
              <w:jc w:val="left"/>
              <w:rPr>
                <w:rFonts w:ascii="宋体" w:hAnsi="宋体" w:cs="宋体" w:eastAsia="宋体" w:hint="default"/>
                <w:sz w:val="18"/>
                <w:szCs w:val="18"/>
              </w:rPr>
            </w:pPr>
            <w:r>
              <w:rPr>
                <w:rFonts w:ascii="宋体" w:hAnsi="宋体" w:cs="宋体" w:eastAsia="宋体" w:hint="default"/>
                <w:sz w:val="18"/>
                <w:szCs w:val="18"/>
              </w:rPr>
              <w:t>东芝公司</w:t>
            </w:r>
          </w:p>
        </w:tc>
        <w:tc>
          <w:tcPr>
            <w:tcW w:w="87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
              <w:jc w:val="right"/>
              <w:rPr>
                <w:rFonts w:ascii="Times New Roman" w:hAnsi="Times New Roman" w:cs="Times New Roman" w:eastAsia="Times New Roman" w:hint="default"/>
                <w:sz w:val="18"/>
                <w:szCs w:val="18"/>
              </w:rPr>
            </w:pPr>
            <w:r>
              <w:rPr>
                <w:rFonts w:ascii="Times New Roman"/>
                <w:sz w:val="18"/>
              </w:rPr>
              <w:t>5,071,742</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4"/>
              <w:jc w:val="right"/>
              <w:rPr>
                <w:rFonts w:ascii="Times New Roman" w:hAnsi="Times New Roman" w:cs="Times New Roman" w:eastAsia="Times New Roman" w:hint="default"/>
                <w:sz w:val="18"/>
                <w:szCs w:val="18"/>
              </w:rPr>
            </w:pPr>
            <w:r>
              <w:rPr>
                <w:rFonts w:ascii="Times New Roman"/>
                <w:sz w:val="18"/>
              </w:rPr>
              <w:t>50,717</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
              <w:jc w:val="right"/>
              <w:rPr>
                <w:rFonts w:ascii="Times New Roman" w:hAnsi="Times New Roman" w:cs="Times New Roman" w:eastAsia="Times New Roman" w:hint="default"/>
                <w:sz w:val="18"/>
                <w:szCs w:val="18"/>
              </w:rPr>
            </w:pPr>
            <w:r>
              <w:rPr>
                <w:rFonts w:ascii="Times New Roman"/>
                <w:sz w:val="18"/>
              </w:rPr>
              <w:t>10,772,645</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4"/>
              <w:jc w:val="right"/>
              <w:rPr>
                <w:rFonts w:ascii="Times New Roman" w:hAnsi="Times New Roman" w:cs="Times New Roman" w:eastAsia="Times New Roman" w:hint="default"/>
                <w:sz w:val="18"/>
                <w:szCs w:val="18"/>
              </w:rPr>
            </w:pPr>
            <w:r>
              <w:rPr>
                <w:rFonts w:ascii="Times New Roman"/>
                <w:sz w:val="18"/>
              </w:rPr>
              <w:t>32,318</w:t>
            </w:r>
          </w:p>
        </w:tc>
      </w:tr>
      <w:tr>
        <w:trPr>
          <w:trHeight w:val="410" w:hRule="exact"/>
        </w:trPr>
        <w:tc>
          <w:tcPr>
            <w:tcW w:w="1166"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54" w:right="0"/>
              <w:jc w:val="left"/>
              <w:rPr>
                <w:rFonts w:ascii="宋体" w:hAnsi="宋体" w:cs="宋体" w:eastAsia="宋体" w:hint="default"/>
                <w:sz w:val="18"/>
                <w:szCs w:val="18"/>
              </w:rPr>
            </w:pPr>
            <w:r>
              <w:rPr>
                <w:rFonts w:ascii="宋体" w:hAnsi="宋体" w:cs="宋体" w:eastAsia="宋体" w:hint="default"/>
                <w:sz w:val="18"/>
                <w:szCs w:val="18"/>
              </w:rPr>
              <w:t>诺西东软</w:t>
            </w:r>
          </w:p>
        </w:tc>
        <w:tc>
          <w:tcPr>
            <w:tcW w:w="870"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5" w:right="0"/>
              <w:jc w:val="left"/>
              <w:rPr>
                <w:rFonts w:ascii="Times New Roman" w:hAnsi="Times New Roman" w:cs="Times New Roman" w:eastAsia="Times New Roman" w:hint="default"/>
                <w:sz w:val="18"/>
                <w:szCs w:val="18"/>
              </w:rPr>
            </w:pPr>
            <w:r>
              <w:rPr>
                <w:rFonts w:ascii="Times New Roman"/>
                <w:sz w:val="18"/>
              </w:rPr>
              <w:t>17,347,939</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3"/>
              <w:jc w:val="right"/>
              <w:rPr>
                <w:rFonts w:ascii="Times New Roman" w:hAnsi="Times New Roman" w:cs="Times New Roman" w:eastAsia="Times New Roman" w:hint="default"/>
                <w:sz w:val="18"/>
                <w:szCs w:val="18"/>
              </w:rPr>
            </w:pPr>
            <w:r>
              <w:rPr>
                <w:rFonts w:ascii="Times New Roman"/>
                <w:spacing w:val="-3"/>
                <w:sz w:val="18"/>
              </w:rPr>
              <w:t>881,111</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
              <w:jc w:val="right"/>
              <w:rPr>
                <w:rFonts w:ascii="Times New Roman" w:hAnsi="Times New Roman" w:cs="Times New Roman" w:eastAsia="Times New Roman" w:hint="default"/>
                <w:sz w:val="18"/>
                <w:szCs w:val="18"/>
              </w:rPr>
            </w:pPr>
            <w:r>
              <w:rPr>
                <w:rFonts w:ascii="Times New Roman"/>
                <w:sz w:val="18"/>
              </w:rPr>
              <w:t>5,076,385</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3"/>
              <w:jc w:val="right"/>
              <w:rPr>
                <w:rFonts w:ascii="Times New Roman" w:hAnsi="Times New Roman" w:cs="Times New Roman" w:eastAsia="Times New Roman" w:hint="default"/>
                <w:sz w:val="18"/>
                <w:szCs w:val="18"/>
              </w:rPr>
            </w:pPr>
            <w:r>
              <w:rPr>
                <w:rFonts w:ascii="Times New Roman"/>
                <w:sz w:val="18"/>
              </w:rPr>
              <w:t>18,292</w:t>
            </w:r>
          </w:p>
        </w:tc>
      </w:tr>
      <w:tr>
        <w:trPr>
          <w:trHeight w:val="410" w:hRule="exact"/>
        </w:trPr>
        <w:tc>
          <w:tcPr>
            <w:tcW w:w="1166"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54" w:right="0"/>
              <w:jc w:val="left"/>
              <w:rPr>
                <w:rFonts w:ascii="宋体" w:hAnsi="宋体" w:cs="宋体" w:eastAsia="宋体" w:hint="default"/>
                <w:sz w:val="18"/>
                <w:szCs w:val="18"/>
              </w:rPr>
            </w:pPr>
            <w:r>
              <w:rPr>
                <w:rFonts w:ascii="宋体" w:hAnsi="宋体" w:cs="宋体" w:eastAsia="宋体" w:hint="default"/>
                <w:sz w:val="18"/>
                <w:szCs w:val="18"/>
              </w:rPr>
              <w:t>东软飞利浦</w:t>
            </w:r>
          </w:p>
        </w:tc>
        <w:tc>
          <w:tcPr>
            <w:tcW w:w="87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
              <w:jc w:val="right"/>
              <w:rPr>
                <w:rFonts w:ascii="Times New Roman" w:hAnsi="Times New Roman" w:cs="Times New Roman" w:eastAsia="Times New Roman" w:hint="default"/>
                <w:sz w:val="18"/>
                <w:szCs w:val="18"/>
              </w:rPr>
            </w:pPr>
            <w:r>
              <w:rPr>
                <w:rFonts w:ascii="Times New Roman"/>
                <w:sz w:val="18"/>
              </w:rPr>
              <w:t>3,563,500</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4"/>
              <w:jc w:val="right"/>
              <w:rPr>
                <w:rFonts w:ascii="Times New Roman" w:hAnsi="Times New Roman" w:cs="Times New Roman" w:eastAsia="Times New Roman" w:hint="default"/>
                <w:sz w:val="18"/>
                <w:szCs w:val="18"/>
              </w:rPr>
            </w:pPr>
            <w:r>
              <w:rPr>
                <w:rFonts w:ascii="Times New Roman"/>
                <w:sz w:val="18"/>
              </w:rPr>
              <w:t>35,635</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
              <w:jc w:val="right"/>
              <w:rPr>
                <w:rFonts w:ascii="Times New Roman" w:hAnsi="Times New Roman" w:cs="Times New Roman" w:eastAsia="Times New Roman" w:hint="default"/>
                <w:sz w:val="18"/>
                <w:szCs w:val="18"/>
              </w:rPr>
            </w:pPr>
            <w:r>
              <w:rPr>
                <w:rFonts w:ascii="Times New Roman"/>
                <w:sz w:val="18"/>
              </w:rPr>
              <w:t>9,870,834</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4"/>
              <w:jc w:val="right"/>
              <w:rPr>
                <w:rFonts w:ascii="Times New Roman" w:hAnsi="Times New Roman" w:cs="Times New Roman" w:eastAsia="Times New Roman" w:hint="default"/>
                <w:sz w:val="18"/>
                <w:szCs w:val="18"/>
              </w:rPr>
            </w:pPr>
            <w:r>
              <w:rPr>
                <w:rFonts w:ascii="Times New Roman"/>
                <w:sz w:val="18"/>
              </w:rPr>
              <w:t>29,612</w:t>
            </w:r>
          </w:p>
        </w:tc>
      </w:tr>
      <w:tr>
        <w:trPr>
          <w:trHeight w:val="420" w:hRule="exact"/>
        </w:trPr>
        <w:tc>
          <w:tcPr>
            <w:tcW w:w="1166"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54" w:right="0"/>
              <w:jc w:val="left"/>
              <w:rPr>
                <w:rFonts w:ascii="宋体" w:hAnsi="宋体" w:cs="宋体" w:eastAsia="宋体" w:hint="default"/>
                <w:sz w:val="18"/>
                <w:szCs w:val="18"/>
              </w:rPr>
            </w:pPr>
            <w:r>
              <w:rPr>
                <w:rFonts w:ascii="宋体" w:hAnsi="宋体" w:cs="宋体" w:eastAsia="宋体" w:hint="default"/>
                <w:sz w:val="18"/>
                <w:szCs w:val="18"/>
              </w:rPr>
              <w:t>成都职业学院</w:t>
            </w:r>
          </w:p>
        </w:tc>
        <w:tc>
          <w:tcPr>
            <w:tcW w:w="870"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
              <w:jc w:val="right"/>
              <w:rPr>
                <w:rFonts w:ascii="Times New Roman" w:hAnsi="Times New Roman" w:cs="Times New Roman" w:eastAsia="Times New Roman" w:hint="default"/>
                <w:sz w:val="18"/>
                <w:szCs w:val="18"/>
              </w:rPr>
            </w:pPr>
            <w:r>
              <w:rPr>
                <w:rFonts w:ascii="Times New Roman"/>
                <w:sz w:val="18"/>
              </w:rPr>
              <w:t>14,052,867</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3"/>
              <w:jc w:val="right"/>
              <w:rPr>
                <w:rFonts w:ascii="Times New Roman" w:hAnsi="Times New Roman" w:cs="Times New Roman" w:eastAsia="Times New Roman" w:hint="default"/>
                <w:sz w:val="18"/>
                <w:szCs w:val="18"/>
              </w:rPr>
            </w:pPr>
            <w:r>
              <w:rPr>
                <w:rFonts w:ascii="Times New Roman"/>
                <w:sz w:val="18"/>
              </w:rPr>
              <w:t>140,529</w:t>
            </w:r>
          </w:p>
        </w:tc>
      </w:tr>
      <w:tr>
        <w:trPr>
          <w:trHeight w:val="401" w:hRule="exact"/>
        </w:trPr>
        <w:tc>
          <w:tcPr>
            <w:tcW w:w="3842" w:type="dxa"/>
            <w:gridSpan w:val="3"/>
            <w:tcBorders>
              <w:top w:val="nil" w:sz="6" w:space="0" w:color="auto"/>
              <w:left w:val="nil" w:sz="6" w:space="0" w:color="auto"/>
              <w:bottom w:val="nil" w:sz="6" w:space="0" w:color="auto"/>
              <w:right w:val="nil" w:sz="6" w:space="0" w:color="auto"/>
            </w:tcBorders>
          </w:tcPr>
          <w:p>
            <w:pPr>
              <w:pStyle w:val="TableParagraph"/>
              <w:tabs>
                <w:tab w:pos="3007" w:val="left" w:leader="none"/>
              </w:tabs>
              <w:spacing w:line="240" w:lineRule="auto" w:before="40"/>
              <w:ind w:left="1600"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    计</w:t>
              <w:tab/>
            </w:r>
            <w:r>
              <w:rPr>
                <w:rFonts w:ascii="Times New Roman" w:hAnsi="Times New Roman" w:cs="Times New Roman" w:eastAsia="Times New Roman" w:hint="default"/>
                <w:sz w:val="18"/>
                <w:szCs w:val="18"/>
              </w:rPr>
              <w:t>26,641,204</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83"/>
              <w:jc w:val="right"/>
              <w:rPr>
                <w:rFonts w:ascii="Times New Roman" w:hAnsi="Times New Roman" w:cs="Times New Roman" w:eastAsia="Times New Roman" w:hint="default"/>
                <w:sz w:val="18"/>
                <w:szCs w:val="18"/>
              </w:rPr>
            </w:pPr>
            <w:r>
              <w:rPr>
                <w:rFonts w:ascii="Times New Roman"/>
                <w:sz w:val="18"/>
              </w:rPr>
              <w:t>974,043</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z w:val="18"/>
              </w:rPr>
              <w:t>40,793,551</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43"/>
              <w:jc w:val="right"/>
              <w:rPr>
                <w:rFonts w:ascii="Times New Roman" w:hAnsi="Times New Roman" w:cs="Times New Roman" w:eastAsia="Times New Roman" w:hint="default"/>
                <w:sz w:val="18"/>
                <w:szCs w:val="18"/>
              </w:rPr>
            </w:pPr>
            <w:r>
              <w:rPr>
                <w:rFonts w:ascii="Times New Roman"/>
                <w:sz w:val="18"/>
              </w:rPr>
              <w:t>223,813</w:t>
            </w:r>
          </w:p>
        </w:tc>
      </w:tr>
      <w:tr>
        <w:trPr>
          <w:trHeight w:val="400" w:hRule="exact"/>
        </w:trPr>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44"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1806" w:type="dxa"/>
            <w:tcBorders>
              <w:top w:val="nil" w:sz="6" w:space="0" w:color="auto"/>
              <w:left w:val="nil" w:sz="6" w:space="0" w:color="auto"/>
              <w:bottom w:val="nil" w:sz="6" w:space="0" w:color="auto"/>
              <w:right w:val="nil" w:sz="6" w:space="0" w:color="auto"/>
            </w:tcBorders>
          </w:tcPr>
          <w:p>
            <w:pPr/>
          </w:p>
        </w:tc>
        <w:tc>
          <w:tcPr>
            <w:tcW w:w="870" w:type="dxa"/>
            <w:tcBorders>
              <w:top w:val="nil" w:sz="6" w:space="0" w:color="auto"/>
              <w:left w:val="nil" w:sz="6" w:space="0" w:color="auto"/>
              <w:bottom w:val="nil" w:sz="6" w:space="0" w:color="auto"/>
              <w:right w:val="nil" w:sz="6" w:space="0" w:color="auto"/>
            </w:tcBorders>
          </w:tcPr>
          <w:p>
            <w:pPr/>
          </w:p>
        </w:tc>
        <w:tc>
          <w:tcPr>
            <w:tcW w:w="4507" w:type="dxa"/>
            <w:gridSpan w:val="3"/>
            <w:tcBorders>
              <w:top w:val="nil" w:sz="6" w:space="0" w:color="auto"/>
              <w:left w:val="nil" w:sz="6" w:space="0" w:color="auto"/>
              <w:bottom w:val="nil" w:sz="6" w:space="0" w:color="auto"/>
              <w:right w:val="nil" w:sz="6" w:space="0" w:color="auto"/>
            </w:tcBorders>
          </w:tcPr>
          <w:p>
            <w:pPr/>
          </w:p>
        </w:tc>
      </w:tr>
      <w:tr>
        <w:trPr>
          <w:trHeight w:val="420" w:hRule="exact"/>
        </w:trPr>
        <w:tc>
          <w:tcPr>
            <w:tcW w:w="1166"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54" w:right="0"/>
              <w:jc w:val="left"/>
              <w:rPr>
                <w:rFonts w:ascii="宋体" w:hAnsi="宋体" w:cs="宋体" w:eastAsia="宋体" w:hint="default"/>
                <w:sz w:val="18"/>
                <w:szCs w:val="18"/>
              </w:rPr>
            </w:pPr>
            <w:r>
              <w:rPr>
                <w:rFonts w:ascii="宋体" w:hAnsi="宋体" w:cs="宋体" w:eastAsia="宋体" w:hint="default"/>
                <w:sz w:val="18"/>
                <w:szCs w:val="18"/>
              </w:rPr>
              <w:t>阿尔派日本</w:t>
            </w:r>
          </w:p>
        </w:tc>
        <w:tc>
          <w:tcPr>
            <w:tcW w:w="870" w:type="dxa"/>
            <w:tcBorders>
              <w:top w:val="nil" w:sz="6" w:space="0" w:color="auto"/>
              <w:left w:val="nil" w:sz="6" w:space="0" w:color="auto"/>
              <w:bottom w:val="nil" w:sz="6" w:space="0" w:color="auto"/>
              <w:right w:val="nil" w:sz="6" w:space="0" w:color="auto"/>
            </w:tcBorders>
          </w:tcPr>
          <w:p>
            <w:pPr/>
          </w:p>
        </w:tc>
        <w:tc>
          <w:tcPr>
            <w:tcW w:w="450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11"/>
              <w:ind w:left="513" w:right="0"/>
              <w:jc w:val="center"/>
              <w:rPr>
                <w:rFonts w:ascii="Times New Roman" w:hAnsi="Times New Roman" w:cs="Times New Roman" w:eastAsia="Times New Roman" w:hint="default"/>
                <w:sz w:val="18"/>
                <w:szCs w:val="18"/>
              </w:rPr>
            </w:pPr>
            <w:r>
              <w:rPr>
                <w:rFonts w:ascii="Times New Roman"/>
                <w:sz w:val="18"/>
              </w:rPr>
              <w:t>559,690</w:t>
            </w:r>
          </w:p>
        </w:tc>
      </w:tr>
      <w:tr>
        <w:trPr>
          <w:trHeight w:val="410" w:hRule="exact"/>
        </w:trPr>
        <w:tc>
          <w:tcPr>
            <w:tcW w:w="1166"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54" w:right="0"/>
              <w:jc w:val="left"/>
              <w:rPr>
                <w:rFonts w:ascii="宋体" w:hAnsi="宋体" w:cs="宋体" w:eastAsia="宋体" w:hint="default"/>
                <w:sz w:val="18"/>
                <w:szCs w:val="18"/>
              </w:rPr>
            </w:pPr>
            <w:r>
              <w:rPr>
                <w:rFonts w:ascii="宋体" w:hAnsi="宋体" w:cs="宋体" w:eastAsia="宋体" w:hint="default"/>
                <w:sz w:val="18"/>
                <w:szCs w:val="18"/>
              </w:rPr>
              <w:t>成都职业学院</w:t>
            </w:r>
          </w:p>
        </w:tc>
        <w:tc>
          <w:tcPr>
            <w:tcW w:w="87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
              <w:jc w:val="right"/>
              <w:rPr>
                <w:rFonts w:ascii="Times New Roman" w:hAnsi="Times New Roman" w:cs="Times New Roman" w:eastAsia="Times New Roman" w:hint="default"/>
                <w:sz w:val="18"/>
                <w:szCs w:val="18"/>
              </w:rPr>
            </w:pPr>
            <w:r>
              <w:rPr>
                <w:rFonts w:ascii="Times New Roman"/>
                <w:sz w:val="18"/>
              </w:rPr>
              <w:t>1,000,000</w:t>
            </w:r>
          </w:p>
        </w:tc>
        <w:tc>
          <w:tcPr>
            <w:tcW w:w="450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01"/>
              <w:ind w:left="377" w:right="0"/>
              <w:jc w:val="center"/>
              <w:rPr>
                <w:rFonts w:ascii="Times New Roman" w:hAnsi="Times New Roman" w:cs="Times New Roman" w:eastAsia="Times New Roman" w:hint="default"/>
                <w:sz w:val="18"/>
                <w:szCs w:val="18"/>
              </w:rPr>
            </w:pPr>
            <w:r>
              <w:rPr>
                <w:rFonts w:ascii="Times New Roman"/>
                <w:sz w:val="18"/>
              </w:rPr>
              <w:t>1,786,667</w:t>
            </w:r>
          </w:p>
        </w:tc>
      </w:tr>
      <w:tr>
        <w:trPr>
          <w:trHeight w:val="410" w:hRule="exact"/>
        </w:trPr>
        <w:tc>
          <w:tcPr>
            <w:tcW w:w="1166"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54" w:right="0"/>
              <w:jc w:val="left"/>
              <w:rPr>
                <w:rFonts w:ascii="宋体" w:hAnsi="宋体" w:cs="宋体" w:eastAsia="宋体" w:hint="default"/>
                <w:sz w:val="18"/>
                <w:szCs w:val="18"/>
              </w:rPr>
            </w:pPr>
            <w:r>
              <w:rPr>
                <w:rFonts w:ascii="宋体" w:hAnsi="宋体" w:cs="宋体" w:eastAsia="宋体" w:hint="default"/>
                <w:sz w:val="18"/>
                <w:szCs w:val="18"/>
              </w:rPr>
              <w:t>大连职业学院</w:t>
            </w:r>
          </w:p>
        </w:tc>
        <w:tc>
          <w:tcPr>
            <w:tcW w:w="87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
              <w:jc w:val="right"/>
              <w:rPr>
                <w:rFonts w:ascii="Times New Roman" w:hAnsi="Times New Roman" w:cs="Times New Roman" w:eastAsia="Times New Roman" w:hint="default"/>
                <w:sz w:val="18"/>
                <w:szCs w:val="18"/>
              </w:rPr>
            </w:pPr>
            <w:r>
              <w:rPr>
                <w:rFonts w:ascii="Times New Roman"/>
                <w:sz w:val="18"/>
              </w:rPr>
              <w:t>1,333,333</w:t>
            </w:r>
          </w:p>
        </w:tc>
        <w:tc>
          <w:tcPr>
            <w:tcW w:w="450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01"/>
              <w:ind w:left="519" w:right="0"/>
              <w:jc w:val="center"/>
              <w:rPr>
                <w:rFonts w:ascii="Times New Roman" w:hAnsi="Times New Roman" w:cs="Times New Roman" w:eastAsia="Times New Roman" w:hint="default"/>
                <w:sz w:val="18"/>
                <w:szCs w:val="18"/>
              </w:rPr>
            </w:pPr>
            <w:r>
              <w:rPr>
                <w:rFonts w:ascii="Times New Roman"/>
                <w:sz w:val="18"/>
              </w:rPr>
              <w:t>112,200</w:t>
            </w:r>
          </w:p>
        </w:tc>
      </w:tr>
      <w:tr>
        <w:trPr>
          <w:trHeight w:val="410" w:hRule="exact"/>
        </w:trPr>
        <w:tc>
          <w:tcPr>
            <w:tcW w:w="1166"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54" w:right="0"/>
              <w:jc w:val="left"/>
              <w:rPr>
                <w:rFonts w:ascii="宋体" w:hAnsi="宋体" w:cs="宋体" w:eastAsia="宋体" w:hint="default"/>
                <w:sz w:val="18"/>
                <w:szCs w:val="18"/>
              </w:rPr>
            </w:pPr>
            <w:r>
              <w:rPr>
                <w:rFonts w:ascii="宋体" w:hAnsi="宋体" w:cs="宋体" w:eastAsia="宋体" w:hint="default"/>
                <w:sz w:val="18"/>
                <w:szCs w:val="18"/>
              </w:rPr>
              <w:t>南海职业学院</w:t>
            </w:r>
          </w:p>
        </w:tc>
        <w:tc>
          <w:tcPr>
            <w:tcW w:w="87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
              <w:jc w:val="right"/>
              <w:rPr>
                <w:rFonts w:ascii="Times New Roman" w:hAnsi="Times New Roman" w:cs="Times New Roman" w:eastAsia="Times New Roman" w:hint="default"/>
                <w:sz w:val="18"/>
                <w:szCs w:val="18"/>
              </w:rPr>
            </w:pPr>
            <w:r>
              <w:rPr>
                <w:rFonts w:ascii="Times New Roman"/>
                <w:sz w:val="18"/>
              </w:rPr>
              <w:t>1,000,000</w:t>
            </w:r>
          </w:p>
        </w:tc>
        <w:tc>
          <w:tcPr>
            <w:tcW w:w="450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01"/>
              <w:ind w:left="377" w:right="0"/>
              <w:jc w:val="center"/>
              <w:rPr>
                <w:rFonts w:ascii="Times New Roman" w:hAnsi="Times New Roman" w:cs="Times New Roman" w:eastAsia="Times New Roman" w:hint="default"/>
                <w:sz w:val="18"/>
                <w:szCs w:val="18"/>
              </w:rPr>
            </w:pPr>
            <w:r>
              <w:rPr>
                <w:rFonts w:ascii="Times New Roman"/>
                <w:sz w:val="18"/>
              </w:rPr>
              <w:t>1,786,667</w:t>
            </w:r>
          </w:p>
        </w:tc>
      </w:tr>
      <w:tr>
        <w:trPr>
          <w:trHeight w:val="406" w:hRule="exact"/>
        </w:trPr>
        <w:tc>
          <w:tcPr>
            <w:tcW w:w="1166" w:type="dxa"/>
            <w:tcBorders>
              <w:top w:val="nil" w:sz="6" w:space="0" w:color="auto"/>
              <w:left w:val="nil" w:sz="6" w:space="0" w:color="auto"/>
              <w:bottom w:val="nil" w:sz="6" w:space="0" w:color="auto"/>
              <w:right w:val="nil" w:sz="6" w:space="0" w:color="auto"/>
            </w:tcBorders>
          </w:tcPr>
          <w:p>
            <w:pP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434" w:right="0"/>
              <w:jc w:val="left"/>
              <w:rPr>
                <w:rFonts w:ascii="宋体" w:hAnsi="宋体" w:cs="宋体" w:eastAsia="宋体" w:hint="default"/>
                <w:sz w:val="18"/>
                <w:szCs w:val="18"/>
              </w:rPr>
            </w:pPr>
            <w:r>
              <w:rPr>
                <w:rFonts w:ascii="宋体" w:hAnsi="宋体" w:cs="宋体" w:eastAsia="宋体" w:hint="default"/>
                <w:sz w:val="18"/>
                <w:szCs w:val="18"/>
              </w:rPr>
              <w:t>合    计 </w:t>
            </w:r>
          </w:p>
        </w:tc>
        <w:tc>
          <w:tcPr>
            <w:tcW w:w="87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
              <w:jc w:val="right"/>
              <w:rPr>
                <w:rFonts w:ascii="Times New Roman" w:hAnsi="Times New Roman" w:cs="Times New Roman" w:eastAsia="Times New Roman" w:hint="default"/>
                <w:sz w:val="18"/>
                <w:szCs w:val="18"/>
              </w:rPr>
            </w:pPr>
            <w:r>
              <w:rPr>
                <w:rFonts w:ascii="Times New Roman"/>
                <w:sz w:val="18"/>
              </w:rPr>
              <w:t>3,333,333</w:t>
            </w:r>
          </w:p>
        </w:tc>
        <w:tc>
          <w:tcPr>
            <w:tcW w:w="450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01"/>
              <w:ind w:left="377" w:right="0"/>
              <w:jc w:val="center"/>
              <w:rPr>
                <w:rFonts w:ascii="Times New Roman" w:hAnsi="Times New Roman" w:cs="Times New Roman" w:eastAsia="Times New Roman" w:hint="default"/>
                <w:sz w:val="18"/>
                <w:szCs w:val="18"/>
              </w:rPr>
            </w:pPr>
            <w:r>
              <w:rPr>
                <w:rFonts w:ascii="Times New Roman"/>
                <w:sz w:val="18"/>
              </w:rPr>
              <w:t>4,245,224</w:t>
            </w:r>
          </w:p>
        </w:tc>
      </w:tr>
      <w:tr>
        <w:trPr>
          <w:trHeight w:val="319" w:hRule="exact"/>
        </w:trPr>
        <w:tc>
          <w:tcPr>
            <w:tcW w:w="1166" w:type="dxa"/>
            <w:tcBorders>
              <w:top w:val="nil" w:sz="6" w:space="0" w:color="auto"/>
              <w:left w:val="nil" w:sz="6" w:space="0" w:color="auto"/>
              <w:bottom w:val="single" w:sz="8" w:space="0" w:color="000000"/>
              <w:right w:val="nil" w:sz="6" w:space="0" w:color="auto"/>
            </w:tcBorders>
          </w:tcPr>
          <w:p>
            <w:pPr>
              <w:pStyle w:val="TableParagraph"/>
              <w:spacing w:line="240" w:lineRule="auto" w:before="45"/>
              <w:ind w:left="44"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806" w:type="dxa"/>
            <w:tcBorders>
              <w:top w:val="nil" w:sz="6" w:space="0" w:color="auto"/>
              <w:left w:val="nil" w:sz="6" w:space="0" w:color="auto"/>
              <w:bottom w:val="single" w:sz="8" w:space="0" w:color="000000"/>
              <w:right w:val="nil" w:sz="6" w:space="0" w:color="auto"/>
            </w:tcBorders>
          </w:tcPr>
          <w:p>
            <w:pPr/>
          </w:p>
        </w:tc>
        <w:tc>
          <w:tcPr>
            <w:tcW w:w="870" w:type="dxa"/>
            <w:tcBorders>
              <w:top w:val="nil" w:sz="6" w:space="0" w:color="auto"/>
              <w:left w:val="nil" w:sz="6" w:space="0" w:color="auto"/>
              <w:bottom w:val="single" w:sz="8" w:space="0" w:color="000000"/>
              <w:right w:val="nil" w:sz="6" w:space="0" w:color="auto"/>
            </w:tcBorders>
          </w:tcPr>
          <w:p>
            <w:pPr/>
          </w:p>
        </w:tc>
        <w:tc>
          <w:tcPr>
            <w:tcW w:w="4507" w:type="dxa"/>
            <w:gridSpan w:val="3"/>
            <w:tcBorders>
              <w:top w:val="nil" w:sz="6" w:space="0" w:color="auto"/>
              <w:left w:val="nil" w:sz="6" w:space="0" w:color="auto"/>
              <w:bottom w:val="single" w:sz="8" w:space="0" w:color="000000"/>
              <w:right w:val="nil" w:sz="6" w:space="0" w:color="auto"/>
            </w:tcBorders>
          </w:tcPr>
          <w:p>
            <w:pPr/>
          </w:p>
        </w:tc>
      </w:tr>
    </w:tbl>
    <w:p>
      <w:pPr>
        <w:spacing w:after="0"/>
        <w:sectPr>
          <w:pgSz w:w="11900" w:h="16840"/>
          <w:pgMar w:header="883" w:footer="1003" w:top="1540" w:bottom="1200" w:left="1480" w:right="1140"/>
        </w:sectPr>
      </w:pPr>
    </w:p>
    <w:p>
      <w:pPr>
        <w:spacing w:line="240" w:lineRule="auto" w:before="12"/>
        <w:rPr>
          <w:rFonts w:ascii="宋体" w:hAnsi="宋体" w:cs="宋体" w:eastAsia="宋体" w:hint="default"/>
          <w:sz w:val="12"/>
          <w:szCs w:val="12"/>
        </w:rPr>
      </w:pPr>
      <w:r>
        <w:rPr/>
        <w:pict>
          <v:group style="position:absolute;margin-left:79.260010pt;margin-top:79.560020pt;width:453.15pt;height:222.1pt;mso-position-horizontal-relative:page;mso-position-vertical-relative:page;z-index:-977224" coordorigin="1585,1591" coordsize="9063,4442">
            <v:group style="position:absolute;left:1590;top:1596;width:9053;height:2" coordorigin="1590,1596" coordsize="9053,2">
              <v:shape style="position:absolute;left:1590;top:1596;width:9053;height:2" coordorigin="1590,1596" coordsize="9053,0" path="m1590,1596l10643,1596e" filled="false" stroked="true" strokeweight=".47998pt" strokecolor="#000000">
                <v:path arrowok="t"/>
              </v:shape>
            </v:group>
            <v:group style="position:absolute;left:2315;top:1610;width:1265;height:2" coordorigin="2315,1610" coordsize="1265,2">
              <v:shape style="position:absolute;left:2315;top:1610;width:1265;height:2" coordorigin="2315,1610" coordsize="1265,0" path="m2315,1610l3580,1610e" filled="false" stroked="true" strokeweight=".96002pt" strokecolor="#000000">
                <v:path arrowok="t"/>
              </v:shape>
            </v:group>
            <v:group style="position:absolute;left:3580;top:1610;width:1340;height:2" coordorigin="3580,1610" coordsize="1340,2">
              <v:shape style="position:absolute;left:3580;top:1610;width:1340;height:2" coordorigin="3580,1610" coordsize="1340,0" path="m3580,1610l4919,1610e" filled="false" stroked="true" strokeweight=".96002pt" strokecolor="#000000">
                <v:path arrowok="t"/>
              </v:shape>
            </v:group>
            <v:group style="position:absolute;left:4919;top:1610;width:2874;height:2" coordorigin="4919,1610" coordsize="2874,2">
              <v:shape style="position:absolute;left:4919;top:1610;width:2874;height:2" coordorigin="4919,1610" coordsize="2874,0" path="m4919,1610l7793,1610e" filled="false" stroked="true" strokeweight=".96002pt" strokecolor="#000000">
                <v:path arrowok="t"/>
              </v:shape>
            </v:group>
            <v:group style="position:absolute;left:7793;top:1610;width:2829;height:2" coordorigin="7793,1610" coordsize="2829,2">
              <v:shape style="position:absolute;left:7793;top:1610;width:2829;height:2" coordorigin="7793,1610" coordsize="2829,0" path="m7793,1610l10621,1610e" filled="false" stroked="true" strokeweight=".96002pt" strokecolor="#000000">
                <v:path arrowok="t"/>
              </v:shape>
              <v:shape style="position:absolute;left:2308;top:1620;width:8327;height:4412" type="#_x0000_t75" stroked="false">
                <v:imagedata r:id="rId158" o:title=""/>
              </v:shape>
            </v:group>
            <w10:wrap type="none"/>
          </v:group>
        </w:pict>
      </w:r>
    </w:p>
    <w:tbl>
      <w:tblPr>
        <w:tblW w:w="0" w:type="auto"/>
        <w:jc w:val="left"/>
        <w:tblInd w:w="833" w:type="dxa"/>
        <w:tblLayout w:type="fixed"/>
        <w:tblCellMar>
          <w:top w:w="0" w:type="dxa"/>
          <w:left w:w="0" w:type="dxa"/>
          <w:bottom w:w="0" w:type="dxa"/>
          <w:right w:w="0" w:type="dxa"/>
        </w:tblCellMar>
        <w:tblLook w:val="01E0"/>
      </w:tblPr>
      <w:tblGrid>
        <w:gridCol w:w="1166"/>
        <w:gridCol w:w="1543"/>
        <w:gridCol w:w="1133"/>
        <w:gridCol w:w="1773"/>
        <w:gridCol w:w="1055"/>
        <w:gridCol w:w="1665"/>
      </w:tblGrid>
      <w:tr>
        <w:trPr>
          <w:trHeight w:val="492" w:hRule="exact"/>
        </w:trPr>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91"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52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133"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4"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1055" w:type="dxa"/>
            <w:tcBorders>
              <w:top w:val="nil" w:sz="6" w:space="0" w:color="auto"/>
              <w:left w:val="nil" w:sz="6" w:space="0" w:color="auto"/>
              <w:bottom w:val="nil" w:sz="6" w:space="0" w:color="auto"/>
              <w:right w:val="nil" w:sz="6" w:space="0" w:color="auto"/>
            </w:tcBorders>
          </w:tcPr>
          <w:p>
            <w:pP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8" w:right="0"/>
              <w:jc w:val="left"/>
              <w:rPr>
                <w:rFonts w:ascii="宋体" w:hAnsi="宋体" w:cs="宋体" w:eastAsia="宋体" w:hint="default"/>
                <w:sz w:val="18"/>
                <w:szCs w:val="18"/>
              </w:rPr>
            </w:pPr>
            <w:r>
              <w:rPr>
                <w:rFonts w:ascii="宋体" w:hAnsi="宋体" w:cs="宋体" w:eastAsia="宋体" w:hint="default"/>
                <w:sz w:val="18"/>
                <w:szCs w:val="18"/>
              </w:rPr>
              <w:t>期初</w:t>
            </w:r>
          </w:p>
        </w:tc>
      </w:tr>
      <w:tr>
        <w:trPr>
          <w:trHeight w:val="308" w:hRule="exact"/>
        </w:trPr>
        <w:tc>
          <w:tcPr>
            <w:tcW w:w="1166"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197" w:lineRule="exact"/>
              <w:ind w:left="349"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773" w:type="dxa"/>
            <w:tcBorders>
              <w:top w:val="nil" w:sz="6" w:space="0" w:color="auto"/>
              <w:left w:val="nil" w:sz="6" w:space="0" w:color="auto"/>
              <w:bottom w:val="nil" w:sz="6" w:space="0" w:color="auto"/>
              <w:right w:val="nil" w:sz="6" w:space="0" w:color="auto"/>
            </w:tcBorders>
          </w:tcPr>
          <w:p>
            <w:pPr>
              <w:pStyle w:val="TableParagraph"/>
              <w:spacing w:line="197" w:lineRule="exact"/>
              <w:ind w:left="23" w:right="0"/>
              <w:jc w:val="left"/>
              <w:rPr>
                <w:rFonts w:ascii="宋体" w:hAnsi="宋体" w:cs="宋体" w:eastAsia="宋体" w:hint="default"/>
                <w:sz w:val="18"/>
                <w:szCs w:val="18"/>
              </w:rPr>
            </w:pPr>
            <w:r>
              <w:rPr>
                <w:rFonts w:ascii="宋体" w:hAnsi="宋体" w:cs="宋体" w:eastAsia="宋体" w:hint="default"/>
                <w:sz w:val="18"/>
                <w:szCs w:val="18"/>
              </w:rPr>
              <w:t>其中：计提减值金额</w:t>
            </w:r>
          </w:p>
        </w:tc>
        <w:tc>
          <w:tcPr>
            <w:tcW w:w="1055" w:type="dxa"/>
            <w:tcBorders>
              <w:top w:val="nil" w:sz="6" w:space="0" w:color="auto"/>
              <w:left w:val="nil" w:sz="6" w:space="0" w:color="auto"/>
              <w:bottom w:val="nil" w:sz="6" w:space="0" w:color="auto"/>
              <w:right w:val="nil" w:sz="6" w:space="0" w:color="auto"/>
            </w:tcBorders>
          </w:tcPr>
          <w:p>
            <w:pPr>
              <w:pStyle w:val="TableParagraph"/>
              <w:spacing w:line="197" w:lineRule="exact"/>
              <w:ind w:left="29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665" w:type="dxa"/>
            <w:tcBorders>
              <w:top w:val="nil" w:sz="6" w:space="0" w:color="auto"/>
              <w:left w:val="nil" w:sz="6" w:space="0" w:color="auto"/>
              <w:bottom w:val="nil" w:sz="6" w:space="0" w:color="auto"/>
              <w:right w:val="nil" w:sz="6" w:space="0" w:color="auto"/>
            </w:tcBorders>
          </w:tcPr>
          <w:p>
            <w:pPr>
              <w:pStyle w:val="TableParagraph"/>
              <w:spacing w:line="197" w:lineRule="exact"/>
              <w:ind w:left="24" w:right="0"/>
              <w:jc w:val="left"/>
              <w:rPr>
                <w:rFonts w:ascii="宋体" w:hAnsi="宋体" w:cs="宋体" w:eastAsia="宋体" w:hint="default"/>
                <w:sz w:val="18"/>
                <w:szCs w:val="18"/>
              </w:rPr>
            </w:pPr>
            <w:r>
              <w:rPr>
                <w:rFonts w:ascii="宋体" w:hAnsi="宋体" w:cs="宋体" w:eastAsia="宋体" w:hint="default"/>
                <w:sz w:val="18"/>
                <w:szCs w:val="18"/>
              </w:rPr>
              <w:t>其中：计提减值金额</w:t>
            </w:r>
          </w:p>
        </w:tc>
      </w:tr>
      <w:tr>
        <w:trPr>
          <w:trHeight w:val="410" w:hRule="exact"/>
        </w:trPr>
        <w:tc>
          <w:tcPr>
            <w:tcW w:w="1166"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54" w:right="0"/>
              <w:jc w:val="left"/>
              <w:rPr>
                <w:rFonts w:ascii="宋体" w:hAnsi="宋体" w:cs="宋体" w:eastAsia="宋体" w:hint="default"/>
                <w:sz w:val="18"/>
                <w:szCs w:val="18"/>
              </w:rPr>
            </w:pPr>
            <w:r>
              <w:rPr>
                <w:rFonts w:ascii="宋体" w:hAnsi="宋体" w:cs="宋体" w:eastAsia="宋体" w:hint="default"/>
                <w:sz w:val="18"/>
                <w:szCs w:val="18"/>
              </w:rPr>
              <w:t>成都职业学院</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79,040,000</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39"/>
              <w:jc w:val="right"/>
              <w:rPr>
                <w:rFonts w:ascii="Times New Roman" w:hAnsi="Times New Roman" w:cs="Times New Roman" w:eastAsia="Times New Roman" w:hint="default"/>
                <w:sz w:val="18"/>
                <w:szCs w:val="18"/>
              </w:rPr>
            </w:pPr>
            <w:r>
              <w:rPr>
                <w:rFonts w:ascii="Times New Roman"/>
                <w:sz w:val="18"/>
              </w:rPr>
              <w:t>6,600,000</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z w:val="18"/>
              </w:rPr>
              <w:t>154,130,000</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8"/>
              <w:jc w:val="right"/>
              <w:rPr>
                <w:rFonts w:ascii="Times New Roman" w:hAnsi="Times New Roman" w:cs="Times New Roman" w:eastAsia="Times New Roman" w:hint="default"/>
                <w:sz w:val="18"/>
                <w:szCs w:val="18"/>
              </w:rPr>
            </w:pPr>
            <w:r>
              <w:rPr>
                <w:rFonts w:ascii="Times New Roman"/>
                <w:sz w:val="18"/>
              </w:rPr>
              <w:t>20,000,000</w:t>
            </w:r>
          </w:p>
        </w:tc>
      </w:tr>
      <w:tr>
        <w:trPr>
          <w:trHeight w:val="400" w:hRule="exact"/>
        </w:trPr>
        <w:tc>
          <w:tcPr>
            <w:tcW w:w="1166"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4" w:right="0"/>
              <w:jc w:val="left"/>
              <w:rPr>
                <w:rFonts w:ascii="宋体" w:hAnsi="宋体" w:cs="宋体" w:eastAsia="宋体" w:hint="default"/>
                <w:sz w:val="18"/>
                <w:szCs w:val="18"/>
              </w:rPr>
            </w:pPr>
            <w:r>
              <w:rPr>
                <w:rFonts w:ascii="宋体" w:hAnsi="宋体" w:cs="宋体" w:eastAsia="宋体" w:hint="default"/>
                <w:sz w:val="18"/>
                <w:szCs w:val="18"/>
              </w:rPr>
              <w:t>南海职业学院</w:t>
            </w:r>
          </w:p>
        </w:tc>
        <w:tc>
          <w:tcPr>
            <w:tcW w:w="1133"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40,347,460</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9"/>
              <w:jc w:val="right"/>
              <w:rPr>
                <w:rFonts w:ascii="Times New Roman" w:hAnsi="Times New Roman" w:cs="Times New Roman" w:eastAsia="Times New Roman" w:hint="default"/>
                <w:sz w:val="18"/>
                <w:szCs w:val="18"/>
              </w:rPr>
            </w:pPr>
            <w:r>
              <w:rPr>
                <w:rFonts w:ascii="Times New Roman"/>
                <w:sz w:val="18"/>
              </w:rPr>
              <w:t>173,882</w:t>
            </w:r>
          </w:p>
        </w:tc>
      </w:tr>
      <w:tr>
        <w:trPr>
          <w:trHeight w:val="400" w:hRule="exact"/>
        </w:trPr>
        <w:tc>
          <w:tcPr>
            <w:tcW w:w="1166"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96"/>
              <w:jc w:val="right"/>
              <w:rPr>
                <w:rFonts w:ascii="宋体" w:hAnsi="宋体" w:cs="宋体" w:eastAsia="宋体" w:hint="default"/>
                <w:sz w:val="18"/>
                <w:szCs w:val="18"/>
              </w:rPr>
            </w:pPr>
            <w:r>
              <w:rPr>
                <w:rFonts w:ascii="宋体" w:hAnsi="宋体" w:cs="宋体" w:eastAsia="宋体" w:hint="default"/>
                <w:sz w:val="18"/>
                <w:szCs w:val="18"/>
              </w:rPr>
              <w:t>合    计 </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z w:val="18"/>
              </w:rPr>
              <w:t>79,040,000</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39"/>
              <w:jc w:val="right"/>
              <w:rPr>
                <w:rFonts w:ascii="Times New Roman" w:hAnsi="Times New Roman" w:cs="Times New Roman" w:eastAsia="Times New Roman" w:hint="default"/>
                <w:sz w:val="18"/>
                <w:szCs w:val="18"/>
              </w:rPr>
            </w:pPr>
            <w:r>
              <w:rPr>
                <w:rFonts w:ascii="Times New Roman"/>
                <w:sz w:val="18"/>
              </w:rPr>
              <w:t>6,600,000</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2"/>
              <w:jc w:val="right"/>
              <w:rPr>
                <w:rFonts w:ascii="Times New Roman" w:hAnsi="Times New Roman" w:cs="Times New Roman" w:eastAsia="Times New Roman" w:hint="default"/>
                <w:sz w:val="18"/>
                <w:szCs w:val="18"/>
              </w:rPr>
            </w:pPr>
            <w:r>
              <w:rPr>
                <w:rFonts w:ascii="Times New Roman"/>
                <w:sz w:val="18"/>
              </w:rPr>
              <w:t>194,477,460</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8"/>
              <w:jc w:val="right"/>
              <w:rPr>
                <w:rFonts w:ascii="Times New Roman" w:hAnsi="Times New Roman" w:cs="Times New Roman" w:eastAsia="Times New Roman" w:hint="default"/>
                <w:sz w:val="18"/>
                <w:szCs w:val="18"/>
              </w:rPr>
            </w:pPr>
            <w:r>
              <w:rPr>
                <w:rFonts w:ascii="Times New Roman"/>
                <w:sz w:val="18"/>
              </w:rPr>
              <w:t>20,173,882</w:t>
            </w:r>
          </w:p>
        </w:tc>
      </w:tr>
      <w:tr>
        <w:trPr>
          <w:trHeight w:val="390" w:hRule="exact"/>
        </w:trPr>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54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
        </w:tc>
        <w:tc>
          <w:tcPr>
            <w:tcW w:w="1665" w:type="dxa"/>
            <w:tcBorders>
              <w:top w:val="nil" w:sz="6" w:space="0" w:color="auto"/>
              <w:left w:val="nil" w:sz="6" w:space="0" w:color="auto"/>
              <w:bottom w:val="nil" w:sz="6" w:space="0" w:color="auto"/>
              <w:right w:val="nil" w:sz="6" w:space="0" w:color="auto"/>
            </w:tcBorders>
          </w:tcPr>
          <w:p>
            <w:pPr/>
          </w:p>
        </w:tc>
      </w:tr>
      <w:tr>
        <w:trPr>
          <w:trHeight w:val="410" w:hRule="exact"/>
        </w:trPr>
        <w:tc>
          <w:tcPr>
            <w:tcW w:w="1166"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91" w:right="0"/>
              <w:jc w:val="left"/>
              <w:rPr>
                <w:rFonts w:ascii="宋体" w:hAnsi="宋体" w:cs="宋体" w:eastAsia="宋体" w:hint="default"/>
                <w:sz w:val="18"/>
                <w:szCs w:val="18"/>
              </w:rPr>
            </w:pPr>
            <w:r>
              <w:rPr>
                <w:rFonts w:ascii="宋体" w:hAnsi="宋体" w:cs="宋体" w:eastAsia="宋体" w:hint="default"/>
                <w:sz w:val="18"/>
                <w:szCs w:val="18"/>
              </w:rPr>
              <w:t>东软飞利浦</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z w:val="18"/>
              </w:rPr>
              <w:t>88,663,396</w:t>
            </w:r>
          </w:p>
        </w:tc>
        <w:tc>
          <w:tcPr>
            <w:tcW w:w="1773"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79,868,428</w:t>
            </w:r>
          </w:p>
        </w:tc>
        <w:tc>
          <w:tcPr>
            <w:tcW w:w="1665" w:type="dxa"/>
            <w:tcBorders>
              <w:top w:val="nil" w:sz="6" w:space="0" w:color="auto"/>
              <w:left w:val="nil" w:sz="6" w:space="0" w:color="auto"/>
              <w:bottom w:val="nil" w:sz="6" w:space="0" w:color="auto"/>
              <w:right w:val="nil" w:sz="6" w:space="0" w:color="auto"/>
            </w:tcBorders>
          </w:tcPr>
          <w:p>
            <w:pPr/>
          </w:p>
        </w:tc>
      </w:tr>
      <w:tr>
        <w:trPr>
          <w:trHeight w:val="390" w:hRule="exact"/>
        </w:trPr>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4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54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
        </w:tc>
        <w:tc>
          <w:tcPr>
            <w:tcW w:w="1665" w:type="dxa"/>
            <w:tcBorders>
              <w:top w:val="nil" w:sz="6" w:space="0" w:color="auto"/>
              <w:left w:val="nil" w:sz="6" w:space="0" w:color="auto"/>
              <w:bottom w:val="nil" w:sz="6" w:space="0" w:color="auto"/>
              <w:right w:val="nil" w:sz="6" w:space="0" w:color="auto"/>
            </w:tcBorders>
          </w:tcPr>
          <w:p>
            <w:pPr/>
          </w:p>
        </w:tc>
      </w:tr>
      <w:tr>
        <w:trPr>
          <w:trHeight w:val="409" w:hRule="exact"/>
        </w:trPr>
        <w:tc>
          <w:tcPr>
            <w:tcW w:w="1166"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54" w:right="0"/>
              <w:jc w:val="left"/>
              <w:rPr>
                <w:rFonts w:ascii="宋体" w:hAnsi="宋体" w:cs="宋体" w:eastAsia="宋体" w:hint="default"/>
                <w:sz w:val="18"/>
                <w:szCs w:val="18"/>
              </w:rPr>
            </w:pPr>
            <w:r>
              <w:rPr>
                <w:rFonts w:ascii="宋体" w:hAnsi="宋体" w:cs="宋体" w:eastAsia="宋体" w:hint="default"/>
                <w:sz w:val="18"/>
                <w:szCs w:val="18"/>
              </w:rPr>
              <w:t>东北大学</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z w:val="18"/>
              </w:rPr>
              <w:t>26,228,067</w:t>
            </w:r>
          </w:p>
        </w:tc>
        <w:tc>
          <w:tcPr>
            <w:tcW w:w="1773"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21,228,067</w:t>
            </w:r>
          </w:p>
        </w:tc>
        <w:tc>
          <w:tcPr>
            <w:tcW w:w="1665" w:type="dxa"/>
            <w:tcBorders>
              <w:top w:val="nil" w:sz="6" w:space="0" w:color="auto"/>
              <w:left w:val="nil" w:sz="6" w:space="0" w:color="auto"/>
              <w:bottom w:val="nil" w:sz="6" w:space="0" w:color="auto"/>
              <w:right w:val="nil" w:sz="6" w:space="0" w:color="auto"/>
            </w:tcBorders>
          </w:tcPr>
          <w:p>
            <w:pPr/>
          </w:p>
        </w:tc>
      </w:tr>
      <w:tr>
        <w:trPr>
          <w:trHeight w:val="400" w:hRule="exact"/>
        </w:trPr>
        <w:tc>
          <w:tcPr>
            <w:tcW w:w="1166" w:type="dxa"/>
            <w:tcBorders>
              <w:top w:val="nil" w:sz="6" w:space="0" w:color="auto"/>
              <w:left w:val="nil" w:sz="6" w:space="0" w:color="auto"/>
              <w:bottom w:val="nil" w:sz="6" w:space="0" w:color="auto"/>
              <w:right w:val="nil" w:sz="6" w:space="0" w:color="auto"/>
            </w:tcBorders>
          </w:tcPr>
          <w:p>
            <w:pP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4" w:right="0"/>
              <w:jc w:val="left"/>
              <w:rPr>
                <w:rFonts w:ascii="宋体" w:hAnsi="宋体" w:cs="宋体" w:eastAsia="宋体" w:hint="default"/>
                <w:sz w:val="18"/>
                <w:szCs w:val="18"/>
              </w:rPr>
            </w:pPr>
            <w:r>
              <w:rPr>
                <w:rFonts w:ascii="宋体" w:hAnsi="宋体" w:cs="宋体" w:eastAsia="宋体" w:hint="default"/>
                <w:sz w:val="18"/>
                <w:szCs w:val="18"/>
              </w:rPr>
              <w:t>阿尔派中国</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z w:val="18"/>
              </w:rPr>
              <w:t>772,303</w:t>
            </w:r>
          </w:p>
        </w:tc>
        <w:tc>
          <w:tcPr>
            <w:tcW w:w="1773"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
        </w:tc>
        <w:tc>
          <w:tcPr>
            <w:tcW w:w="1665" w:type="dxa"/>
            <w:tcBorders>
              <w:top w:val="nil" w:sz="6" w:space="0" w:color="auto"/>
              <w:left w:val="nil" w:sz="6" w:space="0" w:color="auto"/>
              <w:bottom w:val="nil" w:sz="6" w:space="0" w:color="auto"/>
              <w:right w:val="nil" w:sz="6" w:space="0" w:color="auto"/>
            </w:tcBorders>
          </w:tcPr>
          <w:p>
            <w:pPr/>
          </w:p>
        </w:tc>
      </w:tr>
      <w:tr>
        <w:trPr>
          <w:trHeight w:val="319" w:hRule="exact"/>
        </w:trPr>
        <w:tc>
          <w:tcPr>
            <w:tcW w:w="1166" w:type="dxa"/>
            <w:tcBorders>
              <w:top w:val="nil" w:sz="6" w:space="0" w:color="auto"/>
              <w:left w:val="nil" w:sz="6" w:space="0" w:color="auto"/>
              <w:bottom w:val="single" w:sz="8" w:space="0" w:color="000000"/>
              <w:right w:val="nil" w:sz="6" w:space="0" w:color="auto"/>
            </w:tcBorders>
          </w:tcPr>
          <w:p>
            <w:pPr/>
          </w:p>
        </w:tc>
        <w:tc>
          <w:tcPr>
            <w:tcW w:w="1543" w:type="dxa"/>
            <w:tcBorders>
              <w:top w:val="nil" w:sz="6" w:space="0" w:color="auto"/>
              <w:left w:val="nil" w:sz="6" w:space="0" w:color="auto"/>
              <w:bottom w:val="single" w:sz="8" w:space="0" w:color="000000"/>
              <w:right w:val="nil" w:sz="6" w:space="0" w:color="auto"/>
            </w:tcBorders>
          </w:tcPr>
          <w:p>
            <w:pPr>
              <w:pStyle w:val="TableParagraph"/>
              <w:spacing w:line="240" w:lineRule="auto" w:before="45"/>
              <w:ind w:right="296"/>
              <w:jc w:val="right"/>
              <w:rPr>
                <w:rFonts w:ascii="宋体" w:hAnsi="宋体" w:cs="宋体" w:eastAsia="宋体" w:hint="default"/>
                <w:sz w:val="18"/>
                <w:szCs w:val="18"/>
              </w:rPr>
            </w:pPr>
            <w:r>
              <w:rPr>
                <w:rFonts w:ascii="宋体" w:hAnsi="宋体" w:cs="宋体" w:eastAsia="宋体" w:hint="default"/>
                <w:sz w:val="18"/>
                <w:szCs w:val="18"/>
              </w:rPr>
              <w:t>合    计 </w:t>
            </w:r>
          </w:p>
        </w:tc>
        <w:tc>
          <w:tcPr>
            <w:tcW w:w="1133" w:type="dxa"/>
            <w:tcBorders>
              <w:top w:val="nil" w:sz="6" w:space="0" w:color="auto"/>
              <w:left w:val="nil" w:sz="6" w:space="0" w:color="auto"/>
              <w:bottom w:val="single" w:sz="8" w:space="0" w:color="000000"/>
              <w:right w:val="nil" w:sz="6" w:space="0" w:color="auto"/>
            </w:tcBorders>
          </w:tcPr>
          <w:p>
            <w:pPr>
              <w:pStyle w:val="TableParagraph"/>
              <w:spacing w:line="240" w:lineRule="auto" w:before="97"/>
              <w:ind w:right="22"/>
              <w:jc w:val="right"/>
              <w:rPr>
                <w:rFonts w:ascii="Times New Roman" w:hAnsi="Times New Roman" w:cs="Times New Roman" w:eastAsia="Times New Roman" w:hint="default"/>
                <w:sz w:val="18"/>
                <w:szCs w:val="18"/>
              </w:rPr>
            </w:pPr>
            <w:r>
              <w:rPr>
                <w:rFonts w:ascii="Times New Roman"/>
                <w:sz w:val="18"/>
              </w:rPr>
              <w:t>27,000,370</w:t>
            </w:r>
          </w:p>
        </w:tc>
        <w:tc>
          <w:tcPr>
            <w:tcW w:w="1773" w:type="dxa"/>
            <w:tcBorders>
              <w:top w:val="nil" w:sz="6" w:space="0" w:color="auto"/>
              <w:left w:val="nil" w:sz="6" w:space="0" w:color="auto"/>
              <w:bottom w:val="single" w:sz="8" w:space="0" w:color="000000"/>
              <w:right w:val="nil" w:sz="6" w:space="0" w:color="auto"/>
            </w:tcBorders>
          </w:tcPr>
          <w:p>
            <w:pPr/>
          </w:p>
        </w:tc>
        <w:tc>
          <w:tcPr>
            <w:tcW w:w="1055" w:type="dxa"/>
            <w:tcBorders>
              <w:top w:val="nil" w:sz="6" w:space="0" w:color="auto"/>
              <w:left w:val="nil" w:sz="6" w:space="0" w:color="auto"/>
              <w:bottom w:val="single" w:sz="8" w:space="0" w:color="000000"/>
              <w:right w:val="nil" w:sz="6" w:space="0" w:color="auto"/>
            </w:tcBorders>
          </w:tcPr>
          <w:p>
            <w:pPr>
              <w:pStyle w:val="TableParagraph"/>
              <w:spacing w:line="240" w:lineRule="auto" w:before="97"/>
              <w:ind w:right="23"/>
              <w:jc w:val="right"/>
              <w:rPr>
                <w:rFonts w:ascii="Times New Roman" w:hAnsi="Times New Roman" w:cs="Times New Roman" w:eastAsia="Times New Roman" w:hint="default"/>
                <w:sz w:val="18"/>
                <w:szCs w:val="18"/>
              </w:rPr>
            </w:pPr>
            <w:r>
              <w:rPr>
                <w:rFonts w:ascii="Times New Roman"/>
                <w:sz w:val="18"/>
              </w:rPr>
              <w:t>21,228,067</w:t>
            </w:r>
          </w:p>
        </w:tc>
        <w:tc>
          <w:tcPr>
            <w:tcW w:w="1665" w:type="dxa"/>
            <w:tcBorders>
              <w:top w:val="nil" w:sz="6" w:space="0" w:color="auto"/>
              <w:left w:val="nil" w:sz="6" w:space="0" w:color="auto"/>
              <w:bottom w:val="single" w:sz="8"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659"/>
        <w:gridCol w:w="6356"/>
        <w:gridCol w:w="2072"/>
      </w:tblGrid>
      <w:tr>
        <w:trPr>
          <w:trHeight w:val="968"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八、</w:t>
            </w:r>
          </w:p>
        </w:tc>
        <w:tc>
          <w:tcPr>
            <w:tcW w:w="6356" w:type="dxa"/>
            <w:tcBorders>
              <w:top w:val="nil" w:sz="6" w:space="0" w:color="auto"/>
              <w:left w:val="nil" w:sz="6" w:space="0" w:color="auto"/>
              <w:bottom w:val="nil" w:sz="6" w:space="0" w:color="auto"/>
              <w:right w:val="nil" w:sz="6" w:space="0" w:color="auto"/>
            </w:tcBorders>
          </w:tcPr>
          <w:p>
            <w:pPr>
              <w:pStyle w:val="TableParagraph"/>
              <w:spacing w:line="340" w:lineRule="auto" w:before="35"/>
              <w:ind w:left="108" w:right="4142" w:hanging="4"/>
              <w:jc w:val="left"/>
              <w:rPr>
                <w:rFonts w:ascii="宋体" w:hAnsi="宋体" w:cs="宋体" w:eastAsia="宋体" w:hint="default"/>
                <w:sz w:val="21"/>
                <w:szCs w:val="21"/>
              </w:rPr>
            </w:pPr>
            <w:r>
              <w:rPr>
                <w:rFonts w:ascii="宋体" w:hAnsi="宋体" w:cs="宋体" w:eastAsia="宋体" w:hint="default"/>
                <w:sz w:val="21"/>
                <w:szCs w:val="21"/>
              </w:rPr>
              <w:t>本报告期股份支付情况</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无。</w:t>
            </w:r>
          </w:p>
        </w:tc>
        <w:tc>
          <w:tcPr>
            <w:tcW w:w="2072" w:type="dxa"/>
            <w:vMerge w:val="restart"/>
            <w:tcBorders>
              <w:top w:val="nil" w:sz="6" w:space="0" w:color="auto"/>
              <w:left w:val="nil" w:sz="6" w:space="0" w:color="auto"/>
              <w:right w:val="nil" w:sz="6" w:space="0" w:color="auto"/>
            </w:tcBorders>
          </w:tcPr>
          <w:p>
            <w:pPr/>
          </w:p>
        </w:tc>
      </w:tr>
      <w:tr>
        <w:trPr>
          <w:trHeight w:val="795"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194"/>
              <w:ind w:left="35" w:right="0"/>
              <w:jc w:val="left"/>
              <w:rPr>
                <w:rFonts w:ascii="宋体" w:hAnsi="宋体" w:cs="宋体" w:eastAsia="宋体" w:hint="default"/>
                <w:sz w:val="24"/>
                <w:szCs w:val="24"/>
              </w:rPr>
            </w:pPr>
            <w:r>
              <w:rPr>
                <w:rFonts w:ascii="宋体" w:hAnsi="宋体" w:cs="宋体" w:eastAsia="宋体" w:hint="default"/>
                <w:sz w:val="24"/>
                <w:szCs w:val="24"/>
              </w:rPr>
              <w:t>九、</w:t>
            </w:r>
          </w:p>
        </w:tc>
        <w:tc>
          <w:tcPr>
            <w:tcW w:w="6356" w:type="dxa"/>
            <w:tcBorders>
              <w:top w:val="nil" w:sz="6" w:space="0" w:color="auto"/>
              <w:left w:val="nil" w:sz="6" w:space="0" w:color="auto"/>
              <w:bottom w:val="nil" w:sz="6" w:space="0" w:color="auto"/>
              <w:right w:val="nil" w:sz="6" w:space="0" w:color="auto"/>
            </w:tcBorders>
          </w:tcPr>
          <w:p>
            <w:pPr>
              <w:pStyle w:val="TableParagraph"/>
              <w:spacing w:line="240" w:lineRule="auto" w:before="194"/>
              <w:ind w:left="104" w:right="0"/>
              <w:jc w:val="left"/>
              <w:rPr>
                <w:rFonts w:ascii="宋体" w:hAnsi="宋体" w:cs="宋体" w:eastAsia="宋体" w:hint="default"/>
                <w:sz w:val="24"/>
                <w:szCs w:val="24"/>
              </w:rPr>
            </w:pPr>
            <w:r>
              <w:rPr>
                <w:rFonts w:ascii="宋体" w:hAnsi="宋体" w:cs="宋体" w:eastAsia="宋体" w:hint="default"/>
                <w:sz w:val="24"/>
                <w:szCs w:val="24"/>
              </w:rPr>
              <w:t>或有事项</w:t>
            </w:r>
          </w:p>
        </w:tc>
        <w:tc>
          <w:tcPr>
            <w:tcW w:w="2072" w:type="dxa"/>
            <w:vMerge/>
            <w:tcBorders>
              <w:left w:val="nil" w:sz="6" w:space="0" w:color="auto"/>
              <w:right w:val="nil" w:sz="6" w:space="0" w:color="auto"/>
            </w:tcBorders>
          </w:tcPr>
          <w:p>
            <w:pPr/>
          </w:p>
        </w:tc>
      </w:tr>
      <w:tr>
        <w:trPr>
          <w:trHeight w:val="788"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6"/>
                <w:szCs w:val="16"/>
              </w:rPr>
            </w:pPr>
          </w:p>
          <w:p>
            <w:pPr>
              <w:pStyle w:val="TableParagraph"/>
              <w:spacing w:line="240" w:lineRule="auto"/>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635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6"/>
                <w:szCs w:val="16"/>
              </w:rPr>
            </w:pPr>
          </w:p>
          <w:p>
            <w:pPr>
              <w:pStyle w:val="TableParagraph"/>
              <w:spacing w:line="240" w:lineRule="auto"/>
              <w:ind w:left="104" w:right="0"/>
              <w:jc w:val="left"/>
              <w:rPr>
                <w:rFonts w:ascii="宋体" w:hAnsi="宋体" w:cs="宋体" w:eastAsia="宋体" w:hint="default"/>
                <w:sz w:val="21"/>
                <w:szCs w:val="21"/>
              </w:rPr>
            </w:pPr>
            <w:r>
              <w:rPr>
                <w:rFonts w:ascii="宋体" w:hAnsi="宋体" w:cs="宋体" w:eastAsia="宋体" w:hint="default"/>
                <w:sz w:val="21"/>
                <w:szCs w:val="21"/>
              </w:rPr>
              <w:t>本报告期无未决诉讼或仲裁形成的或有负债及其财务影响</w:t>
            </w:r>
          </w:p>
        </w:tc>
        <w:tc>
          <w:tcPr>
            <w:tcW w:w="2072" w:type="dxa"/>
            <w:vMerge/>
            <w:tcBorders>
              <w:left w:val="nil" w:sz="6" w:space="0" w:color="auto"/>
              <w:right w:val="nil" w:sz="6" w:space="0" w:color="auto"/>
            </w:tcBorders>
          </w:tcPr>
          <w:p>
            <w:pPr/>
          </w:p>
        </w:tc>
      </w:tr>
      <w:tr>
        <w:trPr>
          <w:trHeight w:val="780"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635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04" w:right="0"/>
              <w:jc w:val="left"/>
              <w:rPr>
                <w:rFonts w:ascii="宋体" w:hAnsi="宋体" w:cs="宋体" w:eastAsia="宋体" w:hint="default"/>
                <w:sz w:val="21"/>
                <w:szCs w:val="21"/>
              </w:rPr>
            </w:pPr>
            <w:r>
              <w:rPr>
                <w:rFonts w:ascii="宋体" w:hAnsi="宋体" w:cs="宋体" w:eastAsia="宋体" w:hint="default"/>
                <w:sz w:val="21"/>
                <w:szCs w:val="21"/>
              </w:rPr>
              <w:t>为其他单位提供债务担保形成的或有负债及其财务影响</w:t>
            </w:r>
          </w:p>
        </w:tc>
        <w:tc>
          <w:tcPr>
            <w:tcW w:w="2072" w:type="dxa"/>
            <w:vMerge/>
            <w:tcBorders>
              <w:left w:val="nil" w:sz="6" w:space="0" w:color="auto"/>
              <w:right w:val="nil" w:sz="6" w:space="0" w:color="auto"/>
            </w:tcBorders>
          </w:tcPr>
          <w:p>
            <w:pPr/>
          </w:p>
        </w:tc>
      </w:tr>
      <w:tr>
        <w:trPr>
          <w:trHeight w:val="531" w:hRule="exact"/>
        </w:trPr>
        <w:tc>
          <w:tcPr>
            <w:tcW w:w="659" w:type="dxa"/>
            <w:tcBorders>
              <w:top w:val="nil" w:sz="6" w:space="0" w:color="auto"/>
              <w:left w:val="nil" w:sz="6" w:space="0" w:color="auto"/>
              <w:bottom w:val="nil" w:sz="6" w:space="0" w:color="auto"/>
              <w:right w:val="nil" w:sz="6" w:space="0" w:color="auto"/>
            </w:tcBorders>
          </w:tcPr>
          <w:p>
            <w:pPr/>
          </w:p>
        </w:tc>
        <w:tc>
          <w:tcPr>
            <w:tcW w:w="6356" w:type="dxa"/>
            <w:tcBorders>
              <w:top w:val="nil" w:sz="6" w:space="0" w:color="auto"/>
              <w:left w:val="nil" w:sz="6" w:space="0" w:color="auto"/>
              <w:bottom w:val="single" w:sz="8" w:space="0" w:color="000000"/>
              <w:right w:val="nil" w:sz="6" w:space="0" w:color="auto"/>
            </w:tcBorders>
          </w:tcPr>
          <w:p>
            <w:pPr>
              <w:pStyle w:val="TableParagraph"/>
              <w:spacing w:line="240" w:lineRule="auto" w:before="5"/>
              <w:ind w:right="0"/>
              <w:jc w:val="left"/>
              <w:rPr>
                <w:rFonts w:ascii="宋体" w:hAnsi="宋体" w:cs="宋体" w:eastAsia="宋体" w:hint="default"/>
                <w:sz w:val="16"/>
                <w:szCs w:val="16"/>
              </w:rPr>
            </w:pPr>
          </w:p>
          <w:p>
            <w:pPr>
              <w:pStyle w:val="TableParagraph"/>
              <w:tabs>
                <w:tab w:pos="646" w:val="left" w:leader="none"/>
              </w:tabs>
              <w:spacing w:line="240" w:lineRule="auto"/>
              <w:ind w:left="107"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担保情况</w:t>
            </w:r>
          </w:p>
        </w:tc>
        <w:tc>
          <w:tcPr>
            <w:tcW w:w="2072" w:type="dxa"/>
            <w:vMerge/>
            <w:tcBorders>
              <w:left w:val="nil" w:sz="6" w:space="0" w:color="auto"/>
              <w:bottom w:val="single" w:sz="8" w:space="0" w:color="000000"/>
              <w:right w:val="nil" w:sz="6" w:space="0" w:color="auto"/>
            </w:tcBorders>
          </w:tcPr>
          <w:p>
            <w:pPr/>
          </w:p>
        </w:tc>
      </w:tr>
      <w:tr>
        <w:trPr>
          <w:trHeight w:val="483" w:hRule="exact"/>
        </w:trPr>
        <w:tc>
          <w:tcPr>
            <w:tcW w:w="659" w:type="dxa"/>
            <w:tcBorders>
              <w:top w:val="nil" w:sz="6" w:space="0" w:color="auto"/>
              <w:left w:val="nil" w:sz="6" w:space="0" w:color="auto"/>
              <w:bottom w:val="nil" w:sz="6" w:space="0" w:color="auto"/>
              <w:right w:val="nil" w:sz="6" w:space="0" w:color="auto"/>
            </w:tcBorders>
          </w:tcPr>
          <w:p>
            <w:pPr/>
          </w:p>
        </w:tc>
        <w:tc>
          <w:tcPr>
            <w:tcW w:w="6356" w:type="dxa"/>
            <w:tcBorders>
              <w:top w:val="single" w:sz="8" w:space="0" w:color="000000"/>
              <w:left w:val="nil" w:sz="6" w:space="0" w:color="auto"/>
              <w:bottom w:val="nil" w:sz="6" w:space="0" w:color="auto"/>
              <w:right w:val="nil" w:sz="6" w:space="0" w:color="auto"/>
            </w:tcBorders>
          </w:tcPr>
          <w:p>
            <w:pPr>
              <w:pStyle w:val="TableParagraph"/>
              <w:tabs>
                <w:tab w:pos="2017" w:val="left" w:leader="none"/>
                <w:tab w:pos="4491" w:val="left" w:leader="none"/>
              </w:tabs>
              <w:spacing w:line="240" w:lineRule="auto" w:before="128"/>
              <w:ind w:left="492" w:right="0"/>
              <w:jc w:val="left"/>
              <w:rPr>
                <w:rFonts w:ascii="宋体" w:hAnsi="宋体" w:cs="宋体" w:eastAsia="宋体" w:hint="default"/>
                <w:sz w:val="18"/>
                <w:szCs w:val="18"/>
              </w:rPr>
            </w:pPr>
            <w:r>
              <w:rPr>
                <w:rFonts w:ascii="宋体" w:hAnsi="宋体" w:cs="宋体" w:eastAsia="宋体" w:hint="default"/>
                <w:sz w:val="18"/>
                <w:szCs w:val="18"/>
              </w:rPr>
              <w:t>被担保单位</w:t>
              <w:tab/>
              <w:t>担保金额（万元）</w:t>
              <w:tab/>
              <w:t>债务到期日</w:t>
            </w:r>
          </w:p>
        </w:tc>
        <w:tc>
          <w:tcPr>
            <w:tcW w:w="2072" w:type="dxa"/>
            <w:tcBorders>
              <w:top w:val="single" w:sz="8" w:space="0" w:color="000000"/>
              <w:left w:val="nil" w:sz="6" w:space="0" w:color="auto"/>
              <w:bottom w:val="nil" w:sz="6" w:space="0" w:color="auto"/>
              <w:right w:val="nil" w:sz="6" w:space="0" w:color="auto"/>
            </w:tcBorders>
          </w:tcPr>
          <w:p>
            <w:pPr>
              <w:pStyle w:val="TableParagraph"/>
              <w:spacing w:line="240" w:lineRule="auto" w:before="128"/>
              <w:ind w:left="197" w:right="0"/>
              <w:jc w:val="left"/>
              <w:rPr>
                <w:rFonts w:ascii="宋体" w:hAnsi="宋体" w:cs="宋体" w:eastAsia="宋体" w:hint="default"/>
                <w:sz w:val="18"/>
                <w:szCs w:val="18"/>
              </w:rPr>
            </w:pPr>
            <w:r>
              <w:rPr>
                <w:rFonts w:ascii="宋体" w:hAnsi="宋体" w:cs="宋体" w:eastAsia="宋体" w:hint="default"/>
                <w:sz w:val="18"/>
                <w:szCs w:val="18"/>
              </w:rPr>
              <w:t>对本公司的财务影响</w:t>
            </w:r>
          </w:p>
        </w:tc>
      </w:tr>
      <w:tr>
        <w:trPr>
          <w:trHeight w:val="400" w:hRule="exact"/>
        </w:trPr>
        <w:tc>
          <w:tcPr>
            <w:tcW w:w="659" w:type="dxa"/>
            <w:tcBorders>
              <w:top w:val="nil" w:sz="6" w:space="0" w:color="auto"/>
              <w:left w:val="nil" w:sz="6" w:space="0" w:color="auto"/>
              <w:bottom w:val="nil" w:sz="6" w:space="0" w:color="auto"/>
              <w:right w:val="nil" w:sz="6" w:space="0" w:color="auto"/>
            </w:tcBorders>
          </w:tcPr>
          <w:p>
            <w:pPr/>
          </w:p>
        </w:tc>
        <w:tc>
          <w:tcPr>
            <w:tcW w:w="635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7"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2072" w:type="dxa"/>
            <w:tcBorders>
              <w:top w:val="nil" w:sz="6" w:space="0" w:color="auto"/>
              <w:left w:val="nil" w:sz="6" w:space="0" w:color="auto"/>
              <w:bottom w:val="nil" w:sz="6" w:space="0" w:color="auto"/>
              <w:right w:val="nil" w:sz="6" w:space="0" w:color="auto"/>
            </w:tcBorders>
          </w:tcPr>
          <w:p>
            <w:pPr/>
          </w:p>
        </w:tc>
      </w:tr>
      <w:tr>
        <w:trPr>
          <w:trHeight w:val="1600" w:hRule="exact"/>
        </w:trPr>
        <w:tc>
          <w:tcPr>
            <w:tcW w:w="659" w:type="dxa"/>
            <w:tcBorders>
              <w:top w:val="nil" w:sz="6" w:space="0" w:color="auto"/>
              <w:left w:val="nil" w:sz="6" w:space="0" w:color="auto"/>
              <w:bottom w:val="nil" w:sz="6" w:space="0" w:color="auto"/>
              <w:right w:val="nil" w:sz="6" w:space="0" w:color="auto"/>
            </w:tcBorders>
          </w:tcPr>
          <w:p>
            <w:pPr/>
          </w:p>
        </w:tc>
        <w:tc>
          <w:tcPr>
            <w:tcW w:w="6356" w:type="dxa"/>
            <w:tcBorders>
              <w:top w:val="nil" w:sz="6" w:space="0" w:color="auto"/>
              <w:left w:val="nil" w:sz="6" w:space="0" w:color="auto"/>
              <w:bottom w:val="nil" w:sz="6" w:space="0" w:color="auto"/>
              <w:right w:val="nil" w:sz="6" w:space="0" w:color="auto"/>
            </w:tcBorders>
          </w:tcPr>
          <w:p>
            <w:pPr>
              <w:pStyle w:val="TableParagraph"/>
              <w:tabs>
                <w:tab w:pos="3077" w:val="left" w:leader="none"/>
                <w:tab w:pos="6184" w:val="right" w:leader="none"/>
              </w:tabs>
              <w:spacing w:line="240" w:lineRule="auto" w:before="54"/>
              <w:ind w:left="107"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大连东软信息学院</w:t>
              <w:tab/>
            </w:r>
            <w:r>
              <w:rPr>
                <w:rFonts w:ascii="Times New Roman" w:hAnsi="Times New Roman" w:cs="Times New Roman" w:eastAsia="Times New Roman" w:hint="default"/>
                <w:sz w:val="18"/>
                <w:szCs w:val="18"/>
              </w:rPr>
              <w:t>6,000</w:t>
              <w:tab/>
              <w:t>2010.4.10</w:t>
            </w:r>
          </w:p>
          <w:p>
            <w:pPr>
              <w:pStyle w:val="TableParagraph"/>
              <w:tabs>
                <w:tab w:pos="3077" w:val="left" w:leader="none"/>
                <w:tab w:pos="6184" w:val="right" w:leader="none"/>
              </w:tabs>
              <w:spacing w:line="240" w:lineRule="auto" w:before="140"/>
              <w:ind w:left="107"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大连东软信息学院</w:t>
              <w:tab/>
            </w:r>
            <w:r>
              <w:rPr>
                <w:rFonts w:ascii="Times New Roman" w:hAnsi="Times New Roman" w:cs="Times New Roman" w:eastAsia="Times New Roman" w:hint="default"/>
                <w:sz w:val="18"/>
                <w:szCs w:val="18"/>
              </w:rPr>
              <w:t>3,000</w:t>
              <w:tab/>
              <w:t>2010.9.17</w:t>
            </w:r>
          </w:p>
          <w:p>
            <w:pPr>
              <w:pStyle w:val="TableParagraph"/>
              <w:tabs>
                <w:tab w:pos="3077" w:val="left" w:leader="none"/>
              </w:tabs>
              <w:spacing w:line="240" w:lineRule="auto" w:before="140"/>
              <w:ind w:left="107"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小    计</w:t>
              <w:tab/>
            </w:r>
            <w:r>
              <w:rPr>
                <w:rFonts w:ascii="Times New Roman" w:hAnsi="Times New Roman" w:cs="Times New Roman" w:eastAsia="Times New Roman" w:hint="default"/>
                <w:sz w:val="18"/>
                <w:szCs w:val="18"/>
              </w:rPr>
              <w:t>9,000</w:t>
            </w:r>
          </w:p>
          <w:p>
            <w:pPr>
              <w:pStyle w:val="TableParagraph"/>
              <w:spacing w:line="240" w:lineRule="auto" w:before="142"/>
              <w:ind w:left="107"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2072" w:type="dxa"/>
            <w:tcBorders>
              <w:top w:val="nil" w:sz="6" w:space="0" w:color="auto"/>
              <w:left w:val="nil" w:sz="6" w:space="0" w:color="auto"/>
              <w:bottom w:val="nil" w:sz="6" w:space="0" w:color="auto"/>
              <w:right w:val="nil" w:sz="6" w:space="0" w:color="auto"/>
            </w:tcBorders>
          </w:tcPr>
          <w:p>
            <w:pPr>
              <w:pStyle w:val="TableParagraph"/>
              <w:spacing w:line="408" w:lineRule="auto" w:before="55"/>
              <w:ind w:left="170" w:right="98"/>
              <w:jc w:val="left"/>
              <w:rPr>
                <w:rFonts w:ascii="宋体" w:hAnsi="宋体" w:cs="宋体" w:eastAsia="宋体" w:hint="default"/>
                <w:sz w:val="18"/>
                <w:szCs w:val="18"/>
              </w:rPr>
            </w:pPr>
            <w:r>
              <w:rPr>
                <w:rFonts w:ascii="宋体" w:hAnsi="宋体" w:cs="宋体" w:eastAsia="宋体" w:hint="default"/>
                <w:sz w:val="18"/>
                <w:szCs w:val="18"/>
              </w:rPr>
              <w:t>预计不会发生担保损失 预计不会发生担保损失</w:t>
            </w:r>
          </w:p>
        </w:tc>
      </w:tr>
      <w:tr>
        <w:trPr>
          <w:trHeight w:val="1128" w:hRule="exact"/>
        </w:trPr>
        <w:tc>
          <w:tcPr>
            <w:tcW w:w="659" w:type="dxa"/>
            <w:tcBorders>
              <w:top w:val="nil" w:sz="6" w:space="0" w:color="auto"/>
              <w:left w:val="nil" w:sz="6" w:space="0" w:color="auto"/>
              <w:bottom w:val="nil" w:sz="6" w:space="0" w:color="auto"/>
              <w:right w:val="nil" w:sz="6" w:space="0" w:color="auto"/>
            </w:tcBorders>
          </w:tcPr>
          <w:p>
            <w:pPr/>
          </w:p>
        </w:tc>
        <w:tc>
          <w:tcPr>
            <w:tcW w:w="6356" w:type="dxa"/>
            <w:tcBorders>
              <w:top w:val="nil" w:sz="6" w:space="0" w:color="auto"/>
              <w:left w:val="nil" w:sz="6" w:space="0" w:color="auto"/>
              <w:bottom w:val="single" w:sz="8" w:space="0" w:color="000000"/>
              <w:right w:val="nil" w:sz="6" w:space="0" w:color="auto"/>
            </w:tcBorders>
          </w:tcPr>
          <w:p>
            <w:pPr>
              <w:pStyle w:val="TableParagraph"/>
              <w:tabs>
                <w:tab w:pos="3077" w:val="left" w:leader="none"/>
                <w:tab w:pos="3701" w:val="left" w:leader="none"/>
              </w:tabs>
              <w:spacing w:line="240" w:lineRule="auto" w:before="54"/>
              <w:ind w:left="107" w:right="0"/>
              <w:jc w:val="left"/>
              <w:rPr>
                <w:rFonts w:ascii="宋体" w:hAnsi="宋体" w:cs="宋体" w:eastAsia="宋体" w:hint="default"/>
                <w:sz w:val="18"/>
                <w:szCs w:val="18"/>
              </w:rPr>
            </w:pPr>
            <w:r>
              <w:rPr>
                <w:rFonts w:ascii="Times New Roman" w:hAnsi="Times New Roman" w:cs="Times New Roman" w:eastAsia="Times New Roman" w:hint="default"/>
                <w:position w:val="1"/>
                <w:sz w:val="18"/>
                <w:szCs w:val="18"/>
              </w:rPr>
              <w:t>43</w:t>
            </w:r>
            <w:r>
              <w:rPr>
                <w:rFonts w:ascii="Times New Roman" w:hAnsi="Times New Roman" w:cs="Times New Roman" w:eastAsia="Times New Roman" w:hint="default"/>
                <w:spacing w:val="-1"/>
                <w:position w:val="1"/>
                <w:sz w:val="18"/>
                <w:szCs w:val="18"/>
              </w:rPr>
              <w:t> </w:t>
            </w:r>
            <w:r>
              <w:rPr>
                <w:rFonts w:ascii="宋体" w:hAnsi="宋体" w:cs="宋体" w:eastAsia="宋体" w:hint="default"/>
                <w:position w:val="1"/>
                <w:sz w:val="18"/>
                <w:szCs w:val="18"/>
              </w:rPr>
              <w:t>家医院</w:t>
              <w:tab/>
            </w:r>
            <w:r>
              <w:rPr>
                <w:rFonts w:ascii="Times New Roman" w:hAnsi="Times New Roman" w:cs="Times New Roman" w:eastAsia="Times New Roman" w:hint="default"/>
                <w:sz w:val="18"/>
                <w:szCs w:val="18"/>
              </w:rPr>
              <w:t>3,024</w:t>
              <w:tab/>
            </w:r>
            <w:r>
              <w:rPr>
                <w:rFonts w:ascii="Times New Roman" w:hAnsi="Times New Roman" w:cs="Times New Roman" w:eastAsia="Times New Roman" w:hint="default"/>
                <w:position w:val="1"/>
                <w:sz w:val="18"/>
                <w:szCs w:val="18"/>
              </w:rPr>
              <w:t>2010.1.26-2011.9.28</w:t>
            </w:r>
            <w:r>
              <w:rPr>
                <w:rFonts w:ascii="宋体" w:hAnsi="宋体" w:cs="宋体" w:eastAsia="宋体" w:hint="default"/>
                <w:position w:val="1"/>
                <w:sz w:val="18"/>
                <w:szCs w:val="18"/>
              </w:rPr>
              <w:t>（分</w:t>
            </w:r>
            <w:r>
              <w:rPr>
                <w:rFonts w:ascii="宋体" w:hAnsi="宋体" w:cs="宋体" w:eastAsia="宋体" w:hint="default"/>
                <w:spacing w:val="-50"/>
                <w:position w:val="1"/>
                <w:sz w:val="18"/>
                <w:szCs w:val="18"/>
              </w:rPr>
              <w:t> </w:t>
            </w:r>
            <w:r>
              <w:rPr>
                <w:rFonts w:ascii="Times New Roman" w:hAnsi="Times New Roman" w:cs="Times New Roman" w:eastAsia="Times New Roman" w:hint="default"/>
                <w:position w:val="1"/>
                <w:sz w:val="18"/>
                <w:szCs w:val="18"/>
              </w:rPr>
              <w:t>43</w:t>
            </w:r>
            <w:r>
              <w:rPr>
                <w:rFonts w:ascii="Times New Roman" w:hAnsi="Times New Roman" w:cs="Times New Roman" w:eastAsia="Times New Roman" w:hint="default"/>
                <w:spacing w:val="-5"/>
                <w:position w:val="1"/>
                <w:sz w:val="18"/>
                <w:szCs w:val="18"/>
              </w:rPr>
              <w:t> </w:t>
            </w:r>
            <w:r>
              <w:rPr>
                <w:rFonts w:ascii="宋体" w:hAnsi="宋体" w:cs="宋体" w:eastAsia="宋体" w:hint="default"/>
                <w:position w:val="1"/>
                <w:sz w:val="18"/>
                <w:szCs w:val="18"/>
              </w:rPr>
              <w:t>笔）</w:t>
            </w:r>
            <w:r>
              <w:rPr>
                <w:rFonts w:ascii="宋体" w:hAnsi="宋体" w:cs="宋体" w:eastAsia="宋体" w:hint="default"/>
                <w:sz w:val="18"/>
                <w:szCs w:val="18"/>
              </w:rPr>
            </w:r>
          </w:p>
          <w:p>
            <w:pPr>
              <w:pStyle w:val="TableParagraph"/>
              <w:tabs>
                <w:tab w:pos="3077" w:val="left" w:leader="none"/>
              </w:tabs>
              <w:spacing w:line="240" w:lineRule="auto" w:before="140"/>
              <w:ind w:left="107"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小    计</w:t>
              <w:tab/>
            </w:r>
            <w:r>
              <w:rPr>
                <w:rFonts w:ascii="Times New Roman" w:hAnsi="Times New Roman" w:cs="Times New Roman" w:eastAsia="Times New Roman" w:hint="default"/>
                <w:sz w:val="18"/>
                <w:szCs w:val="18"/>
              </w:rPr>
              <w:t>3,024</w:t>
            </w:r>
          </w:p>
          <w:p>
            <w:pPr>
              <w:pStyle w:val="TableParagraph"/>
              <w:tabs>
                <w:tab w:pos="2987" w:val="left" w:leader="none"/>
              </w:tabs>
              <w:spacing w:line="240" w:lineRule="auto" w:before="141"/>
              <w:ind w:left="582"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    计</w:t>
              <w:tab/>
            </w:r>
            <w:r>
              <w:rPr>
                <w:rFonts w:ascii="Times New Roman" w:hAnsi="Times New Roman" w:cs="Times New Roman" w:eastAsia="Times New Roman" w:hint="default"/>
                <w:sz w:val="18"/>
                <w:szCs w:val="18"/>
              </w:rPr>
              <w:t>12,024</w:t>
            </w:r>
          </w:p>
        </w:tc>
        <w:tc>
          <w:tcPr>
            <w:tcW w:w="2072" w:type="dxa"/>
            <w:tcBorders>
              <w:top w:val="nil" w:sz="6" w:space="0" w:color="auto"/>
              <w:left w:val="nil" w:sz="6" w:space="0" w:color="auto"/>
              <w:bottom w:val="single" w:sz="8" w:space="0" w:color="000000"/>
              <w:right w:val="nil" w:sz="6" w:space="0" w:color="auto"/>
            </w:tcBorders>
          </w:tcPr>
          <w:p>
            <w:pPr>
              <w:pStyle w:val="TableParagraph"/>
              <w:spacing w:line="240" w:lineRule="auto" w:before="54"/>
              <w:ind w:left="171" w:right="0"/>
              <w:jc w:val="left"/>
              <w:rPr>
                <w:rFonts w:ascii="宋体" w:hAnsi="宋体" w:cs="宋体" w:eastAsia="宋体" w:hint="default"/>
                <w:sz w:val="18"/>
                <w:szCs w:val="18"/>
              </w:rPr>
            </w:pPr>
            <w:r>
              <w:rPr>
                <w:rFonts w:ascii="宋体" w:hAnsi="宋体" w:cs="宋体" w:eastAsia="宋体" w:hint="default"/>
                <w:sz w:val="18"/>
                <w:szCs w:val="18"/>
              </w:rPr>
              <w:t>预计不会发生担保损失</w:t>
            </w:r>
          </w:p>
        </w:tc>
      </w:tr>
    </w:tbl>
    <w:p>
      <w:pPr>
        <w:spacing w:line="321" w:lineRule="auto" w:before="74"/>
        <w:ind w:left="877" w:right="151" w:firstLine="0"/>
        <w:jc w:val="left"/>
        <w:rPr>
          <w:rFonts w:ascii="宋体" w:hAnsi="宋体" w:cs="宋体" w:eastAsia="宋体" w:hint="default"/>
          <w:sz w:val="21"/>
          <w:szCs w:val="21"/>
        </w:rPr>
      </w:pPr>
      <w:r>
        <w:rPr/>
        <w:pict>
          <v:shape style="position:absolute;margin-left:111.480003pt;margin-top:-181.016388pt;width:421.919913pt;height:179.58pt;mso-position-horizontal-relative:page;mso-position-vertical-relative:paragraph;z-index:-977200" type="#_x0000_t75" stroked="false">
            <v:imagedata r:id="rId159" o:title=""/>
          </v:shape>
        </w:pict>
      </w:r>
      <w:r>
        <w:rPr>
          <w:rFonts w:ascii="宋体" w:hAnsi="宋体" w:cs="宋体" w:eastAsia="宋体" w:hint="default"/>
          <w:spacing w:val="-5"/>
          <w:sz w:val="21"/>
          <w:szCs w:val="21"/>
        </w:rPr>
        <w:t>注：</w:t>
      </w:r>
      <w:r>
        <w:rPr>
          <w:rFonts w:ascii="Times New Roman" w:hAnsi="Times New Roman" w:cs="Times New Roman" w:eastAsia="Times New Roman" w:hint="default"/>
          <w:spacing w:val="-5"/>
          <w:sz w:val="21"/>
          <w:szCs w:val="21"/>
        </w:rPr>
        <w:t>43</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笔买方信贷为承继原控股股东</w:t>
      </w:r>
      <w:r>
        <w:rPr>
          <w:rFonts w:ascii="Times New Roman" w:hAnsi="Times New Roman" w:cs="Times New Roman" w:eastAsia="Times New Roman" w:hint="default"/>
          <w:sz w:val="21"/>
          <w:szCs w:val="21"/>
        </w:rPr>
        <w:t>-</w:t>
      </w:r>
      <w:r>
        <w:rPr>
          <w:rFonts w:ascii="宋体" w:hAnsi="宋体" w:cs="宋体" w:eastAsia="宋体" w:hint="default"/>
          <w:sz w:val="21"/>
          <w:szCs w:val="21"/>
        </w:rPr>
        <w:t>东软集团有限公司签订的协议，原东软股份完成吸收 合并后无新签署的买方信贷协议。</w:t>
      </w:r>
    </w:p>
    <w:p>
      <w:pPr>
        <w:spacing w:after="0" w:line="321" w:lineRule="auto"/>
        <w:jc w:val="left"/>
        <w:rPr>
          <w:rFonts w:ascii="宋体" w:hAnsi="宋体" w:cs="宋体" w:eastAsia="宋体" w:hint="default"/>
          <w:sz w:val="21"/>
          <w:szCs w:val="21"/>
        </w:rPr>
        <w:sectPr>
          <w:pgSz w:w="11900" w:h="16840"/>
          <w:pgMar w:header="883" w:footer="1003" w:top="1540" w:bottom="1200" w:left="1460" w:right="112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53.15pt;height:.5pt;mso-position-horizontal-relative:char;mso-position-vertical-relative:line" coordorigin="0,0" coordsize="9063,10">
            <v:group style="position:absolute;left:5;top:5;width:9053;height:2" coordorigin="5,5" coordsize="9053,2">
              <v:shape style="position:absolute;left:5;top:5;width:9053;height:2" coordorigin="5,5" coordsize="9053,0" path="m5,5l9058,5e" filled="false" stroked="true" strokeweight=".47998pt" strokecolor="#000000">
                <v:path arrowok="t"/>
              </v:shape>
            </v:group>
          </v:group>
        </w:pict>
      </w:r>
      <w:r>
        <w:rPr>
          <w:rFonts w:ascii="宋体" w:hAnsi="宋体" w:cs="宋体" w:eastAsia="宋体" w:hint="default"/>
          <w:sz w:val="2"/>
          <w:szCs w:val="2"/>
        </w:rPr>
      </w:r>
    </w:p>
    <w:p>
      <w:pPr>
        <w:spacing w:line="336" w:lineRule="auto" w:before="82"/>
        <w:ind w:left="1396" w:right="201" w:hanging="539"/>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 </w:t>
      </w:r>
      <w:r>
        <w:rPr>
          <w:rFonts w:ascii="宋体" w:hAnsi="宋体" w:cs="宋体" w:eastAsia="宋体" w:hint="default"/>
          <w:spacing w:val="4"/>
          <w:sz w:val="21"/>
          <w:szCs w:val="21"/>
        </w:rPr>
        <w:t>本公司之子公司沈阳东软医疗系统有限公司于 </w:t>
      </w:r>
      <w:r>
        <w:rPr>
          <w:rFonts w:ascii="Times New Roman" w:hAnsi="Times New Roman" w:cs="Times New Roman" w:eastAsia="Times New Roman" w:hint="default"/>
          <w:b/>
          <w:bCs/>
          <w:sz w:val="21"/>
          <w:szCs w:val="21"/>
        </w:rPr>
        <w:t>2008</w:t>
      </w:r>
      <w:r>
        <w:rPr>
          <w:rFonts w:ascii="Times New Roman" w:hAnsi="Times New Roman" w:cs="Times New Roman" w:eastAsia="Times New Roman" w:hint="default"/>
          <w:b/>
          <w:bCs/>
          <w:spacing w:val="37"/>
          <w:sz w:val="21"/>
          <w:szCs w:val="21"/>
        </w:rPr>
        <w:t> </w:t>
      </w:r>
      <w:r>
        <w:rPr>
          <w:rFonts w:ascii="宋体" w:hAnsi="宋体" w:cs="宋体" w:eastAsia="宋体" w:hint="default"/>
          <w:spacing w:val="4"/>
          <w:sz w:val="21"/>
          <w:szCs w:val="21"/>
        </w:rPr>
        <w:t>年度内因一项买卖合同涉及诉 </w:t>
      </w:r>
      <w:r>
        <w:rPr>
          <w:rFonts w:ascii="宋体" w:hAnsi="宋体" w:cs="宋体" w:eastAsia="宋体" w:hint="default"/>
          <w:sz w:val="21"/>
          <w:szCs w:val="21"/>
        </w:rPr>
        <w:t>讼，因此冻结银行存款 </w:t>
      </w:r>
      <w:r>
        <w:rPr>
          <w:rFonts w:ascii="Times New Roman" w:hAnsi="Times New Roman" w:cs="Times New Roman" w:eastAsia="Times New Roman" w:hint="default"/>
          <w:b/>
          <w:bCs/>
          <w:sz w:val="21"/>
          <w:szCs w:val="21"/>
        </w:rPr>
        <w:t>1,978,670</w:t>
      </w:r>
      <w:r>
        <w:rPr>
          <w:rFonts w:ascii="Times New Roman" w:hAnsi="Times New Roman" w:cs="Times New Roman" w:eastAsia="Times New Roman" w:hint="default"/>
          <w:b/>
          <w:bCs/>
          <w:spacing w:val="6"/>
          <w:sz w:val="21"/>
          <w:szCs w:val="21"/>
        </w:rPr>
        <w:t> </w:t>
      </w:r>
      <w:r>
        <w:rPr>
          <w:rFonts w:ascii="宋体" w:hAnsi="宋体" w:cs="宋体" w:eastAsia="宋体" w:hint="default"/>
          <w:sz w:val="21"/>
          <w:szCs w:val="21"/>
        </w:rPr>
        <w:t>元。经律师出具的法律意见书认为原告的诉讼请求</w:t>
      </w:r>
      <w:r>
        <w:rPr>
          <w:rFonts w:ascii="宋体" w:hAnsi="宋体" w:cs="宋体" w:eastAsia="宋体" w:hint="default"/>
          <w:spacing w:val="1"/>
          <w:sz w:val="21"/>
          <w:szCs w:val="21"/>
        </w:rPr>
        <w:t> </w:t>
      </w:r>
      <w:r>
        <w:rPr>
          <w:rFonts w:ascii="宋体" w:hAnsi="宋体" w:cs="宋体" w:eastAsia="宋体" w:hint="default"/>
          <w:spacing w:val="-2"/>
          <w:sz w:val="21"/>
          <w:szCs w:val="21"/>
        </w:rPr>
        <w:t>没有事实依据和法律依据，公司形成资产损失的可能性很小，因此，公司未预计相关</w:t>
      </w:r>
      <w:r>
        <w:rPr>
          <w:rFonts w:ascii="宋体" w:hAnsi="宋体" w:cs="宋体" w:eastAsia="宋体" w:hint="default"/>
          <w:sz w:val="21"/>
          <w:szCs w:val="21"/>
        </w:rPr>
        <w:t> 负债。</w:t>
      </w:r>
    </w:p>
    <w:p>
      <w:pPr>
        <w:spacing w:line="240" w:lineRule="auto" w:before="0"/>
        <w:rPr>
          <w:rFonts w:ascii="宋体" w:hAnsi="宋体" w:cs="宋体" w:eastAsia="宋体" w:hint="default"/>
          <w:sz w:val="20"/>
          <w:szCs w:val="20"/>
        </w:rPr>
      </w:pPr>
    </w:p>
    <w:p>
      <w:pPr>
        <w:tabs>
          <w:tab w:pos="853" w:val="left" w:leader="none"/>
        </w:tabs>
        <w:spacing w:before="180"/>
        <w:ind w:left="125" w:right="186" w:firstLine="0"/>
        <w:jc w:val="left"/>
        <w:rPr>
          <w:rFonts w:ascii="宋体" w:hAnsi="宋体" w:cs="宋体" w:eastAsia="宋体" w:hint="default"/>
          <w:sz w:val="21"/>
          <w:szCs w:val="21"/>
        </w:rPr>
      </w:pPr>
      <w:r>
        <w:rPr>
          <w:rFonts w:ascii="宋体" w:hAnsi="宋体" w:cs="宋体" w:eastAsia="宋体" w:hint="default"/>
          <w:sz w:val="21"/>
          <w:szCs w:val="21"/>
        </w:rPr>
        <w:t>十、</w:t>
        <w:tab/>
        <w:t>承诺事项</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spacing w:before="0"/>
        <w:ind w:left="854" w:right="186" w:firstLine="0"/>
        <w:jc w:val="left"/>
        <w:rPr>
          <w:rFonts w:ascii="宋体" w:hAnsi="宋体" w:cs="宋体" w:eastAsia="宋体" w:hint="default"/>
          <w:sz w:val="21"/>
          <w:szCs w:val="21"/>
        </w:rPr>
      </w:pPr>
      <w:r>
        <w:rPr>
          <w:rFonts w:ascii="宋体" w:hAnsi="宋体" w:cs="宋体" w:eastAsia="宋体" w:hint="default"/>
          <w:sz w:val="21"/>
          <w:szCs w:val="21"/>
        </w:rPr>
        <w:t>重大承诺事项</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1396" w:val="left" w:leader="none"/>
        </w:tabs>
        <w:spacing w:before="0"/>
        <w:ind w:left="857" w:right="18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已签订的尚未履行或尚未完全履行的对外投资合同及有关财务支出</w:t>
      </w:r>
    </w:p>
    <w:p>
      <w:pPr>
        <w:spacing w:line="331" w:lineRule="auto" w:before="110"/>
        <w:ind w:left="1400" w:right="2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宋体" w:hAnsi="宋体" w:cs="宋体" w:eastAsia="宋体" w:hint="default"/>
          <w:sz w:val="21"/>
          <w:szCs w:val="21"/>
        </w:rPr>
        <w:t>年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月，本公司之子公司东软（欧洲）有限公司（以下简称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东软欧洲</w:t>
      </w:r>
      <w:r>
        <w:rPr>
          <w:rFonts w:ascii="Times New Roman" w:hAnsi="Times New Roman" w:cs="Times New Roman" w:eastAsia="Times New Roman" w:hint="default"/>
          <w:sz w:val="21"/>
          <w:szCs w:val="21"/>
        </w:rPr>
        <w:t>”</w:t>
      </w:r>
      <w:r>
        <w:rPr>
          <w:rFonts w:ascii="宋体" w:hAnsi="宋体" w:cs="宋体" w:eastAsia="宋体" w:hint="default"/>
          <w:sz w:val="21"/>
          <w:szCs w:val="21"/>
        </w:rPr>
        <w:t>）收购 了</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Sesca</w:t>
      </w:r>
      <w:r>
        <w:rPr>
          <w:rFonts w:ascii="Times New Roman" w:hAnsi="Times New Roman" w:cs="Times New Roman" w:eastAsia="Times New Roman" w:hint="default"/>
          <w:spacing w:val="-3"/>
          <w:sz w:val="21"/>
          <w:szCs w:val="21"/>
        </w:rPr>
        <w:t> </w:t>
      </w:r>
      <w:r>
        <w:rPr>
          <w:rFonts w:ascii="Times New Roman" w:hAnsi="Times New Roman" w:cs="Times New Roman" w:eastAsia="Times New Roman" w:hint="default"/>
          <w:sz w:val="21"/>
          <w:szCs w:val="21"/>
        </w:rPr>
        <w:t>Group</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z w:val="21"/>
          <w:szCs w:val="21"/>
        </w:rPr>
        <w:t>Oy</w:t>
      </w:r>
      <w:r>
        <w:rPr>
          <w:rFonts w:ascii="宋体" w:hAnsi="宋体" w:cs="宋体" w:eastAsia="宋体" w:hint="default"/>
          <w:sz w:val="21"/>
          <w:szCs w:val="21"/>
        </w:rPr>
        <w:t>（以下简称</w:t>
      </w:r>
      <w:r>
        <w:rPr>
          <w:rFonts w:ascii="Times New Roman" w:hAnsi="Times New Roman" w:cs="Times New Roman" w:eastAsia="Times New Roman" w:hint="default"/>
          <w:sz w:val="21"/>
          <w:szCs w:val="21"/>
        </w:rPr>
        <w:t>“SESCA”</w:t>
      </w:r>
      <w:r>
        <w:rPr>
          <w:rFonts w:ascii="宋体" w:hAnsi="宋体" w:cs="宋体" w:eastAsia="宋体" w:hint="default"/>
          <w:sz w:val="21"/>
          <w:szCs w:val="21"/>
        </w:rPr>
        <w:t>）拥有的</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Sesca</w:t>
      </w:r>
      <w:r>
        <w:rPr>
          <w:rFonts w:ascii="Times New Roman" w:hAnsi="Times New Roman" w:cs="Times New Roman" w:eastAsia="Times New Roman" w:hint="default"/>
          <w:spacing w:val="-3"/>
          <w:sz w:val="21"/>
          <w:szCs w:val="21"/>
        </w:rPr>
        <w:t> </w:t>
      </w:r>
      <w:r>
        <w:rPr>
          <w:rFonts w:ascii="Times New Roman" w:hAnsi="Times New Roman" w:cs="Times New Roman" w:eastAsia="Times New Roman" w:hint="default"/>
          <w:sz w:val="21"/>
          <w:szCs w:val="21"/>
        </w:rPr>
        <w:t>Mobile</w:t>
      </w:r>
      <w:r>
        <w:rPr>
          <w:rFonts w:ascii="Times New Roman" w:hAnsi="Times New Roman" w:cs="Times New Roman" w:eastAsia="Times New Roman" w:hint="default"/>
          <w:spacing w:val="-3"/>
          <w:sz w:val="21"/>
          <w:szCs w:val="21"/>
        </w:rPr>
        <w:t> </w:t>
      </w:r>
      <w:r>
        <w:rPr>
          <w:rFonts w:ascii="Times New Roman" w:hAnsi="Times New Roman" w:cs="Times New Roman" w:eastAsia="Times New Roman" w:hint="default"/>
          <w:sz w:val="21"/>
          <w:szCs w:val="21"/>
        </w:rPr>
        <w:t>Software</w:t>
      </w:r>
      <w:r>
        <w:rPr>
          <w:rFonts w:ascii="Times New Roman" w:hAnsi="Times New Roman" w:cs="Times New Roman" w:eastAsia="Times New Roman" w:hint="default"/>
          <w:spacing w:val="-3"/>
          <w:sz w:val="21"/>
          <w:szCs w:val="21"/>
        </w:rPr>
        <w:t> </w:t>
      </w:r>
      <w:r>
        <w:rPr>
          <w:rFonts w:ascii="Times New Roman" w:hAnsi="Times New Roman" w:cs="Times New Roman" w:eastAsia="Times New Roman" w:hint="default"/>
          <w:sz w:val="21"/>
          <w:szCs w:val="21"/>
        </w:rPr>
        <w:t>Oy</w:t>
      </w:r>
      <w:r>
        <w:rPr>
          <w:rFonts w:ascii="宋体" w:hAnsi="宋体" w:cs="宋体" w:eastAsia="宋体" w:hint="default"/>
          <w:sz w:val="21"/>
          <w:szCs w:val="21"/>
        </w:rPr>
        <w:t>（以下简称 </w:t>
      </w:r>
      <w:r>
        <w:rPr>
          <w:rFonts w:ascii="Times New Roman" w:hAnsi="Times New Roman" w:cs="Times New Roman" w:eastAsia="Times New Roman" w:hint="default"/>
          <w:spacing w:val="-9"/>
          <w:w w:val="99"/>
          <w:sz w:val="21"/>
          <w:szCs w:val="21"/>
        </w:rPr>
        <w:t>“SMW”</w:t>
      </w:r>
      <w:r>
        <w:rPr>
          <w:rFonts w:ascii="宋体" w:hAnsi="宋体" w:cs="宋体" w:eastAsia="宋体" w:hint="default"/>
          <w:spacing w:val="-9"/>
          <w:w w:val="99"/>
          <w:sz w:val="21"/>
          <w:szCs w:val="21"/>
        </w:rPr>
        <w:t>）、</w:t>
      </w:r>
      <w:r>
        <w:rPr>
          <w:rFonts w:ascii="Times New Roman" w:hAnsi="Times New Roman" w:cs="Times New Roman" w:eastAsia="Times New Roman" w:hint="default"/>
          <w:spacing w:val="-9"/>
          <w:w w:val="99"/>
          <w:sz w:val="21"/>
          <w:szCs w:val="21"/>
        </w:rPr>
        <w:t>Almitas</w:t>
      </w:r>
      <w:r>
        <w:rPr>
          <w:rFonts w:ascii="Times New Roman" w:hAnsi="Times New Roman" w:cs="Times New Roman" w:eastAsia="Times New Roman" w:hint="default"/>
          <w:w w:val="99"/>
          <w:sz w:val="21"/>
          <w:szCs w:val="21"/>
        </w:rPr>
        <w:t> </w:t>
      </w:r>
      <w:r>
        <w:rPr>
          <w:rFonts w:ascii="Times New Roman" w:hAnsi="Times New Roman" w:cs="Times New Roman" w:eastAsia="Times New Roman" w:hint="default"/>
          <w:spacing w:val="-1"/>
          <w:w w:val="99"/>
          <w:sz w:val="21"/>
          <w:szCs w:val="21"/>
        </w:rPr>
        <w:t>Oy</w:t>
      </w:r>
      <w:r>
        <w:rPr>
          <w:rFonts w:ascii="宋体" w:hAnsi="宋体" w:cs="宋体" w:eastAsia="宋体" w:hint="default"/>
          <w:spacing w:val="-1"/>
          <w:w w:val="99"/>
          <w:sz w:val="21"/>
          <w:szCs w:val="21"/>
        </w:rPr>
        <w:t>（以下简称</w:t>
      </w:r>
      <w:r>
        <w:rPr>
          <w:rFonts w:ascii="Times New Roman" w:hAnsi="Times New Roman" w:cs="Times New Roman" w:eastAsia="Times New Roman" w:hint="default"/>
          <w:spacing w:val="-1"/>
          <w:w w:val="99"/>
          <w:sz w:val="21"/>
          <w:szCs w:val="21"/>
        </w:rPr>
        <w:t>“Almitas”</w:t>
      </w:r>
      <w:r>
        <w:rPr>
          <w:rFonts w:ascii="宋体" w:hAnsi="宋体" w:cs="宋体" w:eastAsia="宋体" w:hint="default"/>
          <w:spacing w:val="-1"/>
          <w:w w:val="99"/>
          <w:sz w:val="21"/>
          <w:szCs w:val="21"/>
        </w:rPr>
        <w:t>）</w:t>
      </w:r>
      <w:r>
        <w:rPr>
          <w:rFonts w:ascii="宋体" w:hAnsi="宋体" w:cs="宋体" w:eastAsia="宋体" w:hint="default"/>
          <w:spacing w:val="7"/>
          <w:w w:val="99"/>
          <w:sz w:val="21"/>
          <w:szCs w:val="21"/>
        </w:rPr>
        <w:t> </w:t>
      </w:r>
      <w:r>
        <w:rPr>
          <w:rFonts w:ascii="宋体" w:hAnsi="宋体" w:cs="宋体" w:eastAsia="宋体" w:hint="default"/>
          <w:sz w:val="21"/>
          <w:szCs w:val="21"/>
        </w:rPr>
        <w:t>和</w:t>
      </w:r>
      <w:r>
        <w:rPr>
          <w:rFonts w:ascii="宋体" w:hAnsi="宋体" w:cs="宋体" w:eastAsia="宋体" w:hint="default"/>
          <w:spacing w:val="-51"/>
          <w:sz w:val="21"/>
          <w:szCs w:val="21"/>
        </w:rPr>
        <w:t> </w:t>
      </w:r>
      <w:r>
        <w:rPr>
          <w:rFonts w:ascii="Times New Roman" w:hAnsi="Times New Roman" w:cs="Times New Roman" w:eastAsia="Times New Roman" w:hint="default"/>
          <w:w w:val="99"/>
          <w:sz w:val="21"/>
          <w:szCs w:val="21"/>
        </w:rPr>
        <w:t>Sesca </w:t>
      </w:r>
      <w:r>
        <w:rPr>
          <w:rFonts w:ascii="Times New Roman" w:hAnsi="Times New Roman" w:cs="Times New Roman" w:eastAsia="Times New Roman" w:hint="default"/>
          <w:spacing w:val="-2"/>
          <w:sz w:val="21"/>
          <w:szCs w:val="21"/>
        </w:rPr>
        <w:t>Technologies</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1"/>
          <w:sz w:val="21"/>
          <w:szCs w:val="21"/>
        </w:rPr>
        <w:t>SRL</w:t>
      </w:r>
      <w:r>
        <w:rPr>
          <w:rFonts w:ascii="宋体" w:hAnsi="宋体" w:cs="宋体" w:eastAsia="宋体" w:hint="default"/>
          <w:spacing w:val="-1"/>
          <w:sz w:val="21"/>
          <w:szCs w:val="21"/>
        </w:rPr>
        <w:t>（以下简称</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Times New Roman" w:hAnsi="Times New Roman" w:cs="Times New Roman" w:eastAsia="Times New Roman" w:hint="default"/>
          <w:spacing w:val="-6"/>
          <w:sz w:val="21"/>
          <w:szCs w:val="21"/>
        </w:rPr>
        <w:t>“SRL”</w:t>
      </w:r>
      <w:r>
        <w:rPr>
          <w:rFonts w:ascii="宋体" w:hAnsi="宋体" w:cs="宋体" w:eastAsia="宋体" w:hint="default"/>
          <w:spacing w:val="-6"/>
          <w:sz w:val="21"/>
          <w:szCs w:val="21"/>
        </w:rPr>
        <w:t>）三家公司</w:t>
      </w:r>
      <w:r>
        <w:rPr>
          <w:rFonts w:ascii="宋体" w:hAnsi="宋体" w:cs="宋体" w:eastAsia="宋体" w:hint="default"/>
          <w:spacing w:val="-52"/>
          <w:sz w:val="21"/>
          <w:szCs w:val="21"/>
        </w:rPr>
        <w:t> </w:t>
      </w:r>
      <w:r>
        <w:rPr>
          <w:rFonts w:ascii="Times New Roman" w:hAnsi="Times New Roman" w:cs="Times New Roman" w:eastAsia="Times New Roman" w:hint="default"/>
          <w:spacing w:val="-4"/>
          <w:sz w:val="21"/>
          <w:szCs w:val="21"/>
        </w:rPr>
        <w:t>100%</w:t>
      </w:r>
      <w:r>
        <w:rPr>
          <w:rFonts w:ascii="宋体" w:hAnsi="宋体" w:cs="宋体" w:eastAsia="宋体" w:hint="default"/>
          <w:spacing w:val="-4"/>
          <w:sz w:val="21"/>
          <w:szCs w:val="21"/>
        </w:rPr>
        <w:t>股权，交易对价分别为</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350 </w:t>
      </w:r>
      <w:r>
        <w:rPr>
          <w:rFonts w:ascii="宋体" w:hAnsi="宋体" w:cs="宋体" w:eastAsia="宋体" w:hint="default"/>
          <w:spacing w:val="-8"/>
          <w:sz w:val="21"/>
          <w:szCs w:val="21"/>
        </w:rPr>
        <w:t>万欧元，</w:t>
      </w:r>
      <w:r>
        <w:rPr>
          <w:rFonts w:ascii="Times New Roman" w:hAnsi="Times New Roman" w:cs="Times New Roman" w:eastAsia="Times New Roman" w:hint="default"/>
          <w:spacing w:val="-8"/>
          <w:sz w:val="21"/>
          <w:szCs w:val="21"/>
        </w:rPr>
        <w:t>430</w:t>
      </w:r>
      <w:r>
        <w:rPr>
          <w:rFonts w:ascii="Times New Roman" w:hAnsi="Times New Roman" w:cs="Times New Roman" w:eastAsia="Times New Roman" w:hint="default"/>
          <w:sz w:val="21"/>
          <w:szCs w:val="21"/>
        </w:rPr>
        <w:t> </w:t>
      </w:r>
      <w:r>
        <w:rPr>
          <w:rFonts w:ascii="宋体" w:hAnsi="宋体" w:cs="宋体" w:eastAsia="宋体" w:hint="default"/>
          <w:sz w:val="21"/>
          <w:szCs w:val="21"/>
        </w:rPr>
        <w:t>万欧元和</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万欧元， 合计</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900 </w:t>
      </w:r>
      <w:r>
        <w:rPr>
          <w:rFonts w:ascii="宋体" w:hAnsi="宋体" w:cs="宋体" w:eastAsia="宋体" w:hint="default"/>
          <w:spacing w:val="-9"/>
          <w:sz w:val="21"/>
          <w:szCs w:val="21"/>
        </w:rPr>
        <w:t>万欧元。交易双方于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 </w:t>
      </w:r>
      <w:r>
        <w:rPr>
          <w:rFonts w:ascii="宋体" w:hAnsi="宋体" w:cs="宋体" w:eastAsia="宋体" w:hint="default"/>
          <w:spacing w:val="-10"/>
          <w:sz w:val="21"/>
          <w:szCs w:val="21"/>
        </w:rPr>
        <w:t>日完成交割。截至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w:t>
      </w:r>
    </w:p>
    <w:p>
      <w:pPr>
        <w:spacing w:line="331" w:lineRule="auto" w:before="20"/>
        <w:ind w:left="1399" w:right="192" w:firstLine="0"/>
        <w:jc w:val="left"/>
        <w:rPr>
          <w:rFonts w:ascii="宋体" w:hAnsi="宋体" w:cs="宋体" w:eastAsia="宋体" w:hint="default"/>
          <w:sz w:val="21"/>
          <w:szCs w:val="21"/>
        </w:rPr>
      </w:pPr>
      <w:r>
        <w:rPr>
          <w:rFonts w:ascii="宋体" w:hAnsi="宋体" w:cs="宋体" w:eastAsia="宋体" w:hint="default"/>
          <w:sz w:val="21"/>
          <w:szCs w:val="21"/>
        </w:rPr>
        <w:t>本公司已支付交易对价</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720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万欧元，剩余</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180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万欧元对价将于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年内付出。 同时收购双方对本次交易设置和安排了追加对价条款：</w:t>
      </w:r>
      <w:r>
        <w:rPr>
          <w:rFonts w:ascii="Times New Roman" w:hAnsi="Times New Roman" w:cs="Times New Roman" w:eastAsia="Times New Roman" w:hint="default"/>
          <w:sz w:val="21"/>
          <w:szCs w:val="21"/>
        </w:rPr>
        <w:t>SMW</w:t>
      </w:r>
      <w:r>
        <w:rPr>
          <w:rFonts w:ascii="宋体" w:hAnsi="宋体" w:cs="宋体" w:eastAsia="宋体" w:hint="default"/>
          <w:sz w:val="21"/>
          <w:szCs w:val="21"/>
        </w:rPr>
        <w:t>、</w:t>
      </w:r>
      <w:r>
        <w:rPr>
          <w:rFonts w:ascii="Times New Roman" w:hAnsi="Times New Roman" w:cs="Times New Roman" w:eastAsia="Times New Roman" w:hint="default"/>
          <w:sz w:val="21"/>
          <w:szCs w:val="21"/>
        </w:rPr>
        <w:t>Almitas</w:t>
      </w:r>
      <w:r>
        <w:rPr>
          <w:rFonts w:ascii="宋体" w:hAnsi="宋体" w:cs="宋体" w:eastAsia="宋体" w:hint="default"/>
          <w:sz w:val="21"/>
          <w:szCs w:val="21"/>
        </w:rPr>
        <w:t>、</w:t>
      </w:r>
      <w:r>
        <w:rPr>
          <w:rFonts w:ascii="Times New Roman" w:hAnsi="Times New Roman" w:cs="Times New Roman" w:eastAsia="Times New Roman" w:hint="default"/>
          <w:sz w:val="21"/>
          <w:szCs w:val="21"/>
        </w:rPr>
        <w:t>SRL</w:t>
      </w:r>
      <w:r>
        <w:rPr>
          <w:rFonts w:ascii="Times New Roman" w:hAnsi="Times New Roman" w:cs="Times New Roman" w:eastAsia="Times New Roman" w:hint="default"/>
          <w:spacing w:val="34"/>
          <w:sz w:val="21"/>
          <w:szCs w:val="21"/>
        </w:rPr>
        <w:t> </w:t>
      </w:r>
      <w:r>
        <w:rPr>
          <w:rFonts w:ascii="宋体" w:hAnsi="宋体" w:cs="宋体" w:eastAsia="宋体" w:hint="default"/>
          <w:sz w:val="21"/>
          <w:szCs w:val="21"/>
        </w:rPr>
        <w:t>三家公 司 </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年的营业收入目标合计为 </w:t>
      </w:r>
      <w:r>
        <w:rPr>
          <w:rFonts w:ascii="Times New Roman" w:hAnsi="Times New Roman" w:cs="Times New Roman" w:eastAsia="Times New Roman" w:hint="default"/>
          <w:sz w:val="21"/>
          <w:szCs w:val="21"/>
        </w:rPr>
        <w:t>1,900  </w:t>
      </w:r>
      <w:r>
        <w:rPr>
          <w:rFonts w:ascii="宋体" w:hAnsi="宋体" w:cs="宋体" w:eastAsia="宋体" w:hint="default"/>
          <w:sz w:val="21"/>
          <w:szCs w:val="21"/>
        </w:rPr>
        <w:t>万欧元、</w:t>
      </w:r>
      <w:r>
        <w:rPr>
          <w:rFonts w:ascii="Times New Roman" w:hAnsi="Times New Roman" w:cs="Times New Roman" w:eastAsia="Times New Roman" w:hint="default"/>
          <w:sz w:val="21"/>
          <w:szCs w:val="21"/>
        </w:rPr>
        <w:t>2011 </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年的营业收入的目标合计为</w:t>
      </w:r>
    </w:p>
    <w:p>
      <w:pPr>
        <w:spacing w:before="20"/>
        <w:ind w:left="1400" w:right="2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2,250</w:t>
      </w:r>
      <w:r>
        <w:rPr>
          <w:rFonts w:ascii="Times New Roman" w:hAnsi="Times New Roman" w:cs="Times New Roman" w:eastAsia="Times New Roman" w:hint="default"/>
          <w:spacing w:val="2"/>
          <w:sz w:val="21"/>
          <w:szCs w:val="21"/>
        </w:rPr>
        <w:t> </w:t>
      </w:r>
      <w:r>
        <w:rPr>
          <w:rFonts w:ascii="宋体" w:hAnsi="宋体" w:cs="宋体" w:eastAsia="宋体" w:hint="default"/>
          <w:spacing w:val="-4"/>
          <w:sz w:val="21"/>
          <w:szCs w:val="21"/>
        </w:rPr>
        <w:t>万欧元，两年总计为</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4,150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万欧元。上述营业收入目标确认实现后，东软欧洲将</w:t>
      </w:r>
    </w:p>
    <w:p>
      <w:pPr>
        <w:spacing w:line="328" w:lineRule="auto" w:before="110"/>
        <w:ind w:left="1400" w:right="195" w:firstLine="0"/>
        <w:jc w:val="left"/>
        <w:rPr>
          <w:rFonts w:ascii="宋体" w:hAnsi="宋体" w:cs="宋体" w:eastAsia="宋体" w:hint="default"/>
          <w:sz w:val="21"/>
          <w:szCs w:val="21"/>
        </w:rPr>
      </w:pPr>
      <w:r>
        <w:rPr>
          <w:rFonts w:ascii="宋体" w:hAnsi="宋体" w:cs="宋体" w:eastAsia="宋体" w:hint="default"/>
          <w:sz w:val="21"/>
          <w:szCs w:val="21"/>
        </w:rPr>
        <w:t>支付总额不超过</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万欧元的追加对价。 </w:t>
      </w:r>
      <w:r>
        <w:rPr>
          <w:rFonts w:ascii="宋体" w:hAnsi="宋体" w:cs="宋体" w:eastAsia="宋体" w:hint="default"/>
          <w:spacing w:val="-2"/>
          <w:sz w:val="21"/>
          <w:szCs w:val="21"/>
        </w:rPr>
        <w:t>因此，东软欧洲在该交易事项中支付的对价总额最多不超过</w:t>
      </w:r>
      <w:r>
        <w:rPr>
          <w:rFonts w:ascii="宋体" w:hAnsi="宋体" w:cs="宋体" w:eastAsia="宋体" w:hint="default"/>
          <w:spacing w:val="-49"/>
          <w:sz w:val="21"/>
          <w:szCs w:val="21"/>
        </w:rPr>
        <w:t> </w:t>
      </w:r>
      <w:r>
        <w:rPr>
          <w:rFonts w:ascii="Times New Roman" w:hAnsi="Times New Roman" w:cs="Times New Roman" w:eastAsia="Times New Roman" w:hint="default"/>
          <w:spacing w:val="-1"/>
          <w:sz w:val="21"/>
          <w:szCs w:val="21"/>
        </w:rPr>
        <w:t>1,200</w:t>
      </w:r>
      <w:r>
        <w:rPr>
          <w:rFonts w:ascii="Times New Roman" w:hAnsi="Times New Roman" w:cs="Times New Roman" w:eastAsia="Times New Roman" w:hint="default"/>
          <w:spacing w:val="4"/>
          <w:sz w:val="21"/>
          <w:szCs w:val="21"/>
        </w:rPr>
        <w:t> </w:t>
      </w:r>
      <w:r>
        <w:rPr>
          <w:rFonts w:ascii="宋体" w:hAnsi="宋体" w:cs="宋体" w:eastAsia="宋体" w:hint="default"/>
          <w:spacing w:val="-17"/>
          <w:sz w:val="21"/>
          <w:szCs w:val="21"/>
        </w:rPr>
        <w:t>万欧元。（其他相关</w:t>
      </w:r>
      <w:r>
        <w:rPr>
          <w:rFonts w:ascii="宋体" w:hAnsi="宋体" w:cs="宋体" w:eastAsia="宋体" w:hint="default"/>
          <w:sz w:val="21"/>
          <w:szCs w:val="21"/>
        </w:rPr>
        <w:t> 交易情况参见东软集团</w:t>
      </w:r>
      <w:r>
        <w:rPr>
          <w:rFonts w:ascii="Times New Roman" w:hAnsi="Times New Roman" w:cs="Times New Roman" w:eastAsia="Times New Roman" w:hint="default"/>
          <w:sz w:val="21"/>
          <w:szCs w:val="21"/>
        </w:rPr>
        <w:t>“</w:t>
      </w:r>
      <w:r>
        <w:rPr>
          <w:rFonts w:ascii="宋体" w:hAnsi="宋体" w:cs="宋体" w:eastAsia="宋体" w:hint="default"/>
          <w:sz w:val="21"/>
          <w:szCs w:val="21"/>
        </w:rPr>
        <w:t>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2009-021”</w:t>
      </w:r>
      <w:r>
        <w:rPr>
          <w:rFonts w:ascii="宋体" w:hAnsi="宋体" w:cs="宋体" w:eastAsia="宋体" w:hint="default"/>
          <w:sz w:val="21"/>
          <w:szCs w:val="21"/>
        </w:rPr>
        <w:t>号公告）</w:t>
      </w:r>
    </w:p>
    <w:p>
      <w:pPr>
        <w:spacing w:line="240" w:lineRule="auto" w:before="5"/>
        <w:rPr>
          <w:rFonts w:ascii="宋体" w:hAnsi="宋体" w:cs="宋体" w:eastAsia="宋体" w:hint="default"/>
          <w:sz w:val="32"/>
          <w:szCs w:val="32"/>
        </w:rPr>
      </w:pPr>
    </w:p>
    <w:p>
      <w:pPr>
        <w:tabs>
          <w:tab w:pos="1396" w:val="left" w:leader="none"/>
        </w:tabs>
        <w:spacing w:before="0"/>
        <w:ind w:left="857" w:right="18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已签订的正在或准备履行的并购协议</w:t>
      </w:r>
    </w:p>
    <w:p>
      <w:pPr>
        <w:spacing w:line="331" w:lineRule="auto" w:before="109"/>
        <w:ind w:left="1399" w:right="203"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 </w:t>
      </w:r>
      <w:r>
        <w:rPr>
          <w:rFonts w:ascii="Times New Roman" w:hAnsi="Times New Roman" w:cs="Times New Roman" w:eastAsia="Times New Roman" w:hint="default"/>
          <w:sz w:val="21"/>
          <w:szCs w:val="21"/>
        </w:rPr>
        <w:t>2009 </w:t>
      </w:r>
      <w:r>
        <w:rPr>
          <w:rFonts w:ascii="宋体" w:hAnsi="宋体" w:cs="宋体" w:eastAsia="宋体" w:hint="default"/>
          <w:sz w:val="21"/>
          <w:szCs w:val="21"/>
        </w:rPr>
        <w:t>年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月，本公司全资子公司东软科技有限公司（简称</w:t>
      </w:r>
      <w:r>
        <w:rPr>
          <w:rFonts w:ascii="Times New Roman" w:hAnsi="Times New Roman" w:cs="Times New Roman" w:eastAsia="Times New Roman" w:hint="default"/>
          <w:sz w:val="21"/>
          <w:szCs w:val="21"/>
        </w:rPr>
        <w:t>“</w:t>
      </w:r>
      <w:r>
        <w:rPr>
          <w:rFonts w:ascii="宋体" w:hAnsi="宋体" w:cs="宋体" w:eastAsia="宋体" w:hint="default"/>
          <w:sz w:val="21"/>
          <w:szCs w:val="21"/>
        </w:rPr>
        <w:t>东软科技</w:t>
      </w:r>
      <w:r>
        <w:rPr>
          <w:rFonts w:ascii="Times New Roman" w:hAnsi="Times New Roman" w:cs="Times New Roman" w:eastAsia="Times New Roman" w:hint="default"/>
          <w:sz w:val="21"/>
          <w:szCs w:val="21"/>
        </w:rPr>
        <w:t>”</w:t>
      </w:r>
      <w:r>
        <w:rPr>
          <w:rFonts w:ascii="宋体" w:hAnsi="宋体" w:cs="宋体" w:eastAsia="宋体" w:hint="default"/>
          <w:sz w:val="21"/>
          <w:szCs w:val="21"/>
        </w:rPr>
        <w:t>）与美 国</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Taproot</w:t>
      </w:r>
      <w:r>
        <w:rPr>
          <w:rFonts w:ascii="Times New Roman" w:hAnsi="Times New Roman" w:cs="Times New Roman" w:eastAsia="Times New Roman" w:hint="default"/>
          <w:spacing w:val="10"/>
          <w:sz w:val="21"/>
          <w:szCs w:val="21"/>
        </w:rPr>
        <w:t> </w:t>
      </w:r>
      <w:r>
        <w:rPr>
          <w:rFonts w:ascii="Times New Roman" w:hAnsi="Times New Roman" w:cs="Times New Roman" w:eastAsia="Times New Roman" w:hint="default"/>
          <w:sz w:val="21"/>
          <w:szCs w:val="21"/>
        </w:rPr>
        <w:t>System</w:t>
      </w:r>
      <w:r>
        <w:rPr>
          <w:rFonts w:ascii="Times New Roman" w:hAnsi="Times New Roman" w:cs="Times New Roman" w:eastAsia="Times New Roman" w:hint="default"/>
          <w:spacing w:val="7"/>
          <w:sz w:val="21"/>
          <w:szCs w:val="21"/>
        </w:rPr>
        <w:t> </w:t>
      </w:r>
      <w:r>
        <w:rPr>
          <w:rFonts w:ascii="Times New Roman" w:hAnsi="Times New Roman" w:cs="Times New Roman" w:eastAsia="Times New Roman" w:hint="default"/>
          <w:sz w:val="21"/>
          <w:szCs w:val="21"/>
        </w:rPr>
        <w:t>Inc.</w:t>
      </w:r>
      <w:r>
        <w:rPr>
          <w:rFonts w:ascii="宋体" w:hAnsi="宋体" w:cs="宋体" w:eastAsia="宋体" w:hint="default"/>
          <w:sz w:val="21"/>
          <w:szCs w:val="21"/>
        </w:rPr>
        <w:t>签订业务收购协议，收购美国</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Taproot</w:t>
      </w:r>
      <w:r>
        <w:rPr>
          <w:rFonts w:ascii="Times New Roman" w:hAnsi="Times New Roman" w:cs="Times New Roman" w:eastAsia="Times New Roman" w:hint="default"/>
          <w:spacing w:val="10"/>
          <w:sz w:val="21"/>
          <w:szCs w:val="21"/>
        </w:rPr>
        <w:t> </w:t>
      </w:r>
      <w:r>
        <w:rPr>
          <w:rFonts w:ascii="Times New Roman" w:hAnsi="Times New Roman" w:cs="Times New Roman" w:eastAsia="Times New Roman" w:hint="default"/>
          <w:sz w:val="21"/>
          <w:szCs w:val="21"/>
        </w:rPr>
        <w:t>System</w:t>
      </w:r>
      <w:r>
        <w:rPr>
          <w:rFonts w:ascii="Times New Roman" w:hAnsi="Times New Roman" w:cs="Times New Roman" w:eastAsia="Times New Roman" w:hint="default"/>
          <w:spacing w:val="7"/>
          <w:sz w:val="21"/>
          <w:szCs w:val="21"/>
        </w:rPr>
        <w:t> </w:t>
      </w:r>
      <w:r>
        <w:rPr>
          <w:rFonts w:ascii="Times New Roman" w:hAnsi="Times New Roman" w:cs="Times New Roman" w:eastAsia="Times New Roman" w:hint="default"/>
          <w:sz w:val="21"/>
          <w:szCs w:val="21"/>
        </w:rPr>
        <w:t>Inc.</w:t>
      </w:r>
      <w:r>
        <w:rPr>
          <w:rFonts w:ascii="宋体" w:hAnsi="宋体" w:cs="宋体" w:eastAsia="宋体" w:hint="default"/>
          <w:sz w:val="21"/>
          <w:szCs w:val="21"/>
        </w:rPr>
        <w:t>从事高端智能 手机嵌入式软件开发服务业务，合同总对价不超过</w:t>
      </w:r>
      <w:r>
        <w:rPr>
          <w:rFonts w:ascii="宋体" w:hAnsi="宋体" w:cs="宋体" w:eastAsia="宋体" w:hint="default"/>
          <w:spacing w:val="-72"/>
          <w:sz w:val="21"/>
          <w:szCs w:val="21"/>
        </w:rPr>
        <w:t> </w:t>
      </w:r>
      <w:r>
        <w:rPr>
          <w:rFonts w:ascii="Times New Roman" w:hAnsi="Times New Roman" w:cs="Times New Roman" w:eastAsia="Times New Roman" w:hint="default"/>
          <w:sz w:val="21"/>
          <w:szCs w:val="21"/>
        </w:rPr>
        <w:t>310</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万美元，根据合同要求，东软 科技在交割日向卖方和</w:t>
      </w:r>
      <w:r>
        <w:rPr>
          <w:rFonts w:ascii="Times New Roman" w:hAnsi="Times New Roman" w:cs="Times New Roman" w:eastAsia="Times New Roman" w:hint="default"/>
          <w:sz w:val="21"/>
          <w:szCs w:val="21"/>
        </w:rPr>
        <w:t>/</w:t>
      </w:r>
      <w:r>
        <w:rPr>
          <w:rFonts w:ascii="宋体" w:hAnsi="宋体" w:cs="宋体" w:eastAsia="宋体" w:hint="default"/>
          <w:sz w:val="21"/>
          <w:szCs w:val="21"/>
        </w:rPr>
        <w:t>卖方的债权人支付共计</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295</w:t>
      </w:r>
      <w:r>
        <w:rPr>
          <w:rFonts w:ascii="Times New Roman" w:hAnsi="Times New Roman" w:cs="Times New Roman" w:eastAsia="Times New Roman" w:hint="default"/>
          <w:spacing w:val="1"/>
          <w:sz w:val="21"/>
          <w:szCs w:val="21"/>
        </w:rPr>
        <w:t> </w:t>
      </w:r>
      <w:r>
        <w:rPr>
          <w:rFonts w:ascii="宋体" w:hAnsi="宋体" w:cs="宋体" w:eastAsia="宋体" w:hint="default"/>
          <w:spacing w:val="-7"/>
          <w:sz w:val="21"/>
          <w:szCs w:val="21"/>
        </w:rPr>
        <w:t>万美元；交割日后</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 </w:t>
      </w:r>
      <w:r>
        <w:rPr>
          <w:rFonts w:ascii="宋体" w:hAnsi="宋体" w:cs="宋体" w:eastAsia="宋体" w:hint="default"/>
          <w:spacing w:val="-8"/>
          <w:sz w:val="21"/>
          <w:szCs w:val="21"/>
        </w:rPr>
        <w:t>年，东软科技</w:t>
      </w:r>
      <w:r>
        <w:rPr>
          <w:rFonts w:ascii="宋体" w:hAnsi="宋体" w:cs="宋体" w:eastAsia="宋体" w:hint="default"/>
          <w:sz w:val="21"/>
          <w:szCs w:val="21"/>
        </w:rPr>
        <w:t> 将向卖方支付</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15 </w:t>
      </w:r>
      <w:r>
        <w:rPr>
          <w:rFonts w:ascii="宋体" w:hAnsi="宋体" w:cs="宋体" w:eastAsia="宋体" w:hint="default"/>
          <w:spacing w:val="-6"/>
          <w:sz w:val="21"/>
          <w:szCs w:val="21"/>
        </w:rPr>
        <w:t>万美元，但应扣减期间</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Taproot</w:t>
      </w:r>
      <w:r>
        <w:rPr>
          <w:rFonts w:ascii="Times New Roman" w:hAnsi="Times New Roman" w:cs="Times New Roman" w:eastAsia="Times New Roman" w:hint="default"/>
          <w:sz w:val="21"/>
          <w:szCs w:val="21"/>
        </w:rPr>
        <w:t> </w:t>
      </w:r>
      <w:r>
        <w:rPr>
          <w:rFonts w:ascii="宋体" w:hAnsi="宋体" w:cs="宋体" w:eastAsia="宋体" w:hint="default"/>
          <w:sz w:val="21"/>
          <w:szCs w:val="21"/>
        </w:rPr>
        <w:t>因为违反协议而给东软科技造成的实 </w:t>
      </w:r>
      <w:r>
        <w:rPr>
          <w:rFonts w:ascii="宋体" w:hAnsi="宋体" w:cs="宋体" w:eastAsia="宋体" w:hint="default"/>
          <w:spacing w:val="-5"/>
          <w:sz w:val="21"/>
          <w:szCs w:val="21"/>
        </w:rPr>
        <w:t>际损失，东软科技与美国</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Taproot</w:t>
      </w:r>
      <w:r>
        <w:rPr>
          <w:rFonts w:ascii="Times New Roman" w:hAnsi="Times New Roman" w:cs="Times New Roman" w:eastAsia="Times New Roman" w:hint="default"/>
          <w:sz w:val="21"/>
          <w:szCs w:val="21"/>
        </w:rPr>
        <w:t> System</w:t>
      </w:r>
      <w:r>
        <w:rPr>
          <w:rFonts w:ascii="Times New Roman" w:hAnsi="Times New Roman" w:cs="Times New Roman" w:eastAsia="Times New Roman" w:hint="default"/>
          <w:spacing w:val="-1"/>
          <w:sz w:val="21"/>
          <w:szCs w:val="21"/>
        </w:rPr>
        <w:t> </w:t>
      </w:r>
      <w:r>
        <w:rPr>
          <w:rFonts w:ascii="Times New Roman" w:hAnsi="Times New Roman" w:cs="Times New Roman" w:eastAsia="Times New Roman" w:hint="default"/>
          <w:sz w:val="21"/>
          <w:szCs w:val="21"/>
        </w:rPr>
        <w:t>Inc.</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双方签订交割日为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pacing w:val="-18"/>
          <w:sz w:val="21"/>
          <w:szCs w:val="21"/>
        </w:rPr>
        <w:t>日。截</w:t>
      </w:r>
      <w:r>
        <w:rPr>
          <w:rFonts w:ascii="宋体" w:hAnsi="宋体" w:cs="宋体" w:eastAsia="宋体" w:hint="default"/>
          <w:sz w:val="21"/>
          <w:szCs w:val="21"/>
        </w:rPr>
        <w:t> 止至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日，东软科技还未支付相关款项。</w:t>
      </w:r>
    </w:p>
    <w:p>
      <w:pPr>
        <w:spacing w:line="240" w:lineRule="auto" w:before="3"/>
        <w:rPr>
          <w:rFonts w:ascii="宋体" w:hAnsi="宋体" w:cs="宋体" w:eastAsia="宋体" w:hint="default"/>
          <w:sz w:val="32"/>
          <w:szCs w:val="32"/>
        </w:rPr>
      </w:pPr>
    </w:p>
    <w:p>
      <w:pPr>
        <w:spacing w:before="0"/>
        <w:ind w:left="1399" w:right="2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3"/>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月，本公司以总对价不超过</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23,268,000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元收购浙江海科电力软件技</w:t>
      </w:r>
    </w:p>
    <w:p>
      <w:pPr>
        <w:spacing w:before="109"/>
        <w:ind w:left="1399" w:right="20" w:firstLine="0"/>
        <w:jc w:val="left"/>
        <w:rPr>
          <w:rFonts w:ascii="宋体" w:hAnsi="宋体" w:cs="宋体" w:eastAsia="宋体" w:hint="default"/>
          <w:sz w:val="21"/>
          <w:szCs w:val="21"/>
        </w:rPr>
      </w:pPr>
      <w:r>
        <w:rPr>
          <w:rFonts w:ascii="宋体" w:hAnsi="宋体" w:cs="宋体" w:eastAsia="宋体" w:hint="default"/>
          <w:sz w:val="21"/>
          <w:szCs w:val="21"/>
        </w:rPr>
        <w:t>术有限公司电力信息采集系统软件业务全部资产，截止至</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日，公司</w:t>
      </w:r>
    </w:p>
    <w:p>
      <w:pPr>
        <w:spacing w:after="0"/>
        <w:jc w:val="left"/>
        <w:rPr>
          <w:rFonts w:ascii="宋体" w:hAnsi="宋体" w:cs="宋体" w:eastAsia="宋体" w:hint="default"/>
          <w:sz w:val="21"/>
          <w:szCs w:val="21"/>
        </w:rPr>
        <w:sectPr>
          <w:pgSz w:w="11900" w:h="16840"/>
          <w:pgMar w:header="883" w:footer="1003" w:top="1540" w:bottom="1200" w:left="1480" w:right="1080"/>
        </w:sectPr>
      </w:pPr>
    </w:p>
    <w:p>
      <w:pPr>
        <w:spacing w:line="240" w:lineRule="auto" w:before="10"/>
        <w:rPr>
          <w:rFonts w:ascii="宋体" w:hAnsi="宋体" w:cs="宋体" w:eastAsia="宋体" w:hint="default"/>
          <w:sz w:val="8"/>
          <w:szCs w:val="8"/>
        </w:rPr>
      </w:pPr>
    </w:p>
    <w:p>
      <w:pPr>
        <w:spacing w:line="331" w:lineRule="auto" w:before="35"/>
        <w:ind w:left="1399" w:right="145" w:firstLine="0"/>
        <w:jc w:val="both"/>
        <w:rPr>
          <w:rFonts w:ascii="宋体" w:hAnsi="宋体" w:cs="宋体" w:eastAsia="宋体" w:hint="default"/>
          <w:sz w:val="21"/>
          <w:szCs w:val="21"/>
        </w:rPr>
      </w:pPr>
      <w:r>
        <w:rPr>
          <w:rFonts w:ascii="宋体" w:hAnsi="宋体" w:cs="宋体" w:eastAsia="宋体" w:hint="default"/>
          <w:sz w:val="21"/>
          <w:szCs w:val="21"/>
        </w:rPr>
        <w:t>已经支付 </w:t>
      </w:r>
      <w:r>
        <w:rPr>
          <w:rFonts w:ascii="Times New Roman" w:hAnsi="Times New Roman" w:cs="Times New Roman" w:eastAsia="Times New Roman" w:hint="default"/>
          <w:sz w:val="21"/>
          <w:szCs w:val="21"/>
        </w:rPr>
        <w:t>7,800,000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元，剩余相关款项待浙江海科电力软件技术有限公司完成合同约 定事项后予以支付。</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1396" w:val="left" w:leader="none"/>
        </w:tabs>
        <w:spacing w:before="0"/>
        <w:ind w:left="857" w:right="14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本报告期无已签订的正在或准备履行的重组计划</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396" w:val="left" w:leader="none"/>
        </w:tabs>
        <w:spacing w:line="331" w:lineRule="auto" w:before="0"/>
        <w:ind w:left="1400" w:right="145"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tab/>
        <w:t>其他重大财务承诺事项</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本公司之子公司沈阳东软医疗系统有限公司（简称</w:t>
      </w:r>
      <w:r>
        <w:rPr>
          <w:rFonts w:ascii="Times New Roman" w:hAnsi="Times New Roman" w:cs="Times New Roman" w:eastAsia="Times New Roman" w:hint="default"/>
          <w:sz w:val="21"/>
          <w:szCs w:val="21"/>
        </w:rPr>
        <w:t>“</w:t>
      </w:r>
      <w:r>
        <w:rPr>
          <w:rFonts w:ascii="宋体" w:hAnsi="宋体" w:cs="宋体" w:eastAsia="宋体" w:hint="default"/>
          <w:sz w:val="21"/>
          <w:szCs w:val="21"/>
        </w:rPr>
        <w:t>东软医疗</w:t>
      </w:r>
      <w:r>
        <w:rPr>
          <w:rFonts w:ascii="Times New Roman" w:hAnsi="Times New Roman" w:cs="Times New Roman" w:eastAsia="Times New Roman" w:hint="default"/>
          <w:sz w:val="21"/>
          <w:szCs w:val="21"/>
        </w:rPr>
        <w:t>”</w:t>
      </w:r>
      <w:r>
        <w:rPr>
          <w:rFonts w:ascii="宋体" w:hAnsi="宋体" w:cs="宋体" w:eastAsia="宋体" w:hint="default"/>
          <w:sz w:val="21"/>
          <w:szCs w:val="21"/>
        </w:rPr>
        <w:t>）于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 </w:t>
      </w:r>
      <w:r>
        <w:rPr>
          <w:rFonts w:ascii="宋体" w:hAnsi="宋体" w:cs="宋体" w:eastAsia="宋体" w:hint="default"/>
          <w:spacing w:val="-1"/>
          <w:sz w:val="21"/>
          <w:szCs w:val="21"/>
        </w:rPr>
        <w:t>与其联营公司东软飞利浦医疗设备系统有限责任公司（简称</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东软飞利浦</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）签订协议</w:t>
      </w:r>
      <w:r>
        <w:rPr>
          <w:rFonts w:ascii="宋体" w:hAnsi="宋体" w:cs="宋体" w:eastAsia="宋体" w:hint="default"/>
          <w:sz w:val="21"/>
          <w:szCs w:val="21"/>
        </w:rPr>
        <w:t> </w:t>
      </w:r>
      <w:r>
        <w:rPr>
          <w:rFonts w:ascii="宋体" w:hAnsi="宋体" w:cs="宋体" w:eastAsia="宋体" w:hint="default"/>
          <w:spacing w:val="-4"/>
          <w:sz w:val="21"/>
          <w:szCs w:val="21"/>
        </w:rPr>
        <w:t>约定，东软医疗承诺在</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日之前从东软飞利浦购买至少</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台低场磁共</w:t>
      </w:r>
    </w:p>
    <w:p>
      <w:pPr>
        <w:spacing w:before="20"/>
        <w:ind w:left="1399" w:right="0" w:firstLine="0"/>
        <w:jc w:val="both"/>
        <w:rPr>
          <w:rFonts w:ascii="宋体" w:hAnsi="宋体" w:cs="宋体" w:eastAsia="宋体" w:hint="default"/>
          <w:sz w:val="21"/>
          <w:szCs w:val="21"/>
        </w:rPr>
      </w:pPr>
      <w:r>
        <w:rPr>
          <w:rFonts w:ascii="宋体" w:hAnsi="宋体" w:cs="宋体" w:eastAsia="宋体" w:hint="default"/>
          <w:sz w:val="21"/>
          <w:szCs w:val="21"/>
        </w:rPr>
        <w:t>振设备，其中，从</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日到</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日，东软医疗将从东软飞利</w:t>
      </w:r>
    </w:p>
    <w:p>
      <w:pPr>
        <w:spacing w:line="331" w:lineRule="auto" w:before="110"/>
        <w:ind w:left="1399" w:right="145" w:firstLine="0"/>
        <w:jc w:val="both"/>
        <w:rPr>
          <w:rFonts w:ascii="宋体" w:hAnsi="宋体" w:cs="宋体" w:eastAsia="宋体" w:hint="default"/>
          <w:sz w:val="21"/>
          <w:szCs w:val="21"/>
        </w:rPr>
      </w:pPr>
      <w:r>
        <w:rPr>
          <w:rFonts w:ascii="宋体" w:hAnsi="宋体" w:cs="宋体" w:eastAsia="宋体" w:hint="default"/>
          <w:sz w:val="21"/>
          <w:szCs w:val="21"/>
        </w:rPr>
        <w:t>浦订购最少</w:t>
      </w:r>
      <w:r>
        <w:rPr>
          <w:rFonts w:ascii="宋体" w:hAnsi="宋体" w:cs="宋体" w:eastAsia="宋体" w:hint="default"/>
          <w:spacing w:val="-72"/>
          <w:sz w:val="21"/>
          <w:szCs w:val="21"/>
        </w:rPr>
        <w:t> </w:t>
      </w:r>
      <w:r>
        <w:rPr>
          <w:rFonts w:ascii="Times New Roman" w:hAnsi="Times New Roman" w:cs="Times New Roman" w:eastAsia="Times New Roman" w:hint="default"/>
          <w:sz w:val="21"/>
          <w:szCs w:val="21"/>
        </w:rPr>
        <w:t>130</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台低场磁共振设备。在该协议下，每台低场磁共振设备购买价格中包 含许可使用费</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11,696</w:t>
      </w:r>
      <w:r>
        <w:rPr>
          <w:rFonts w:ascii="Times New Roman" w:hAnsi="Times New Roman" w:cs="Times New Roman" w:eastAsia="Times New Roman" w:hint="default"/>
          <w:spacing w:val="-5"/>
          <w:sz w:val="21"/>
          <w:szCs w:val="21"/>
        </w:rPr>
        <w:t> </w:t>
      </w:r>
      <w:r>
        <w:rPr>
          <w:rFonts w:ascii="宋体" w:hAnsi="宋体" w:cs="宋体" w:eastAsia="宋体" w:hint="default"/>
          <w:spacing w:val="-3"/>
          <w:sz w:val="21"/>
          <w:szCs w:val="21"/>
        </w:rPr>
        <w:t>欧元。如果东软医疗实际购买低场磁共振设备未达到合同约定的</w:t>
      </w:r>
      <w:r>
        <w:rPr>
          <w:rFonts w:ascii="宋体" w:hAnsi="宋体" w:cs="宋体" w:eastAsia="宋体" w:hint="default"/>
          <w:sz w:val="21"/>
          <w:szCs w:val="21"/>
        </w:rPr>
        <w:t> </w:t>
      </w:r>
      <w:r>
        <w:rPr>
          <w:rFonts w:ascii="宋体" w:hAnsi="宋体" w:cs="宋体" w:eastAsia="宋体" w:hint="default"/>
          <w:spacing w:val="-5"/>
          <w:sz w:val="21"/>
          <w:szCs w:val="21"/>
        </w:rPr>
        <w:t>最小数量，东软医疗将按每台低场磁共振设备</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11,696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欧元的标准支付给东软飞利浦作 为补偿金。</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before="0"/>
        <w:ind w:left="125" w:right="4517" w:firstLine="0"/>
        <w:jc w:val="left"/>
        <w:rPr>
          <w:rFonts w:ascii="宋体" w:hAnsi="宋体" w:cs="宋体" w:eastAsia="宋体" w:hint="default"/>
          <w:sz w:val="21"/>
          <w:szCs w:val="21"/>
        </w:rPr>
      </w:pPr>
      <w:r>
        <w:rPr>
          <w:rFonts w:ascii="宋体" w:hAnsi="宋体" w:cs="宋体" w:eastAsia="宋体" w:hint="default"/>
          <w:sz w:val="21"/>
          <w:szCs w:val="21"/>
        </w:rPr>
        <w:t>十一、 资产负债表日后事项</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tabs>
          <w:tab w:pos="853" w:val="left" w:leader="none"/>
        </w:tabs>
        <w:spacing w:before="0"/>
        <w:ind w:left="125" w:right="4517"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资产负债表日后利润分配情况说明</w:t>
      </w:r>
    </w:p>
    <w:p>
      <w:pPr>
        <w:spacing w:line="331" w:lineRule="auto" w:before="109"/>
        <w:ind w:left="857" w:right="121" w:firstLine="0"/>
        <w:jc w:val="left"/>
        <w:rPr>
          <w:rFonts w:ascii="宋体" w:hAnsi="宋体" w:cs="宋体" w:eastAsia="宋体" w:hint="default"/>
          <w:sz w:val="21"/>
          <w:szCs w:val="21"/>
        </w:rPr>
      </w:pPr>
      <w:r>
        <w:rPr>
          <w:rFonts w:ascii="宋体" w:hAnsi="宋体" w:cs="宋体" w:eastAsia="宋体" w:hint="default"/>
          <w:sz w:val="21"/>
          <w:szCs w:val="21"/>
        </w:rPr>
        <w:t>本公司于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日召开的五届十七次董事会建议</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年度以年度净利润为基础， 分别计提</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及</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的法定盈余公积金及任意盈余公积金。 根据公司未来发展规划，为给股东以一定的回报，董事会同意以</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日总股本</w:t>
      </w:r>
    </w:p>
    <w:p>
      <w:pPr>
        <w:spacing w:before="20"/>
        <w:ind w:left="857"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4</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3</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3,2</w:t>
      </w:r>
      <w:r>
        <w:rPr>
          <w:rFonts w:ascii="Times New Roman" w:hAnsi="Times New Roman" w:cs="Times New Roman" w:eastAsia="Times New Roman" w:hint="default"/>
          <w:sz w:val="21"/>
          <w:szCs w:val="21"/>
        </w:rPr>
        <w:t>65</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股为基数，向全体股东每</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股派发</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元人民币现金红利（含税</w:t>
      </w:r>
      <w:r>
        <w:rPr>
          <w:rFonts w:ascii="宋体" w:hAnsi="宋体" w:cs="宋体" w:eastAsia="宋体" w:hint="default"/>
          <w:spacing w:val="-105"/>
          <w:sz w:val="21"/>
          <w:szCs w:val="21"/>
        </w:rPr>
        <w:t>）</w:t>
      </w:r>
      <w:r>
        <w:rPr>
          <w:rFonts w:ascii="宋体" w:hAnsi="宋体" w:cs="宋体" w:eastAsia="宋体" w:hint="default"/>
          <w:sz w:val="21"/>
          <w:szCs w:val="21"/>
        </w:rPr>
        <w:t>，共派</w:t>
      </w:r>
      <w:r>
        <w:rPr>
          <w:rFonts w:ascii="宋体" w:hAnsi="宋体" w:cs="宋体" w:eastAsia="宋体" w:hint="default"/>
          <w:spacing w:val="-2"/>
          <w:sz w:val="21"/>
          <w:szCs w:val="21"/>
        </w:rPr>
        <w:t>发</w:t>
      </w:r>
      <w:r>
        <w:rPr>
          <w:rFonts w:ascii="宋体" w:hAnsi="宋体" w:cs="宋体" w:eastAsia="宋体" w:hint="default"/>
          <w:sz w:val="21"/>
          <w:szCs w:val="21"/>
        </w:rPr>
        <w:t>现金</w:t>
      </w:r>
    </w:p>
    <w:p>
      <w:pPr>
        <w:spacing w:before="110"/>
        <w:ind w:left="857" w:right="121" w:firstLine="0"/>
        <w:jc w:val="left"/>
        <w:rPr>
          <w:rFonts w:ascii="宋体" w:hAnsi="宋体" w:cs="宋体" w:eastAsia="宋体" w:hint="default"/>
          <w:sz w:val="21"/>
          <w:szCs w:val="21"/>
        </w:rPr>
      </w:pPr>
      <w:r>
        <w:rPr>
          <w:rFonts w:ascii="宋体" w:hAnsi="宋体" w:cs="宋体" w:eastAsia="宋体" w:hint="default"/>
          <w:sz w:val="21"/>
          <w:szCs w:val="21"/>
        </w:rPr>
        <w:t>红利</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8</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6</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5</w:t>
      </w:r>
      <w:r>
        <w:rPr>
          <w:rFonts w:ascii="Times New Roman" w:hAnsi="Times New Roman" w:cs="Times New Roman" w:eastAsia="Times New Roman" w:hint="default"/>
          <w:sz w:val="21"/>
          <w:szCs w:val="21"/>
        </w:rPr>
        <w:t>3 </w:t>
      </w:r>
      <w:r>
        <w:rPr>
          <w:rFonts w:ascii="宋体" w:hAnsi="宋体" w:cs="宋体" w:eastAsia="宋体" w:hint="default"/>
          <w:spacing w:val="-8"/>
          <w:sz w:val="21"/>
          <w:szCs w:val="21"/>
        </w:rPr>
        <w:t>元</w:t>
      </w:r>
      <w:r>
        <w:rPr>
          <w:rFonts w:ascii="宋体" w:hAnsi="宋体" w:cs="宋体" w:eastAsia="宋体" w:hint="default"/>
          <w:sz w:val="21"/>
          <w:szCs w:val="21"/>
        </w:rPr>
        <w:t>（含税</w:t>
      </w:r>
      <w:r>
        <w:rPr>
          <w:rFonts w:ascii="宋体" w:hAnsi="宋体" w:cs="宋体" w:eastAsia="宋体" w:hint="default"/>
          <w:spacing w:val="-105"/>
          <w:sz w:val="21"/>
          <w:szCs w:val="21"/>
        </w:rPr>
        <w:t>）</w:t>
      </w:r>
      <w:r>
        <w:rPr>
          <w:rFonts w:ascii="宋体" w:hAnsi="宋体" w:cs="宋体" w:eastAsia="宋体" w:hint="default"/>
          <w:spacing w:val="-8"/>
          <w:sz w:val="21"/>
          <w:szCs w:val="21"/>
        </w:rPr>
        <w:t>，</w:t>
      </w:r>
      <w:r>
        <w:rPr>
          <w:rFonts w:ascii="宋体" w:hAnsi="宋体" w:cs="宋体" w:eastAsia="宋体" w:hint="default"/>
          <w:sz w:val="21"/>
          <w:szCs w:val="21"/>
        </w:rPr>
        <w:t>剩余未分配利润结转以后年度</w:t>
      </w:r>
      <w:r>
        <w:rPr>
          <w:rFonts w:ascii="宋体" w:hAnsi="宋体" w:cs="宋体" w:eastAsia="宋体" w:hint="default"/>
          <w:spacing w:val="-8"/>
          <w:sz w:val="21"/>
          <w:szCs w:val="21"/>
        </w:rPr>
        <w:t>。</w:t>
      </w:r>
      <w:r>
        <w:rPr>
          <w:rFonts w:ascii="宋体" w:hAnsi="宋体" w:cs="宋体" w:eastAsia="宋体" w:hint="default"/>
          <w:sz w:val="21"/>
          <w:szCs w:val="21"/>
        </w:rPr>
        <w:t>同时以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00</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2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3</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日总</w:t>
      </w:r>
    </w:p>
    <w:p>
      <w:pPr>
        <w:spacing w:before="109"/>
        <w:ind w:left="857" w:right="0" w:firstLine="0"/>
        <w:jc w:val="left"/>
        <w:rPr>
          <w:rFonts w:ascii="宋体" w:hAnsi="宋体" w:cs="宋体" w:eastAsia="宋体" w:hint="default"/>
          <w:sz w:val="21"/>
          <w:szCs w:val="21"/>
        </w:rPr>
      </w:pPr>
      <w:r>
        <w:rPr>
          <w:rFonts w:ascii="宋体" w:hAnsi="宋体" w:cs="宋体" w:eastAsia="宋体" w:hint="default"/>
          <w:sz w:val="21"/>
          <w:szCs w:val="21"/>
        </w:rPr>
        <w:t>股本</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944,303,265</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股为基数，以资本公积金转增股本方式，向全体股东每</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股转增</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股，</w:t>
      </w:r>
    </w:p>
    <w:p>
      <w:pPr>
        <w:spacing w:before="109"/>
        <w:ind w:left="857" w:right="121" w:firstLine="0"/>
        <w:jc w:val="left"/>
        <w:rPr>
          <w:rFonts w:ascii="宋体" w:hAnsi="宋体" w:cs="宋体" w:eastAsia="宋体" w:hint="default"/>
          <w:sz w:val="21"/>
          <w:szCs w:val="21"/>
        </w:rPr>
      </w:pPr>
      <w:r>
        <w:rPr>
          <w:rFonts w:ascii="宋体" w:hAnsi="宋体" w:cs="宋体" w:eastAsia="宋体" w:hint="default"/>
          <w:sz w:val="21"/>
          <w:szCs w:val="21"/>
        </w:rPr>
        <w:t>共转增</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283,290,980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股，转增后的公司注册资本变更为人民币</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1,227,594,245</w:t>
      </w:r>
      <w:r>
        <w:rPr>
          <w:rFonts w:ascii="Times New Roman" w:hAnsi="Times New Roman" w:cs="Times New Roman" w:eastAsia="Times New Roman" w:hint="default"/>
          <w:spacing w:val="1"/>
          <w:sz w:val="21"/>
          <w:szCs w:val="21"/>
        </w:rPr>
        <w:t> </w:t>
      </w:r>
      <w:r>
        <w:rPr>
          <w:rFonts w:ascii="宋体" w:hAnsi="宋体" w:cs="宋体" w:eastAsia="宋体" w:hint="default"/>
          <w:spacing w:val="-6"/>
          <w:sz w:val="21"/>
          <w:szCs w:val="21"/>
        </w:rPr>
        <w:t>元，股份总数变</w:t>
      </w:r>
    </w:p>
    <w:p>
      <w:pPr>
        <w:spacing w:before="110"/>
        <w:ind w:left="857" w:right="4517" w:firstLine="0"/>
        <w:jc w:val="left"/>
        <w:rPr>
          <w:rFonts w:ascii="宋体" w:hAnsi="宋体" w:cs="宋体" w:eastAsia="宋体" w:hint="default"/>
          <w:sz w:val="21"/>
          <w:szCs w:val="21"/>
        </w:rPr>
      </w:pPr>
      <w:r>
        <w:rPr>
          <w:rFonts w:ascii="宋体" w:hAnsi="宋体" w:cs="宋体" w:eastAsia="宋体" w:hint="default"/>
          <w:sz w:val="21"/>
          <w:szCs w:val="21"/>
        </w:rPr>
        <w:t>更为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1,227,594,245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股。</w:t>
      </w:r>
    </w:p>
    <w:p>
      <w:pPr>
        <w:spacing w:before="109"/>
        <w:ind w:left="857" w:right="4517" w:firstLine="0"/>
        <w:jc w:val="left"/>
        <w:rPr>
          <w:rFonts w:ascii="宋体" w:hAnsi="宋体" w:cs="宋体" w:eastAsia="宋体" w:hint="default"/>
          <w:sz w:val="21"/>
          <w:szCs w:val="21"/>
        </w:rPr>
      </w:pPr>
      <w:r>
        <w:rPr>
          <w:rFonts w:ascii="宋体" w:hAnsi="宋体" w:cs="宋体" w:eastAsia="宋体" w:hint="default"/>
          <w:sz w:val="21"/>
          <w:szCs w:val="21"/>
        </w:rPr>
        <w:t>以上方案，待公司股东大会批准后实施。</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tabs>
          <w:tab w:pos="853" w:val="left" w:leader="none"/>
        </w:tabs>
        <w:spacing w:line="328" w:lineRule="auto" w:before="0"/>
        <w:ind w:left="857" w:right="4010"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其他资产负债表日后事项说明：</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本公司无其他需要披露的资产负债表日后事项。</w:t>
      </w:r>
    </w:p>
    <w:p>
      <w:pPr>
        <w:spacing w:after="0" w:line="328" w:lineRule="auto"/>
        <w:jc w:val="left"/>
        <w:rPr>
          <w:rFonts w:ascii="宋体" w:hAnsi="宋体" w:cs="宋体" w:eastAsia="宋体" w:hint="default"/>
          <w:sz w:val="21"/>
          <w:szCs w:val="21"/>
        </w:rPr>
        <w:sectPr>
          <w:pgSz w:w="11900" w:h="16840"/>
          <w:pgMar w:header="883" w:footer="1003" w:top="1540" w:bottom="1200" w:left="1480" w:right="1140"/>
        </w:sectPr>
      </w:pPr>
    </w:p>
    <w:p>
      <w:pPr>
        <w:spacing w:line="240" w:lineRule="auto" w:before="10"/>
        <w:rPr>
          <w:rFonts w:ascii="宋体" w:hAnsi="宋体" w:cs="宋体" w:eastAsia="宋体" w:hint="default"/>
          <w:sz w:val="8"/>
          <w:szCs w:val="8"/>
        </w:rPr>
      </w:pPr>
    </w:p>
    <w:p>
      <w:pPr>
        <w:spacing w:before="35"/>
        <w:ind w:left="125" w:right="0" w:firstLine="0"/>
        <w:jc w:val="left"/>
        <w:rPr>
          <w:rFonts w:ascii="宋体" w:hAnsi="宋体" w:cs="宋体" w:eastAsia="宋体" w:hint="default"/>
          <w:sz w:val="21"/>
          <w:szCs w:val="21"/>
        </w:rPr>
      </w:pPr>
      <w:r>
        <w:rPr>
          <w:rFonts w:ascii="宋体" w:hAnsi="宋体" w:cs="宋体" w:eastAsia="宋体" w:hint="default"/>
          <w:sz w:val="21"/>
          <w:szCs w:val="21"/>
        </w:rPr>
        <w:t>十二、</w:t>
      </w:r>
      <w:r>
        <w:rPr>
          <w:rFonts w:ascii="宋体" w:hAnsi="宋体" w:cs="宋体" w:eastAsia="宋体" w:hint="default"/>
          <w:spacing w:val="-1"/>
          <w:sz w:val="21"/>
          <w:szCs w:val="21"/>
        </w:rPr>
        <w:t> </w:t>
      </w:r>
      <w:r>
        <w:rPr>
          <w:rFonts w:ascii="宋体" w:hAnsi="宋体" w:cs="宋体" w:eastAsia="宋体" w:hint="default"/>
          <w:sz w:val="21"/>
          <w:szCs w:val="21"/>
        </w:rPr>
        <w:t>其他重要事项说明</w:t>
      </w:r>
    </w:p>
    <w:p>
      <w:pPr>
        <w:tabs>
          <w:tab w:pos="853" w:val="left" w:leader="none"/>
        </w:tabs>
        <w:spacing w:before="126"/>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期末无发行在外的、可转换为股份的金融工具</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3"/>
          <w:szCs w:val="23"/>
        </w:rPr>
      </w:pPr>
    </w:p>
    <w:p>
      <w:pPr>
        <w:tabs>
          <w:tab w:pos="853" w:val="left" w:leader="none"/>
        </w:tabs>
        <w:spacing w:before="0"/>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以公允价值计量的资产和负债</w:t>
      </w:r>
    </w:p>
    <w:p>
      <w:pPr>
        <w:spacing w:line="240" w:lineRule="auto" w:before="9"/>
        <w:rPr>
          <w:rFonts w:ascii="宋体" w:hAnsi="宋体" w:cs="宋体" w:eastAsia="宋体" w:hint="default"/>
          <w:sz w:val="8"/>
          <w:szCs w:val="8"/>
        </w:rPr>
      </w:pPr>
    </w:p>
    <w:p>
      <w:pPr>
        <w:spacing w:before="35"/>
        <w:ind w:left="0" w:right="165" w:firstLine="0"/>
        <w:jc w:val="right"/>
        <w:rPr>
          <w:rFonts w:ascii="宋体" w:hAnsi="宋体" w:cs="宋体" w:eastAsia="宋体" w:hint="default"/>
          <w:sz w:val="21"/>
          <w:szCs w:val="21"/>
        </w:rPr>
      </w:pPr>
      <w:r>
        <w:rPr>
          <w:rFonts w:ascii="宋体" w:hAnsi="宋体" w:cs="宋体" w:eastAsia="宋体" w:hint="default"/>
          <w:sz w:val="21"/>
          <w:szCs w:val="21"/>
        </w:rPr>
        <w:t>单位：人民币元</w:t>
      </w:r>
    </w:p>
    <w:p>
      <w:pPr>
        <w:spacing w:line="240" w:lineRule="auto" w:before="7"/>
        <w:rPr>
          <w:rFonts w:ascii="宋体" w:hAnsi="宋体" w:cs="宋体" w:eastAsia="宋体" w:hint="default"/>
          <w:sz w:val="2"/>
          <w:szCs w:val="2"/>
        </w:rPr>
      </w:pPr>
    </w:p>
    <w:p>
      <w:pPr>
        <w:spacing w:line="5859" w:lineRule="exact"/>
        <w:ind w:left="725" w:right="0" w:firstLine="0"/>
        <w:rPr>
          <w:rFonts w:ascii="宋体" w:hAnsi="宋体" w:cs="宋体" w:eastAsia="宋体" w:hint="default"/>
          <w:sz w:val="20"/>
          <w:szCs w:val="20"/>
        </w:rPr>
      </w:pPr>
      <w:r>
        <w:rPr>
          <w:rFonts w:ascii="宋体" w:hAnsi="宋体" w:cs="宋体" w:eastAsia="宋体" w:hint="default"/>
          <w:position w:val="-116"/>
          <w:sz w:val="20"/>
          <w:szCs w:val="20"/>
        </w:rPr>
        <w:pict>
          <v:group style="width:423.45pt;height:293pt;mso-position-horizontal-relative:char;mso-position-vertical-relative:line" coordorigin="0,0" coordsize="8469,5860">
            <v:group style="position:absolute;left:24;top:10;width:2762;height:2" coordorigin="24,10" coordsize="2762,2">
              <v:shape style="position:absolute;left:24;top:10;width:2762;height:2" coordorigin="24,10" coordsize="2762,0" path="m24,10l2785,10e" filled="false" stroked="true" strokeweight=".95996pt" strokecolor="#000000">
                <v:path arrowok="t"/>
              </v:shape>
            </v:group>
            <v:group style="position:absolute;left:2785;top:10;width:944;height:2" coordorigin="2785,10" coordsize="944,2">
              <v:shape style="position:absolute;left:2785;top:10;width:944;height:2" coordorigin="2785,10" coordsize="944,0" path="m2785,10l3728,10e" filled="false" stroked="true" strokeweight=".95996pt" strokecolor="#000000">
                <v:path arrowok="t"/>
              </v:shape>
            </v:group>
            <v:group style="position:absolute;left:3728;top:10;width:1199;height:2" coordorigin="3728,10" coordsize="1199,2">
              <v:shape style="position:absolute;left:3728;top:10;width:1199;height:2" coordorigin="3728,10" coordsize="1199,0" path="m3728,10l4927,10e" filled="false" stroked="true" strokeweight=".95996pt" strokecolor="#000000">
                <v:path arrowok="t"/>
              </v:shape>
            </v:group>
            <v:group style="position:absolute;left:4927;top:10;width:1470;height:2" coordorigin="4927,10" coordsize="1470,2">
              <v:shape style="position:absolute;left:4927;top:10;width:1470;height:2" coordorigin="4927,10" coordsize="1470,0" path="m4927,10l6397,10e" filled="false" stroked="true" strokeweight=".95996pt" strokecolor="#000000">
                <v:path arrowok="t"/>
              </v:shape>
            </v:group>
            <v:group style="position:absolute;left:6397;top:10;width:1161;height:2" coordorigin="6397,10" coordsize="1161,2">
              <v:shape style="position:absolute;left:6397;top:10;width:1161;height:2" coordorigin="6397,10" coordsize="1161,0" path="m6397,10l7558,10e" filled="false" stroked="true" strokeweight=".95996pt" strokecolor="#000000">
                <v:path arrowok="t"/>
              </v:shape>
            </v:group>
            <v:group style="position:absolute;left:7558;top:10;width:894;height:2" coordorigin="7558,10" coordsize="894,2">
              <v:shape style="position:absolute;left:7558;top:10;width:894;height:2" coordorigin="7558,10" coordsize="894,0" path="m7558,10l8452,10e" filled="false" stroked="true" strokeweight=".95996pt" strokecolor="#000000">
                <v:path arrowok="t"/>
              </v:shape>
            </v:group>
            <v:group style="position:absolute;left:10;top:5850;width:2776;height:2" coordorigin="10,5850" coordsize="2776,2">
              <v:shape style="position:absolute;left:10;top:5850;width:2776;height:2" coordorigin="10,5850" coordsize="2776,0" path="m10,5850l2785,5850e" filled="false" stroked="true" strokeweight=".95999pt" strokecolor="#000000">
                <v:path arrowok="t"/>
              </v:shape>
            </v:group>
            <v:group style="position:absolute;left:2785;top:5850;width:944;height:2" coordorigin="2785,5850" coordsize="944,2">
              <v:shape style="position:absolute;left:2785;top:5850;width:944;height:2" coordorigin="2785,5850" coordsize="944,0" path="m2785,5850l3728,5850e" filled="false" stroked="true" strokeweight=".95999pt" strokecolor="#000000">
                <v:path arrowok="t"/>
              </v:shape>
            </v:group>
            <v:group style="position:absolute;left:3728;top:5850;width:1199;height:2" coordorigin="3728,5850" coordsize="1199,2">
              <v:shape style="position:absolute;left:3728;top:5850;width:1199;height:2" coordorigin="3728,5850" coordsize="1199,0" path="m3728,5850l4927,5850e" filled="false" stroked="true" strokeweight=".95999pt" strokecolor="#000000">
                <v:path arrowok="t"/>
              </v:shape>
            </v:group>
            <v:group style="position:absolute;left:4927;top:5850;width:1470;height:2" coordorigin="4927,5850" coordsize="1470,2">
              <v:shape style="position:absolute;left:4927;top:5850;width:1470;height:2" coordorigin="4927,5850" coordsize="1470,0" path="m4927,5850l6397,5850e" filled="false" stroked="true" strokeweight=".95999pt" strokecolor="#000000">
                <v:path arrowok="t"/>
              </v:shape>
            </v:group>
            <v:group style="position:absolute;left:6397;top:5850;width:1161;height:2" coordorigin="6397,5850" coordsize="1161,2">
              <v:shape style="position:absolute;left:6397;top:5850;width:1161;height:2" coordorigin="6397,5850" coordsize="1161,0" path="m6397,5850l7558,5850e" filled="false" stroked="true" strokeweight=".95999pt" strokecolor="#000000">
                <v:path arrowok="t"/>
              </v:shape>
              <v:shape style="position:absolute;left:24;top:19;width:8436;height:5821" type="#_x0000_t75" stroked="false">
                <v:imagedata r:id="rId160" o:title=""/>
              </v:shape>
            </v:group>
            <v:group style="position:absolute;left:7558;top:5850;width:902;height:2" coordorigin="7558,5850" coordsize="902,2">
              <v:shape style="position:absolute;left:7558;top:5850;width:902;height:2" coordorigin="7558,5850" coordsize="902,0" path="m7558,5850l8459,5850e" filled="false" stroked="true" strokeweight=".95999pt" strokecolor="#000000">
                <v:path arrowok="t"/>
              </v:shape>
              <v:shape style="position:absolute;left:3808;top:286;width:253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本期公允价值变</w:t>
                      </w:r>
                      <w:r>
                        <w:rPr>
                          <w:rFonts w:ascii="宋体" w:hAnsi="宋体" w:cs="宋体" w:eastAsia="宋体" w:hint="default"/>
                          <w:spacing w:val="58"/>
                          <w:sz w:val="15"/>
                          <w:szCs w:val="15"/>
                        </w:rPr>
                        <w:t> </w:t>
                      </w:r>
                      <w:r>
                        <w:rPr>
                          <w:rFonts w:ascii="宋体" w:hAnsi="宋体" w:cs="宋体" w:eastAsia="宋体" w:hint="default"/>
                          <w:sz w:val="15"/>
                          <w:szCs w:val="15"/>
                        </w:rPr>
                        <w:t>计入权益的累计公允</w:t>
                      </w:r>
                    </w:p>
                  </w:txbxContent>
                </v:textbox>
                <w10:wrap type="none"/>
              </v:shape>
              <v:shape style="position:absolute;left:1106;top:506;width:67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项    目 </w:t>
                      </w:r>
                    </w:p>
                  </w:txbxContent>
                </v:textbox>
                <w10:wrap type="none"/>
              </v:shape>
              <v:shape style="position:absolute;left:2962;top:50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期初金额</w:t>
                      </w:r>
                    </w:p>
                  </w:txbxContent>
                </v:textbox>
                <w10:wrap type="none"/>
              </v:shape>
              <v:shape style="position:absolute;left:6457;top:506;width:1853;height:150" type="#_x0000_t202" filled="false" stroked="false">
                <v:textbox inset="0,0,0,0">
                  <w:txbxContent>
                    <w:p>
                      <w:pPr>
                        <w:tabs>
                          <w:tab w:pos="1252"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本期计提的减值</w:t>
                        <w:tab/>
                        <w:t>期末金额</w:t>
                      </w:r>
                    </w:p>
                  </w:txbxContent>
                </v:textbox>
                <w10:wrap type="none"/>
              </v:shape>
              <v:shape style="position:absolute;left:4108;top:727;width:1859;height:150" type="#_x0000_t202" filled="false" stroked="false">
                <v:textbox inset="0,0,0,0">
                  <w:txbxContent>
                    <w:p>
                      <w:pPr>
                        <w:tabs>
                          <w:tab w:pos="1258"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动损益</w:t>
                        <w:tab/>
                        <w:t>价值变动</w:t>
                      </w:r>
                    </w:p>
                  </w:txbxContent>
                </v:textbox>
                <w10:wrap type="none"/>
              </v:shape>
              <v:shape style="position:absolute;left:79;top:117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金融资产</w:t>
                      </w:r>
                    </w:p>
                  </w:txbxContent>
                </v:textbox>
                <w10:wrap type="none"/>
              </v:shape>
              <v:shape style="position:absolute;left:79;top:1625;width:2663;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pacing w:val="7"/>
                          <w:sz w:val="15"/>
                          <w:szCs w:val="15"/>
                        </w:rPr>
                        <w:t>1.</w:t>
                      </w:r>
                      <w:r>
                        <w:rPr>
                          <w:rFonts w:ascii="宋体" w:hAnsi="宋体" w:cs="宋体" w:eastAsia="宋体" w:hint="default"/>
                          <w:spacing w:val="7"/>
                          <w:sz w:val="15"/>
                          <w:szCs w:val="15"/>
                        </w:rPr>
                        <w:t>以公允价值计量且其变动计入当期损</w:t>
                      </w:r>
                      <w:r>
                        <w:rPr>
                          <w:rFonts w:ascii="宋体" w:hAnsi="宋体" w:cs="宋体" w:eastAsia="宋体" w:hint="default"/>
                          <w:sz w:val="15"/>
                          <w:szCs w:val="15"/>
                        </w:rPr>
                      </w:r>
                    </w:p>
                  </w:txbxContent>
                </v:textbox>
                <w10:wrap type="none"/>
              </v:shape>
              <v:shape style="position:absolute;left:4388;top:1862;width:4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436,360</w:t>
                      </w:r>
                    </w:p>
                  </w:txbxContent>
                </v:textbox>
                <w10:wrap type="none"/>
              </v:shape>
              <v:shape style="position:absolute;left:7915;top:1862;width:4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436,360</w:t>
                      </w:r>
                    </w:p>
                  </w:txbxContent>
                </v:textbox>
                <w10:wrap type="none"/>
              </v:shape>
              <v:shape style="position:absolute;left:79;top:2066;width:24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益的金融资产（不含衍生金融资产）</w:t>
                      </w:r>
                    </w:p>
                  </w:txbxContent>
                </v:textbox>
                <w10:wrap type="none"/>
              </v:shape>
              <v:shape style="position:absolute;left:79;top:2516;width:1013;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衍生金融资产</w:t>
                      </w:r>
                    </w:p>
                  </w:txbxContent>
                </v:textbox>
                <w10:wrap type="none"/>
              </v:shape>
              <v:shape style="position:absolute;left:79;top:2966;width:1313;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可供出售金融资产</w:t>
                      </w:r>
                    </w:p>
                  </w:txbxContent>
                </v:textbox>
                <w10:wrap type="none"/>
              </v:shape>
              <v:shape style="position:absolute;left:3002;top:2982;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80,171,609</w:t>
                      </w:r>
                    </w:p>
                  </w:txbxContent>
                </v:textbox>
                <w10:wrap type="none"/>
              </v:shape>
              <v:shape style="position:absolute;left:5620;top:2982;width:7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-45,825,312</w:t>
                      </w:r>
                    </w:p>
                  </w:txbxContent>
                </v:textbox>
                <w10:wrap type="none"/>
              </v:shape>
              <v:shape style="position:absolute;left:79;top:3416;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金融资产小计</w:t>
                      </w:r>
                    </w:p>
                  </w:txbxContent>
                </v:textbox>
                <w10:wrap type="none"/>
              </v:shape>
              <v:shape style="position:absolute;left:3002;top:3432;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80,171,609</w:t>
                      </w:r>
                    </w:p>
                  </w:txbxContent>
                </v:textbox>
                <w10:wrap type="none"/>
              </v:shape>
              <v:shape style="position:absolute;left:4388;top:3432;width:4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436,360</w:t>
                      </w:r>
                    </w:p>
                  </w:txbxContent>
                </v:textbox>
                <w10:wrap type="none"/>
              </v:shape>
              <v:shape style="position:absolute;left:5620;top:3432;width:7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-45,825,312</w:t>
                      </w:r>
                    </w:p>
                  </w:txbxContent>
                </v:textbox>
                <w10:wrap type="none"/>
              </v:shape>
              <v:shape style="position:absolute;left:7915;top:3432;width:4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436,360</w:t>
                      </w:r>
                    </w:p>
                  </w:txbxContent>
                </v:textbox>
                <w10:wrap type="none"/>
              </v:shape>
              <v:shape style="position:absolute;left:79;top:3866;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投资性房地产</w:t>
                      </w:r>
                    </w:p>
                  </w:txbxContent>
                </v:textbox>
                <w10:wrap type="none"/>
              </v:shape>
              <v:shape style="position:absolute;left:79;top:4316;width:10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生产性生物资产</w:t>
                      </w:r>
                    </w:p>
                  </w:txbxContent>
                </v:textbox>
                <w10:wrap type="none"/>
              </v:shape>
              <v:shape style="position:absolute;left:79;top:4766;width:67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其    他 </w:t>
                      </w:r>
                    </w:p>
                  </w:txbxContent>
                </v:textbox>
                <w10:wrap type="none"/>
              </v:shape>
              <v:shape style="position:absolute;left:1106;top:521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上述合计</w:t>
                      </w:r>
                    </w:p>
                  </w:txbxContent>
                </v:textbox>
                <w10:wrap type="none"/>
              </v:shape>
              <v:shape style="position:absolute;left:3002;top:5232;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80,171,609</w:t>
                      </w:r>
                    </w:p>
                  </w:txbxContent>
                </v:textbox>
                <w10:wrap type="none"/>
              </v:shape>
              <v:shape style="position:absolute;left:4388;top:5232;width:4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436,360</w:t>
                      </w:r>
                    </w:p>
                  </w:txbxContent>
                </v:textbox>
                <w10:wrap type="none"/>
              </v:shape>
              <v:shape style="position:absolute;left:5620;top:5232;width:726;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-45,825,312</w:t>
                      </w:r>
                    </w:p>
                  </w:txbxContent>
                </v:textbox>
                <w10:wrap type="none"/>
              </v:shape>
              <v:shape style="position:absolute;left:7915;top:5232;width:4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436,360</w:t>
                      </w:r>
                    </w:p>
                  </w:txbxContent>
                </v:textbox>
                <w10:wrap type="none"/>
              </v:shape>
              <v:shape style="position:absolute;left:79;top:566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金融负债</w:t>
                      </w:r>
                    </w:p>
                  </w:txbxContent>
                </v:textbox>
                <w10:wrap type="none"/>
              </v:shape>
              <v:shape style="position:absolute;left:3077;top:5682;width:6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8,760,139</w:t>
                      </w:r>
                    </w:p>
                  </w:txbxContent>
                </v:textbox>
                <w10:wrap type="none"/>
              </v:shape>
              <v:shape style="position:absolute;left:4276;top:5682;width:6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8,760,139</w:t>
                      </w:r>
                    </w:p>
                  </w:txbxContent>
                </v:textbox>
                <w10:wrap type="none"/>
              </v:shape>
            </v:group>
          </v:group>
        </w:pict>
      </w:r>
      <w:r>
        <w:rPr>
          <w:rFonts w:ascii="宋体" w:hAnsi="宋体" w:cs="宋体" w:eastAsia="宋体" w:hint="default"/>
          <w:position w:val="-116"/>
          <w:sz w:val="20"/>
          <w:szCs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p>
      <w:pPr>
        <w:tabs>
          <w:tab w:pos="853" w:val="left" w:leader="none"/>
        </w:tabs>
        <w:spacing w:before="35"/>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年金计划主要内容及重大变化</w:t>
      </w:r>
    </w:p>
    <w:p>
      <w:pPr>
        <w:spacing w:line="379" w:lineRule="auto" w:before="149"/>
        <w:ind w:left="857" w:right="165" w:firstLine="0"/>
        <w:jc w:val="both"/>
        <w:rPr>
          <w:rFonts w:ascii="宋体" w:hAnsi="宋体" w:cs="宋体" w:eastAsia="宋体" w:hint="default"/>
          <w:sz w:val="21"/>
          <w:szCs w:val="21"/>
        </w:rPr>
      </w:pPr>
      <w:r>
        <w:rPr>
          <w:rFonts w:ascii="宋体" w:hAnsi="宋体" w:cs="宋体" w:eastAsia="宋体" w:hint="default"/>
          <w:sz w:val="21"/>
          <w:szCs w:val="21"/>
        </w:rPr>
        <w:t>公司从</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月起实施了企业年金计划，与公司签订劳动合同，并为公司连续服务满</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年且已经依法参加了基本养老保险，并且履行缴费义务的正式员工均有资格自愿参加企业</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年金计划。本计划的资金由公司和计划参加人共同缴纳，实行按月计提，按季缴费，对于</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根据年金计划应由公司负担的缴费的部分，直接计入相关成本费用。公司对该计划以企业</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年金基金形式、采用信托方式实行专户管理，该企业年金基金与公司的固有资产或其他资</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产严格分开，不纳入公司的财务报表。</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6"/>
          <w:szCs w:val="16"/>
        </w:rPr>
      </w:pPr>
    </w:p>
    <w:p>
      <w:pPr>
        <w:tabs>
          <w:tab w:pos="853" w:val="left" w:leader="none"/>
        </w:tabs>
        <w:spacing w:before="0"/>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无其他需要披露的重要事项</w:t>
      </w:r>
    </w:p>
    <w:p>
      <w:pPr>
        <w:spacing w:after="0"/>
        <w:jc w:val="left"/>
        <w:rPr>
          <w:rFonts w:ascii="宋体" w:hAnsi="宋体" w:cs="宋体" w:eastAsia="宋体" w:hint="default"/>
          <w:sz w:val="21"/>
          <w:szCs w:val="21"/>
        </w:rPr>
        <w:sectPr>
          <w:pgSz w:w="11900" w:h="16840"/>
          <w:pgMar w:header="883" w:footer="1003" w:top="1540" w:bottom="1200" w:left="1480" w:right="1120"/>
        </w:sectPr>
      </w:pPr>
    </w:p>
    <w:p>
      <w:pPr>
        <w:spacing w:line="240" w:lineRule="auto" w:before="10"/>
        <w:rPr>
          <w:rFonts w:ascii="宋体" w:hAnsi="宋体" w:cs="宋体" w:eastAsia="宋体" w:hint="default"/>
          <w:sz w:val="8"/>
          <w:szCs w:val="8"/>
        </w:rPr>
      </w:pPr>
    </w:p>
    <w:p>
      <w:pPr>
        <w:spacing w:before="35"/>
        <w:ind w:left="125" w:right="0" w:firstLine="0"/>
        <w:jc w:val="left"/>
        <w:rPr>
          <w:rFonts w:ascii="宋体" w:hAnsi="宋体" w:cs="宋体" w:eastAsia="宋体" w:hint="default"/>
          <w:sz w:val="21"/>
          <w:szCs w:val="21"/>
        </w:rPr>
      </w:pPr>
      <w:r>
        <w:rPr>
          <w:rFonts w:ascii="宋体" w:hAnsi="宋体" w:cs="宋体" w:eastAsia="宋体" w:hint="default"/>
          <w:sz w:val="21"/>
          <w:szCs w:val="21"/>
        </w:rPr>
        <w:t>十三、</w:t>
      </w:r>
      <w:r>
        <w:rPr>
          <w:rFonts w:ascii="宋体" w:hAnsi="宋体" w:cs="宋体" w:eastAsia="宋体" w:hint="default"/>
          <w:spacing w:val="7"/>
          <w:sz w:val="21"/>
          <w:szCs w:val="21"/>
        </w:rPr>
        <w:t> </w:t>
      </w:r>
      <w:r>
        <w:rPr>
          <w:rFonts w:ascii="宋体" w:hAnsi="宋体" w:cs="宋体" w:eastAsia="宋体" w:hint="default"/>
          <w:sz w:val="21"/>
          <w:szCs w:val="21"/>
        </w:rPr>
        <w:t>母公司财务报表主要项目注释</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tabs>
          <w:tab w:pos="853" w:val="left" w:leader="none"/>
        </w:tabs>
        <w:spacing w:before="0"/>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应收账款</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396" w:val="left" w:leader="none"/>
        </w:tabs>
        <w:spacing w:before="0"/>
        <w:ind w:left="857" w:right="0" w:firstLine="0"/>
        <w:jc w:val="left"/>
        <w:rPr>
          <w:rFonts w:ascii="宋体" w:hAnsi="宋体" w:cs="宋体" w:eastAsia="宋体" w:hint="default"/>
          <w:sz w:val="21"/>
          <w:szCs w:val="21"/>
        </w:rPr>
      </w:pPr>
      <w:r>
        <w:rPr/>
        <w:pict>
          <v:group style="position:absolute;margin-left:111.360023pt;margin-top:15.324628pt;width:422pt;height:183.55pt;mso-position-horizontal-relative:page;mso-position-vertical-relative:paragraph;z-index:-976360" coordorigin="2227,306" coordsize="8440,3671">
            <v:group style="position:absolute;left:2237;top:316;width:2010;height:2" coordorigin="2237,316" coordsize="2010,2">
              <v:shape style="position:absolute;left:2237;top:316;width:2010;height:2" coordorigin="2237,316" coordsize="2010,0" path="m2237,316l4247,316e" filled="false" stroked="true" strokeweight=".95996pt" strokecolor="#000000">
                <v:path arrowok="t"/>
              </v:shape>
            </v:group>
            <v:group style="position:absolute;left:4247;top:316;width:3166;height:2" coordorigin="4247,316" coordsize="3166,2">
              <v:shape style="position:absolute;left:4247;top:316;width:3166;height:2" coordorigin="4247,316" coordsize="3166,0" path="m4247,316l7412,316e" filled="false" stroked="true" strokeweight=".95996pt" strokecolor="#000000">
                <v:path arrowok="t"/>
              </v:shape>
            </v:group>
            <v:group style="position:absolute;left:7412;top:316;width:3245;height:2" coordorigin="7412,316" coordsize="3245,2">
              <v:shape style="position:absolute;left:7412;top:316;width:3245;height:2" coordorigin="7412,316" coordsize="3245,0" path="m7412,316l10657,316e" filled="false" stroked="true" strokeweight=".95996pt" strokecolor="#000000">
                <v:path arrowok="t"/>
              </v:shape>
              <v:shape style="position:absolute;left:2230;top:326;width:8432;height:3652" type="#_x0000_t75" stroked="false">
                <v:imagedata r:id="rId161" o:title=""/>
              </v:shape>
              <v:shape style="position:absolute;left:5533;top:55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期末金额</w:t>
                      </w:r>
                    </w:p>
                  </w:txbxContent>
                </v:textbox>
                <w10:wrap type="none"/>
              </v:shape>
              <v:shape style="position:absolute;left:8741;top:55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期初金额</w:t>
                      </w:r>
                    </w:p>
                  </w:txbxContent>
                </v:textbox>
                <w10:wrap type="none"/>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1"/>
          <w:szCs w:val="11"/>
        </w:rPr>
      </w:pPr>
    </w:p>
    <w:tbl>
      <w:tblPr>
        <w:tblW w:w="0" w:type="auto"/>
        <w:jc w:val="left"/>
        <w:tblInd w:w="735" w:type="dxa"/>
        <w:tblLayout w:type="fixed"/>
        <w:tblCellMar>
          <w:top w:w="0" w:type="dxa"/>
          <w:left w:w="0" w:type="dxa"/>
          <w:bottom w:w="0" w:type="dxa"/>
          <w:right w:w="0" w:type="dxa"/>
        </w:tblCellMar>
        <w:tblLook w:val="01E0"/>
      </w:tblPr>
      <w:tblGrid>
        <w:gridCol w:w="2905"/>
        <w:gridCol w:w="690"/>
        <w:gridCol w:w="844"/>
        <w:gridCol w:w="764"/>
        <w:gridCol w:w="904"/>
        <w:gridCol w:w="761"/>
        <w:gridCol w:w="840"/>
        <w:gridCol w:w="742"/>
      </w:tblGrid>
      <w:tr>
        <w:trPr>
          <w:trHeight w:val="692" w:hRule="exact"/>
        </w:trPr>
        <w:tc>
          <w:tcPr>
            <w:tcW w:w="2905" w:type="dxa"/>
            <w:tcBorders>
              <w:top w:val="nil" w:sz="6" w:space="0" w:color="auto"/>
              <w:left w:val="nil" w:sz="6" w:space="0" w:color="auto"/>
              <w:bottom w:val="nil" w:sz="6" w:space="0" w:color="auto"/>
              <w:right w:val="nil" w:sz="6" w:space="0" w:color="auto"/>
            </w:tcBorders>
          </w:tcPr>
          <w:p>
            <w:pPr>
              <w:pStyle w:val="TableParagraph"/>
              <w:spacing w:line="136" w:lineRule="exact"/>
              <w:ind w:left="724" w:right="0"/>
              <w:jc w:val="left"/>
              <w:rPr>
                <w:rFonts w:ascii="宋体" w:hAnsi="宋体" w:cs="宋体" w:eastAsia="宋体" w:hint="default"/>
                <w:sz w:val="15"/>
                <w:szCs w:val="15"/>
              </w:rPr>
            </w:pPr>
            <w:r>
              <w:rPr>
                <w:rFonts w:ascii="宋体" w:hAnsi="宋体" w:cs="宋体" w:eastAsia="宋体" w:hint="default"/>
                <w:sz w:val="15"/>
                <w:szCs w:val="15"/>
              </w:rPr>
              <w:t>种    类 </w:t>
            </w:r>
          </w:p>
          <w:p>
            <w:pPr>
              <w:pStyle w:val="TableParagraph"/>
              <w:spacing w:line="240" w:lineRule="auto" w:before="18"/>
              <w:ind w:right="129"/>
              <w:jc w:val="right"/>
              <w:rPr>
                <w:rFonts w:ascii="宋体" w:hAnsi="宋体" w:cs="宋体" w:eastAsia="宋体" w:hint="default"/>
                <w:sz w:val="15"/>
                <w:szCs w:val="15"/>
              </w:rPr>
            </w:pPr>
            <w:r>
              <w:rPr>
                <w:rFonts w:ascii="宋体" w:hAnsi="宋体" w:cs="宋体" w:eastAsia="宋体" w:hint="default"/>
                <w:sz w:val="15"/>
                <w:szCs w:val="15"/>
              </w:rPr>
              <w:t>账面金额</w:t>
            </w:r>
          </w:p>
        </w:tc>
        <w:tc>
          <w:tcPr>
            <w:tcW w:w="690" w:type="dxa"/>
            <w:tcBorders>
              <w:top w:val="nil" w:sz="6" w:space="0" w:color="auto"/>
              <w:left w:val="nil" w:sz="6" w:space="0" w:color="auto"/>
              <w:bottom w:val="nil" w:sz="6" w:space="0" w:color="auto"/>
              <w:right w:val="nil" w:sz="6" w:space="0" w:color="auto"/>
            </w:tcBorders>
          </w:tcPr>
          <w:p>
            <w:pPr>
              <w:pStyle w:val="TableParagraph"/>
              <w:spacing w:line="150" w:lineRule="exact"/>
              <w:ind w:left="79" w:right="0" w:firstLine="38"/>
              <w:jc w:val="left"/>
              <w:rPr>
                <w:rFonts w:ascii="宋体" w:hAnsi="宋体" w:cs="宋体" w:eastAsia="宋体" w:hint="default"/>
                <w:sz w:val="15"/>
                <w:szCs w:val="15"/>
              </w:rPr>
            </w:pPr>
            <w:r>
              <w:rPr>
                <w:rFonts w:ascii="宋体" w:hAnsi="宋体" w:cs="宋体" w:eastAsia="宋体" w:hint="default"/>
                <w:sz w:val="15"/>
                <w:szCs w:val="15"/>
              </w:rPr>
              <w:t>占总额</w:t>
            </w: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79"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8"/>
              <w:jc w:val="center"/>
              <w:rPr>
                <w:rFonts w:ascii="宋体" w:hAnsi="宋体" w:cs="宋体" w:eastAsia="宋体" w:hint="default"/>
                <w:sz w:val="15"/>
                <w:szCs w:val="15"/>
              </w:rPr>
            </w:pPr>
            <w:r>
              <w:rPr>
                <w:rFonts w:ascii="宋体" w:hAnsi="宋体" w:cs="宋体" w:eastAsia="宋体" w:hint="default"/>
                <w:sz w:val="15"/>
                <w:szCs w:val="15"/>
              </w:rPr>
              <w:t>坏账准备</w:t>
            </w:r>
          </w:p>
        </w:tc>
        <w:tc>
          <w:tcPr>
            <w:tcW w:w="764" w:type="dxa"/>
            <w:tcBorders>
              <w:top w:val="nil" w:sz="6" w:space="0" w:color="auto"/>
              <w:left w:val="nil" w:sz="6" w:space="0" w:color="auto"/>
              <w:bottom w:val="nil" w:sz="6" w:space="0" w:color="auto"/>
              <w:right w:val="nil" w:sz="6" w:space="0" w:color="auto"/>
            </w:tcBorders>
          </w:tcPr>
          <w:p>
            <w:pPr>
              <w:pStyle w:val="TableParagraph"/>
              <w:spacing w:line="150" w:lineRule="exact"/>
              <w:ind w:left="119" w:right="0" w:hanging="38"/>
              <w:jc w:val="left"/>
              <w:rPr>
                <w:rFonts w:ascii="宋体" w:hAnsi="宋体" w:cs="宋体" w:eastAsia="宋体" w:hint="default"/>
                <w:sz w:val="15"/>
                <w:szCs w:val="15"/>
              </w:rPr>
            </w:pPr>
            <w:r>
              <w:rPr>
                <w:rFonts w:ascii="宋体" w:hAnsi="宋体" w:cs="宋体" w:eastAsia="宋体" w:hint="default"/>
                <w:sz w:val="15"/>
                <w:szCs w:val="15"/>
              </w:rPr>
              <w:t>坏账准备</w:t>
            </w: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19"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157" w:right="0"/>
              <w:jc w:val="left"/>
              <w:rPr>
                <w:rFonts w:ascii="宋体" w:hAnsi="宋体" w:cs="宋体" w:eastAsia="宋体" w:hint="default"/>
                <w:sz w:val="15"/>
                <w:szCs w:val="15"/>
              </w:rPr>
            </w:pPr>
            <w:r>
              <w:rPr>
                <w:rFonts w:ascii="宋体" w:hAnsi="宋体" w:cs="宋体" w:eastAsia="宋体" w:hint="default"/>
                <w:sz w:val="15"/>
                <w:szCs w:val="15"/>
              </w:rPr>
              <w:t>账面金额</w:t>
            </w:r>
          </w:p>
        </w:tc>
        <w:tc>
          <w:tcPr>
            <w:tcW w:w="761" w:type="dxa"/>
            <w:tcBorders>
              <w:top w:val="nil" w:sz="6" w:space="0" w:color="auto"/>
              <w:left w:val="nil" w:sz="6" w:space="0" w:color="auto"/>
              <w:bottom w:val="nil" w:sz="6" w:space="0" w:color="auto"/>
              <w:right w:val="nil" w:sz="6" w:space="0" w:color="auto"/>
            </w:tcBorders>
          </w:tcPr>
          <w:p>
            <w:pPr>
              <w:pStyle w:val="TableParagraph"/>
              <w:spacing w:line="150" w:lineRule="exact"/>
              <w:ind w:right="16"/>
              <w:jc w:val="center"/>
              <w:rPr>
                <w:rFonts w:ascii="宋体" w:hAnsi="宋体" w:cs="宋体" w:eastAsia="宋体" w:hint="default"/>
                <w:sz w:val="15"/>
                <w:szCs w:val="15"/>
              </w:rPr>
            </w:pPr>
            <w:r>
              <w:rPr>
                <w:rFonts w:ascii="宋体" w:hAnsi="宋体" w:cs="宋体" w:eastAsia="宋体" w:hint="default"/>
                <w:sz w:val="15"/>
                <w:szCs w:val="15"/>
              </w:rPr>
              <w:t>占总额比</w:t>
            </w: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7"/>
              <w:jc w:val="center"/>
              <w:rPr>
                <w:rFonts w:ascii="Times New Roman" w:hAnsi="Times New Roman" w:cs="Times New Roman" w:eastAsia="Times New Roman" w:hint="default"/>
                <w:sz w:val="15"/>
                <w:szCs w:val="15"/>
              </w:rPr>
            </w:pP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right="21"/>
              <w:jc w:val="center"/>
              <w:rPr>
                <w:rFonts w:ascii="宋体" w:hAnsi="宋体" w:cs="宋体" w:eastAsia="宋体" w:hint="default"/>
                <w:sz w:val="15"/>
                <w:szCs w:val="15"/>
              </w:rPr>
            </w:pPr>
            <w:r>
              <w:rPr>
                <w:rFonts w:ascii="宋体" w:hAnsi="宋体" w:cs="宋体" w:eastAsia="宋体" w:hint="default"/>
                <w:sz w:val="15"/>
                <w:szCs w:val="15"/>
              </w:rPr>
              <w:t>坏账准备</w:t>
            </w:r>
          </w:p>
        </w:tc>
        <w:tc>
          <w:tcPr>
            <w:tcW w:w="742" w:type="dxa"/>
            <w:tcBorders>
              <w:top w:val="nil" w:sz="6" w:space="0" w:color="auto"/>
              <w:left w:val="nil" w:sz="6" w:space="0" w:color="auto"/>
              <w:bottom w:val="nil" w:sz="6" w:space="0" w:color="auto"/>
              <w:right w:val="nil" w:sz="6" w:space="0" w:color="auto"/>
            </w:tcBorders>
          </w:tcPr>
          <w:p>
            <w:pPr>
              <w:pStyle w:val="TableParagraph"/>
              <w:spacing w:line="150" w:lineRule="exact"/>
              <w:ind w:left="113" w:right="0" w:hanging="38"/>
              <w:jc w:val="left"/>
              <w:rPr>
                <w:rFonts w:ascii="宋体" w:hAnsi="宋体" w:cs="宋体" w:eastAsia="宋体" w:hint="default"/>
                <w:sz w:val="15"/>
                <w:szCs w:val="15"/>
              </w:rPr>
            </w:pPr>
            <w:r>
              <w:rPr>
                <w:rFonts w:ascii="宋体" w:hAnsi="宋体" w:cs="宋体" w:eastAsia="宋体" w:hint="default"/>
                <w:sz w:val="15"/>
                <w:szCs w:val="15"/>
              </w:rPr>
              <w:t>坏账准备</w:t>
            </w: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13"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r>
      <w:tr>
        <w:trPr>
          <w:trHeight w:val="614" w:hRule="exact"/>
        </w:trPr>
        <w:tc>
          <w:tcPr>
            <w:tcW w:w="2905" w:type="dxa"/>
            <w:tcBorders>
              <w:top w:val="nil" w:sz="6" w:space="0" w:color="auto"/>
              <w:left w:val="nil" w:sz="6" w:space="0" w:color="auto"/>
              <w:bottom w:val="nil" w:sz="6" w:space="0" w:color="auto"/>
              <w:right w:val="nil" w:sz="6" w:space="0" w:color="auto"/>
            </w:tcBorders>
          </w:tcPr>
          <w:p>
            <w:pPr>
              <w:pStyle w:val="TableParagraph"/>
              <w:tabs>
                <w:tab w:pos="2074" w:val="left" w:leader="none"/>
              </w:tabs>
              <w:spacing w:line="240" w:lineRule="auto" w:before="70"/>
              <w:ind w:left="122" w:right="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单项金额重大的应收账款</w:t>
              <w:tab/>
            </w:r>
            <w:r>
              <w:rPr>
                <w:rFonts w:ascii="Times New Roman" w:hAnsi="Times New Roman" w:cs="Times New Roman" w:eastAsia="Times New Roman" w:hint="default"/>
                <w:sz w:val="15"/>
                <w:szCs w:val="15"/>
              </w:rPr>
              <w:t>130,852,542</w:t>
            </w:r>
          </w:p>
          <w:p>
            <w:pPr>
              <w:pStyle w:val="TableParagraph"/>
              <w:spacing w:line="240" w:lineRule="auto" w:before="11"/>
              <w:ind w:right="0"/>
              <w:jc w:val="left"/>
              <w:rPr>
                <w:rFonts w:ascii="宋体" w:hAnsi="宋体" w:cs="宋体" w:eastAsia="宋体" w:hint="default"/>
                <w:sz w:val="14"/>
                <w:szCs w:val="14"/>
              </w:rPr>
            </w:pPr>
          </w:p>
          <w:p>
            <w:pPr>
              <w:pStyle w:val="TableParagraph"/>
              <w:spacing w:line="172" w:lineRule="exact"/>
              <w:ind w:left="122" w:right="0"/>
              <w:jc w:val="left"/>
              <w:rPr>
                <w:rFonts w:ascii="宋体" w:hAnsi="宋体" w:cs="宋体" w:eastAsia="宋体" w:hint="default"/>
                <w:sz w:val="15"/>
                <w:szCs w:val="15"/>
              </w:rPr>
            </w:pPr>
            <w:r>
              <w:rPr>
                <w:rFonts w:ascii="宋体" w:hAnsi="宋体" w:cs="宋体" w:eastAsia="宋体" w:hint="default"/>
                <w:sz w:val="15"/>
                <w:szCs w:val="15"/>
              </w:rPr>
              <w:t>单项金额不重大但按信用风</w:t>
            </w:r>
          </w:p>
        </w:tc>
        <w:tc>
          <w:tcPr>
            <w:tcW w:w="690"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157" w:right="0"/>
              <w:jc w:val="center"/>
              <w:rPr>
                <w:rFonts w:ascii="Times New Roman" w:hAnsi="Times New Roman" w:cs="Times New Roman" w:eastAsia="Times New Roman" w:hint="default"/>
                <w:sz w:val="15"/>
                <w:szCs w:val="15"/>
              </w:rPr>
            </w:pPr>
            <w:r>
              <w:rPr>
                <w:rFonts w:ascii="Times New Roman"/>
                <w:sz w:val="15"/>
              </w:rPr>
              <w:t>32.51</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7" w:right="0"/>
              <w:jc w:val="center"/>
              <w:rPr>
                <w:rFonts w:ascii="Times New Roman" w:hAnsi="Times New Roman" w:cs="Times New Roman" w:eastAsia="Times New Roman" w:hint="default"/>
                <w:sz w:val="15"/>
                <w:szCs w:val="15"/>
              </w:rPr>
            </w:pPr>
            <w:r>
              <w:rPr>
                <w:rFonts w:ascii="Times New Roman"/>
                <w:sz w:val="15"/>
              </w:rPr>
              <w:t>11,132,977</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83"/>
              <w:jc w:val="right"/>
              <w:rPr>
                <w:rFonts w:ascii="Times New Roman" w:hAnsi="Times New Roman" w:cs="Times New Roman" w:eastAsia="Times New Roman" w:hint="default"/>
                <w:sz w:val="15"/>
                <w:szCs w:val="15"/>
              </w:rPr>
            </w:pPr>
            <w:r>
              <w:rPr>
                <w:rFonts w:ascii="Times New Roman"/>
                <w:spacing w:val="-1"/>
                <w:sz w:val="15"/>
              </w:rPr>
              <w:t>8.51</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71"/>
              <w:jc w:val="right"/>
              <w:rPr>
                <w:rFonts w:ascii="Times New Roman" w:hAnsi="Times New Roman" w:cs="Times New Roman" w:eastAsia="Times New Roman" w:hint="default"/>
                <w:sz w:val="15"/>
                <w:szCs w:val="15"/>
              </w:rPr>
            </w:pPr>
            <w:r>
              <w:rPr>
                <w:rFonts w:ascii="Times New Roman"/>
                <w:spacing w:val="-1"/>
                <w:sz w:val="15"/>
              </w:rPr>
              <w:t>130,085,096</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115"/>
              <w:jc w:val="right"/>
              <w:rPr>
                <w:rFonts w:ascii="Times New Roman" w:hAnsi="Times New Roman" w:cs="Times New Roman" w:eastAsia="Times New Roman" w:hint="default"/>
                <w:sz w:val="15"/>
                <w:szCs w:val="15"/>
              </w:rPr>
            </w:pPr>
            <w:r>
              <w:rPr>
                <w:rFonts w:ascii="Times New Roman"/>
                <w:spacing w:val="-1"/>
                <w:sz w:val="15"/>
              </w:rPr>
              <w:t>34.13</w:t>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before="115"/>
              <w:ind w:left="87" w:right="0"/>
              <w:jc w:val="center"/>
              <w:rPr>
                <w:rFonts w:ascii="Times New Roman" w:hAnsi="Times New Roman" w:cs="Times New Roman" w:eastAsia="Times New Roman" w:hint="default"/>
                <w:sz w:val="15"/>
                <w:szCs w:val="15"/>
              </w:rPr>
            </w:pPr>
            <w:r>
              <w:rPr>
                <w:rFonts w:ascii="Times New Roman"/>
                <w:sz w:val="15"/>
              </w:rPr>
              <w:t>6,370,131</w:t>
            </w:r>
          </w:p>
        </w:tc>
        <w:tc>
          <w:tcPr>
            <w:tcW w:w="742" w:type="dxa"/>
            <w:tcBorders>
              <w:top w:val="nil" w:sz="6" w:space="0" w:color="auto"/>
              <w:left w:val="nil" w:sz="6" w:space="0" w:color="auto"/>
              <w:bottom w:val="nil" w:sz="6" w:space="0" w:color="auto"/>
              <w:right w:val="nil" w:sz="6" w:space="0" w:color="auto"/>
            </w:tcBorders>
          </w:tcPr>
          <w:p>
            <w:pPr>
              <w:pStyle w:val="TableParagraph"/>
              <w:spacing w:line="240" w:lineRule="auto" w:before="115"/>
              <w:ind w:right="83"/>
              <w:jc w:val="right"/>
              <w:rPr>
                <w:rFonts w:ascii="Times New Roman" w:hAnsi="Times New Roman" w:cs="Times New Roman" w:eastAsia="Times New Roman" w:hint="default"/>
                <w:sz w:val="15"/>
                <w:szCs w:val="15"/>
              </w:rPr>
            </w:pPr>
            <w:r>
              <w:rPr>
                <w:rFonts w:ascii="Times New Roman"/>
                <w:spacing w:val="-1"/>
                <w:sz w:val="15"/>
              </w:rPr>
              <w:t>4.90</w:t>
            </w:r>
          </w:p>
        </w:tc>
      </w:tr>
      <w:tr>
        <w:trPr>
          <w:trHeight w:val="810" w:hRule="exact"/>
        </w:trPr>
        <w:tc>
          <w:tcPr>
            <w:tcW w:w="290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tabs>
                <w:tab w:pos="2224" w:val="left" w:leader="none"/>
              </w:tabs>
              <w:spacing w:line="240" w:lineRule="auto"/>
              <w:ind w:left="122" w:right="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险特征组合后该组合的风险</w:t>
              <w:tab/>
            </w:r>
            <w:r>
              <w:rPr>
                <w:rFonts w:ascii="Times New Roman" w:hAnsi="Times New Roman" w:cs="Times New Roman" w:eastAsia="Times New Roman" w:hint="default"/>
                <w:sz w:val="15"/>
                <w:szCs w:val="15"/>
              </w:rPr>
              <w:t>6,496,464</w:t>
            </w:r>
          </w:p>
          <w:p>
            <w:pPr>
              <w:pStyle w:val="TableParagraph"/>
              <w:spacing w:line="240" w:lineRule="auto" w:before="0"/>
              <w:ind w:right="0"/>
              <w:jc w:val="left"/>
              <w:rPr>
                <w:rFonts w:ascii="宋体" w:hAnsi="宋体" w:cs="宋体" w:eastAsia="宋体" w:hint="default"/>
                <w:sz w:val="14"/>
                <w:szCs w:val="14"/>
              </w:rPr>
            </w:pPr>
          </w:p>
          <w:p>
            <w:pPr>
              <w:pStyle w:val="TableParagraph"/>
              <w:spacing w:line="183" w:lineRule="exact"/>
              <w:ind w:left="122" w:right="0"/>
              <w:jc w:val="left"/>
              <w:rPr>
                <w:rFonts w:ascii="宋体" w:hAnsi="宋体" w:cs="宋体" w:eastAsia="宋体" w:hint="default"/>
                <w:sz w:val="15"/>
                <w:szCs w:val="15"/>
              </w:rPr>
            </w:pPr>
            <w:r>
              <w:rPr>
                <w:rFonts w:ascii="宋体" w:hAnsi="宋体" w:cs="宋体" w:eastAsia="宋体" w:hint="default"/>
                <w:sz w:val="15"/>
                <w:szCs w:val="15"/>
              </w:rPr>
              <w:t>较大的应收账款</w:t>
            </w:r>
          </w:p>
        </w:tc>
        <w:tc>
          <w:tcPr>
            <w:tcW w:w="6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231" w:right="0"/>
              <w:jc w:val="center"/>
              <w:rPr>
                <w:rFonts w:ascii="Times New Roman" w:hAnsi="Times New Roman" w:cs="Times New Roman" w:eastAsia="Times New Roman" w:hint="default"/>
                <w:sz w:val="15"/>
                <w:szCs w:val="15"/>
              </w:rPr>
            </w:pPr>
            <w:r>
              <w:rPr>
                <w:rFonts w:ascii="Times New Roman"/>
                <w:sz w:val="15"/>
              </w:rPr>
              <w:t>1.61</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76" w:right="0"/>
              <w:jc w:val="center"/>
              <w:rPr>
                <w:rFonts w:ascii="Times New Roman" w:hAnsi="Times New Roman" w:cs="Times New Roman" w:eastAsia="Times New Roman" w:hint="default"/>
                <w:sz w:val="15"/>
                <w:szCs w:val="15"/>
              </w:rPr>
            </w:pPr>
            <w:r>
              <w:rPr>
                <w:rFonts w:ascii="Times New Roman"/>
                <w:sz w:val="15"/>
              </w:rPr>
              <w:t>6,496,464</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83"/>
              <w:jc w:val="right"/>
              <w:rPr>
                <w:rFonts w:ascii="Times New Roman" w:hAnsi="Times New Roman" w:cs="Times New Roman" w:eastAsia="Times New Roman" w:hint="default"/>
                <w:sz w:val="15"/>
                <w:szCs w:val="15"/>
              </w:rPr>
            </w:pPr>
            <w:r>
              <w:rPr>
                <w:rFonts w:ascii="Times New Roman"/>
                <w:spacing w:val="-1"/>
                <w:sz w:val="15"/>
              </w:rPr>
              <w:t>100.00</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71"/>
              <w:jc w:val="right"/>
              <w:rPr>
                <w:rFonts w:ascii="Times New Roman" w:hAnsi="Times New Roman" w:cs="Times New Roman" w:eastAsia="Times New Roman" w:hint="default"/>
                <w:sz w:val="15"/>
                <w:szCs w:val="15"/>
              </w:rPr>
            </w:pPr>
            <w:r>
              <w:rPr>
                <w:rFonts w:ascii="Times New Roman"/>
                <w:spacing w:val="-1"/>
                <w:sz w:val="15"/>
              </w:rPr>
              <w:t>1,709,305</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16"/>
              <w:jc w:val="right"/>
              <w:rPr>
                <w:rFonts w:ascii="Times New Roman" w:hAnsi="Times New Roman" w:cs="Times New Roman" w:eastAsia="Times New Roman" w:hint="default"/>
                <w:sz w:val="15"/>
                <w:szCs w:val="15"/>
              </w:rPr>
            </w:pPr>
            <w:r>
              <w:rPr>
                <w:rFonts w:ascii="Times New Roman"/>
                <w:spacing w:val="-1"/>
                <w:sz w:val="15"/>
              </w:rPr>
              <w:t>0.45</w:t>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87" w:right="0"/>
              <w:jc w:val="center"/>
              <w:rPr>
                <w:rFonts w:ascii="Times New Roman" w:hAnsi="Times New Roman" w:cs="Times New Roman" w:eastAsia="Times New Roman" w:hint="default"/>
                <w:sz w:val="15"/>
                <w:szCs w:val="15"/>
              </w:rPr>
            </w:pPr>
            <w:r>
              <w:rPr>
                <w:rFonts w:ascii="Times New Roman"/>
                <w:sz w:val="15"/>
              </w:rPr>
              <w:t>1,709,305</w:t>
            </w:r>
          </w:p>
        </w:tc>
        <w:tc>
          <w:tcPr>
            <w:tcW w:w="7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83"/>
              <w:jc w:val="right"/>
              <w:rPr>
                <w:rFonts w:ascii="Times New Roman" w:hAnsi="Times New Roman" w:cs="Times New Roman" w:eastAsia="Times New Roman" w:hint="default"/>
                <w:sz w:val="15"/>
                <w:szCs w:val="15"/>
              </w:rPr>
            </w:pPr>
            <w:r>
              <w:rPr>
                <w:rFonts w:ascii="Times New Roman"/>
                <w:spacing w:val="-1"/>
                <w:sz w:val="15"/>
              </w:rPr>
              <w:t>100.00</w:t>
            </w:r>
          </w:p>
        </w:tc>
      </w:tr>
      <w:tr>
        <w:trPr>
          <w:trHeight w:val="610" w:hRule="exact"/>
        </w:trPr>
        <w:tc>
          <w:tcPr>
            <w:tcW w:w="290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tabs>
                <w:tab w:pos="1958" w:val="left" w:leader="none"/>
              </w:tabs>
              <w:spacing w:line="240" w:lineRule="auto"/>
              <w:ind w:right="77"/>
              <w:jc w:val="right"/>
              <w:rPr>
                <w:rFonts w:ascii="Times New Roman" w:hAnsi="Times New Roman" w:cs="Times New Roman" w:eastAsia="Times New Roman" w:hint="default"/>
                <w:sz w:val="15"/>
                <w:szCs w:val="15"/>
              </w:rPr>
            </w:pPr>
            <w:r>
              <w:rPr>
                <w:rFonts w:ascii="宋体" w:hAnsi="宋体" w:cs="宋体" w:eastAsia="宋体" w:hint="default"/>
                <w:position w:val="1"/>
                <w:sz w:val="15"/>
                <w:szCs w:val="15"/>
              </w:rPr>
              <w:t>其他不重大应收账款</w:t>
              <w:tab/>
            </w:r>
            <w:r>
              <w:rPr>
                <w:rFonts w:ascii="Times New Roman" w:hAnsi="Times New Roman" w:cs="Times New Roman" w:eastAsia="Times New Roman" w:hint="default"/>
                <w:spacing w:val="-1"/>
                <w:sz w:val="15"/>
                <w:szCs w:val="15"/>
              </w:rPr>
              <w:t>265,119,007</w:t>
            </w:r>
          </w:p>
        </w:tc>
        <w:tc>
          <w:tcPr>
            <w:tcW w:w="6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157" w:right="0"/>
              <w:jc w:val="center"/>
              <w:rPr>
                <w:rFonts w:ascii="Times New Roman" w:hAnsi="Times New Roman" w:cs="Times New Roman" w:eastAsia="Times New Roman" w:hint="default"/>
                <w:sz w:val="15"/>
                <w:szCs w:val="15"/>
              </w:rPr>
            </w:pPr>
            <w:r>
              <w:rPr>
                <w:rFonts w:ascii="Times New Roman"/>
                <w:sz w:val="15"/>
              </w:rPr>
              <w:t>65.88</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76" w:right="0"/>
              <w:jc w:val="center"/>
              <w:rPr>
                <w:rFonts w:ascii="Times New Roman" w:hAnsi="Times New Roman" w:cs="Times New Roman" w:eastAsia="Times New Roman" w:hint="default"/>
                <w:sz w:val="15"/>
                <w:szCs w:val="15"/>
              </w:rPr>
            </w:pPr>
            <w:r>
              <w:rPr>
                <w:rFonts w:ascii="Times New Roman"/>
                <w:sz w:val="15"/>
              </w:rPr>
              <w:t>8,178,813</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84"/>
              <w:jc w:val="right"/>
              <w:rPr>
                <w:rFonts w:ascii="Times New Roman" w:hAnsi="Times New Roman" w:cs="Times New Roman" w:eastAsia="Times New Roman" w:hint="default"/>
                <w:sz w:val="15"/>
                <w:szCs w:val="15"/>
              </w:rPr>
            </w:pPr>
            <w:r>
              <w:rPr>
                <w:rFonts w:ascii="Times New Roman"/>
                <w:spacing w:val="-1"/>
                <w:sz w:val="15"/>
              </w:rPr>
              <w:t>3.08</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69"/>
              <w:jc w:val="right"/>
              <w:rPr>
                <w:rFonts w:ascii="Times New Roman" w:hAnsi="Times New Roman" w:cs="Times New Roman" w:eastAsia="Times New Roman" w:hint="default"/>
                <w:sz w:val="15"/>
                <w:szCs w:val="15"/>
              </w:rPr>
            </w:pPr>
            <w:r>
              <w:rPr>
                <w:rFonts w:ascii="Times New Roman"/>
                <w:spacing w:val="-1"/>
                <w:sz w:val="15"/>
              </w:rPr>
              <w:t>249,319,845</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115"/>
              <w:jc w:val="right"/>
              <w:rPr>
                <w:rFonts w:ascii="Times New Roman" w:hAnsi="Times New Roman" w:cs="Times New Roman" w:eastAsia="Times New Roman" w:hint="default"/>
                <w:sz w:val="15"/>
                <w:szCs w:val="15"/>
              </w:rPr>
            </w:pPr>
            <w:r>
              <w:rPr>
                <w:rFonts w:ascii="Times New Roman"/>
                <w:spacing w:val="-1"/>
                <w:sz w:val="15"/>
              </w:rPr>
              <w:t>65.42</w:t>
            </w:r>
          </w:p>
        </w:tc>
        <w:tc>
          <w:tcPr>
            <w:tcW w:w="8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87" w:right="0"/>
              <w:jc w:val="center"/>
              <w:rPr>
                <w:rFonts w:ascii="Times New Roman" w:hAnsi="Times New Roman" w:cs="Times New Roman" w:eastAsia="Times New Roman" w:hint="default"/>
                <w:sz w:val="15"/>
                <w:szCs w:val="15"/>
              </w:rPr>
            </w:pPr>
            <w:r>
              <w:rPr>
                <w:rFonts w:ascii="Times New Roman"/>
                <w:sz w:val="15"/>
              </w:rPr>
              <w:t>8,895,322</w:t>
            </w:r>
          </w:p>
        </w:tc>
        <w:tc>
          <w:tcPr>
            <w:tcW w:w="7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right="83"/>
              <w:jc w:val="right"/>
              <w:rPr>
                <w:rFonts w:ascii="Times New Roman" w:hAnsi="Times New Roman" w:cs="Times New Roman" w:eastAsia="Times New Roman" w:hint="default"/>
                <w:sz w:val="15"/>
                <w:szCs w:val="15"/>
              </w:rPr>
            </w:pPr>
            <w:r>
              <w:rPr>
                <w:rFonts w:ascii="Times New Roman"/>
                <w:spacing w:val="-1"/>
                <w:sz w:val="15"/>
              </w:rPr>
              <w:t>3.57</w:t>
            </w:r>
          </w:p>
        </w:tc>
      </w:tr>
      <w:tr>
        <w:trPr>
          <w:trHeight w:val="298" w:hRule="exact"/>
        </w:trPr>
        <w:tc>
          <w:tcPr>
            <w:tcW w:w="2905" w:type="dxa"/>
            <w:tcBorders>
              <w:top w:val="nil" w:sz="6" w:space="0" w:color="auto"/>
              <w:left w:val="nil" w:sz="6" w:space="0" w:color="auto"/>
              <w:bottom w:val="single" w:sz="8" w:space="0" w:color="000000"/>
              <w:right w:val="nil" w:sz="6" w:space="0" w:color="auto"/>
            </w:tcBorders>
          </w:tcPr>
          <w:p>
            <w:pPr>
              <w:pStyle w:val="TableParagraph"/>
              <w:tabs>
                <w:tab w:pos="1349" w:val="left" w:leader="none"/>
              </w:tabs>
              <w:spacing w:line="240" w:lineRule="auto" w:before="65"/>
              <w:ind w:right="77"/>
              <w:jc w:val="right"/>
              <w:rPr>
                <w:rFonts w:ascii="Times New Roman" w:hAnsi="Times New Roman" w:cs="Times New Roman" w:eastAsia="Times New Roman" w:hint="default"/>
                <w:sz w:val="15"/>
                <w:szCs w:val="15"/>
              </w:rPr>
            </w:pPr>
            <w:r>
              <w:rPr>
                <w:rFonts w:ascii="宋体" w:hAnsi="宋体" w:cs="宋体" w:eastAsia="宋体" w:hint="default"/>
                <w:position w:val="1"/>
                <w:sz w:val="15"/>
                <w:szCs w:val="15"/>
              </w:rPr>
              <w:t>合    计</w:t>
              <w:tab/>
            </w:r>
            <w:r>
              <w:rPr>
                <w:rFonts w:ascii="Times New Roman" w:hAnsi="Times New Roman" w:cs="Times New Roman" w:eastAsia="Times New Roman" w:hint="default"/>
                <w:spacing w:val="-1"/>
                <w:sz w:val="15"/>
                <w:szCs w:val="15"/>
              </w:rPr>
              <w:t>402,468,013</w:t>
            </w:r>
          </w:p>
        </w:tc>
        <w:tc>
          <w:tcPr>
            <w:tcW w:w="690"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left="81" w:right="0"/>
              <w:jc w:val="center"/>
              <w:rPr>
                <w:rFonts w:ascii="Times New Roman" w:hAnsi="Times New Roman" w:cs="Times New Roman" w:eastAsia="Times New Roman" w:hint="default"/>
                <w:sz w:val="15"/>
                <w:szCs w:val="15"/>
              </w:rPr>
            </w:pPr>
            <w:r>
              <w:rPr>
                <w:rFonts w:ascii="Times New Roman"/>
                <w:sz w:val="15"/>
              </w:rPr>
              <w:t>100.00</w:t>
            </w:r>
          </w:p>
        </w:tc>
        <w:tc>
          <w:tcPr>
            <w:tcW w:w="844"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left="1" w:right="0"/>
              <w:jc w:val="center"/>
              <w:rPr>
                <w:rFonts w:ascii="Times New Roman" w:hAnsi="Times New Roman" w:cs="Times New Roman" w:eastAsia="Times New Roman" w:hint="default"/>
                <w:sz w:val="15"/>
                <w:szCs w:val="15"/>
              </w:rPr>
            </w:pPr>
            <w:r>
              <w:rPr>
                <w:rFonts w:ascii="Times New Roman"/>
                <w:sz w:val="15"/>
              </w:rPr>
              <w:t>25,808,254</w:t>
            </w:r>
          </w:p>
        </w:tc>
        <w:tc>
          <w:tcPr>
            <w:tcW w:w="764" w:type="dxa"/>
            <w:tcBorders>
              <w:top w:val="nil" w:sz="6" w:space="0" w:color="auto"/>
              <w:left w:val="nil" w:sz="6" w:space="0" w:color="auto"/>
              <w:bottom w:val="single" w:sz="8" w:space="0" w:color="000000"/>
              <w:right w:val="nil" w:sz="6" w:space="0" w:color="auto"/>
            </w:tcBorders>
          </w:tcPr>
          <w:p>
            <w:pPr/>
          </w:p>
        </w:tc>
        <w:tc>
          <w:tcPr>
            <w:tcW w:w="904"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right="71"/>
              <w:jc w:val="right"/>
              <w:rPr>
                <w:rFonts w:ascii="Times New Roman" w:hAnsi="Times New Roman" w:cs="Times New Roman" w:eastAsia="Times New Roman" w:hint="default"/>
                <w:sz w:val="15"/>
                <w:szCs w:val="15"/>
              </w:rPr>
            </w:pPr>
            <w:r>
              <w:rPr>
                <w:rFonts w:ascii="Times New Roman"/>
                <w:spacing w:val="-1"/>
                <w:sz w:val="15"/>
              </w:rPr>
              <w:t>381,114,246</w:t>
            </w:r>
          </w:p>
        </w:tc>
        <w:tc>
          <w:tcPr>
            <w:tcW w:w="761"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right="116"/>
              <w:jc w:val="right"/>
              <w:rPr>
                <w:rFonts w:ascii="Times New Roman" w:hAnsi="Times New Roman" w:cs="Times New Roman" w:eastAsia="Times New Roman" w:hint="default"/>
                <w:sz w:val="15"/>
                <w:szCs w:val="15"/>
              </w:rPr>
            </w:pPr>
            <w:r>
              <w:rPr>
                <w:rFonts w:ascii="Times New Roman"/>
                <w:spacing w:val="-1"/>
                <w:sz w:val="15"/>
              </w:rPr>
              <w:t>100.00</w:t>
            </w:r>
          </w:p>
        </w:tc>
        <w:tc>
          <w:tcPr>
            <w:tcW w:w="840"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left="13" w:right="0"/>
              <w:jc w:val="center"/>
              <w:rPr>
                <w:rFonts w:ascii="Times New Roman" w:hAnsi="Times New Roman" w:cs="Times New Roman" w:eastAsia="Times New Roman" w:hint="default"/>
                <w:sz w:val="15"/>
                <w:szCs w:val="15"/>
              </w:rPr>
            </w:pPr>
            <w:r>
              <w:rPr>
                <w:rFonts w:ascii="Times New Roman"/>
                <w:sz w:val="15"/>
              </w:rPr>
              <w:t>16,974,758</w:t>
            </w:r>
          </w:p>
        </w:tc>
        <w:tc>
          <w:tcPr>
            <w:tcW w:w="742" w:type="dxa"/>
            <w:tcBorders>
              <w:top w:val="nil" w:sz="6" w:space="0" w:color="auto"/>
              <w:left w:val="nil" w:sz="6" w:space="0" w:color="auto"/>
              <w:bottom w:val="single" w:sz="8"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1396" w:val="left" w:leader="none"/>
        </w:tabs>
        <w:spacing w:before="35"/>
        <w:ind w:left="857" w:right="0" w:firstLine="0"/>
        <w:jc w:val="left"/>
        <w:rPr>
          <w:rFonts w:ascii="宋体" w:hAnsi="宋体" w:cs="宋体" w:eastAsia="宋体" w:hint="default"/>
          <w:sz w:val="21"/>
          <w:szCs w:val="21"/>
        </w:rPr>
      </w:pPr>
      <w:r>
        <w:rPr/>
        <w:pict>
          <v:group style="position:absolute;margin-left:111.000008pt;margin-top:17.133690pt;width:421.6pt;height:83.35pt;mso-position-horizontal-relative:page;mso-position-vertical-relative:paragraph;z-index:-976336" coordorigin="2220,343" coordsize="8432,1667">
            <v:group style="position:absolute;left:2230;top:352;width:2074;height:2" coordorigin="2230,352" coordsize="2074,2">
              <v:shape style="position:absolute;left:2230;top:352;width:2074;height:2" coordorigin="2230,352" coordsize="2074,0" path="m2230,352l4303,352e" filled="false" stroked="true" strokeweight=".95999pt" strokecolor="#000000">
                <v:path arrowok="t"/>
              </v:shape>
            </v:group>
            <v:group style="position:absolute;left:4303;top:352;width:1152;height:2" coordorigin="4303,352" coordsize="1152,2">
              <v:shape style="position:absolute;left:4303;top:352;width:1152;height:2" coordorigin="4303,352" coordsize="1152,0" path="m4303,352l5455,352e" filled="false" stroked="true" strokeweight=".95999pt" strokecolor="#000000">
                <v:path arrowok="t"/>
              </v:shape>
            </v:group>
            <v:group style="position:absolute;left:5455;top:352;width:1259;height:2" coordorigin="5455,352" coordsize="1259,2">
              <v:shape style="position:absolute;left:5455;top:352;width:1259;height:2" coordorigin="5455,352" coordsize="1259,0" path="m5455,352l6714,352e" filled="false" stroked="true" strokeweight=".95999pt" strokecolor="#000000">
                <v:path arrowok="t"/>
              </v:shape>
            </v:group>
            <v:group style="position:absolute;left:6714;top:352;width:1139;height:2" coordorigin="6714,352" coordsize="1139,2">
              <v:shape style="position:absolute;left:6714;top:352;width:1139;height:2" coordorigin="6714,352" coordsize="1139,0" path="m6714,352l7853,352e" filled="false" stroked="true" strokeweight=".95999pt" strokecolor="#000000">
                <v:path arrowok="t"/>
              </v:shape>
            </v:group>
            <v:group style="position:absolute;left:7853;top:352;width:2789;height:2" coordorigin="7853,352" coordsize="2789,2">
              <v:shape style="position:absolute;left:7853;top:352;width:2789;height:2" coordorigin="7853,352" coordsize="2789,0" path="m7853,352l10642,352e" filled="false" stroked="true" strokeweight=".95999pt" strokecolor="#000000">
                <v:path arrowok="t"/>
              </v:shape>
              <v:shape style="position:absolute;left:2230;top:362;width:8412;height:1648" type="#_x0000_t75" stroked="false">
                <v:imagedata r:id="rId162" o:title=""/>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期末单项金额重大或虽不重大但单独进行减值测试的应收账款坏账准备计提</w:t>
      </w:r>
    </w:p>
    <w:p>
      <w:pPr>
        <w:spacing w:line="240" w:lineRule="auto" w:before="7"/>
        <w:rPr>
          <w:rFonts w:ascii="宋体" w:hAnsi="宋体" w:cs="宋体" w:eastAsia="宋体" w:hint="default"/>
          <w:sz w:val="12"/>
          <w:szCs w:val="12"/>
        </w:rPr>
      </w:pPr>
    </w:p>
    <w:tbl>
      <w:tblPr>
        <w:tblW w:w="0" w:type="auto"/>
        <w:jc w:val="left"/>
        <w:tblInd w:w="735" w:type="dxa"/>
        <w:tblLayout w:type="fixed"/>
        <w:tblCellMar>
          <w:top w:w="0" w:type="dxa"/>
          <w:left w:w="0" w:type="dxa"/>
          <w:bottom w:w="0" w:type="dxa"/>
          <w:right w:w="0" w:type="dxa"/>
        </w:tblCellMar>
        <w:tblLook w:val="01E0"/>
      </w:tblPr>
      <w:tblGrid>
        <w:gridCol w:w="2146"/>
        <w:gridCol w:w="1134"/>
        <w:gridCol w:w="1248"/>
        <w:gridCol w:w="1114"/>
        <w:gridCol w:w="2792"/>
      </w:tblGrid>
      <w:tr>
        <w:trPr>
          <w:trHeight w:val="797" w:hRule="exact"/>
        </w:trPr>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center"/>
              <w:rPr>
                <w:rFonts w:ascii="宋体" w:hAnsi="宋体" w:cs="宋体" w:eastAsia="宋体" w:hint="default"/>
                <w:sz w:val="15"/>
                <w:szCs w:val="15"/>
              </w:rPr>
            </w:pPr>
            <w:r>
              <w:rPr>
                <w:rFonts w:ascii="宋体" w:hAnsi="宋体" w:cs="宋体" w:eastAsia="宋体" w:hint="default"/>
                <w:sz w:val="15"/>
                <w:szCs w:val="15"/>
              </w:rPr>
              <w:t>单位名称</w:t>
            </w: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8"/>
              <w:jc w:val="center"/>
              <w:rPr>
                <w:rFonts w:ascii="宋体" w:hAnsi="宋体" w:cs="宋体" w:eastAsia="宋体" w:hint="default"/>
                <w:sz w:val="15"/>
                <w:szCs w:val="15"/>
              </w:rPr>
            </w:pPr>
            <w:r>
              <w:rPr>
                <w:rFonts w:ascii="宋体" w:hAnsi="宋体" w:cs="宋体" w:eastAsia="宋体" w:hint="default"/>
                <w:sz w:val="15"/>
                <w:szCs w:val="15"/>
              </w:rPr>
              <w:t>应收软件及系统集成合同款</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23" w:right="0"/>
              <w:jc w:val="left"/>
              <w:rPr>
                <w:rFonts w:ascii="宋体" w:hAnsi="宋体" w:cs="宋体" w:eastAsia="宋体" w:hint="default"/>
                <w:sz w:val="15"/>
                <w:szCs w:val="15"/>
              </w:rPr>
            </w:pPr>
            <w:r>
              <w:rPr>
                <w:rFonts w:ascii="宋体" w:hAnsi="宋体" w:cs="宋体" w:eastAsia="宋体" w:hint="default"/>
                <w:sz w:val="15"/>
                <w:szCs w:val="15"/>
              </w:rPr>
              <w:t>账面金额</w:t>
            </w:r>
          </w:p>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239" w:right="0"/>
              <w:jc w:val="left"/>
              <w:rPr>
                <w:rFonts w:ascii="Times New Roman" w:hAnsi="Times New Roman" w:cs="Times New Roman" w:eastAsia="Times New Roman" w:hint="default"/>
                <w:sz w:val="15"/>
                <w:szCs w:val="15"/>
              </w:rPr>
            </w:pPr>
            <w:r>
              <w:rPr>
                <w:rFonts w:ascii="Times New Roman"/>
                <w:sz w:val="15"/>
              </w:rPr>
              <w:t>149,350,449</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3" w:right="0"/>
              <w:jc w:val="left"/>
              <w:rPr>
                <w:rFonts w:ascii="宋体" w:hAnsi="宋体" w:cs="宋体" w:eastAsia="宋体" w:hint="default"/>
                <w:sz w:val="15"/>
                <w:szCs w:val="15"/>
              </w:rPr>
            </w:pPr>
            <w:r>
              <w:rPr>
                <w:rFonts w:ascii="宋体" w:hAnsi="宋体" w:cs="宋体" w:eastAsia="宋体" w:hint="default"/>
                <w:sz w:val="15"/>
                <w:szCs w:val="15"/>
              </w:rPr>
              <w:t>坏账准备金额</w:t>
            </w:r>
          </w:p>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440" w:right="0"/>
              <w:jc w:val="left"/>
              <w:rPr>
                <w:rFonts w:ascii="Times New Roman" w:hAnsi="Times New Roman" w:cs="Times New Roman" w:eastAsia="Times New Roman" w:hint="default"/>
                <w:sz w:val="15"/>
                <w:szCs w:val="15"/>
              </w:rPr>
            </w:pPr>
            <w:r>
              <w:rPr>
                <w:rFonts w:ascii="Times New Roman"/>
                <w:sz w:val="15"/>
              </w:rPr>
              <w:t>15,171,692</w:t>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1"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计提比例</w:t>
            </w:r>
            <w:r>
              <w:rPr>
                <w:rFonts w:ascii="Times New Roman" w:hAnsi="Times New Roman" w:cs="Times New Roman" w:eastAsia="Times New Roman" w:hint="default"/>
                <w:sz w:val="15"/>
                <w:szCs w:val="15"/>
              </w:rPr>
              <w:t>(%)</w:t>
            </w: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667" w:right="0"/>
              <w:jc w:val="left"/>
              <w:rPr>
                <w:rFonts w:ascii="Times New Roman" w:hAnsi="Times New Roman" w:cs="Times New Roman" w:eastAsia="Times New Roman" w:hint="default"/>
                <w:sz w:val="15"/>
                <w:szCs w:val="15"/>
              </w:rPr>
            </w:pPr>
            <w:r>
              <w:rPr>
                <w:rFonts w:ascii="Times New Roman"/>
                <w:sz w:val="15"/>
              </w:rPr>
              <w:t>10.16</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172" w:right="0"/>
              <w:jc w:val="left"/>
              <w:rPr>
                <w:rFonts w:ascii="宋体" w:hAnsi="宋体" w:cs="宋体" w:eastAsia="宋体" w:hint="default"/>
                <w:sz w:val="15"/>
                <w:szCs w:val="15"/>
              </w:rPr>
            </w:pPr>
            <w:r>
              <w:rPr>
                <w:rFonts w:ascii="宋体" w:hAnsi="宋体" w:cs="宋体" w:eastAsia="宋体" w:hint="default"/>
                <w:sz w:val="15"/>
                <w:szCs w:val="15"/>
              </w:rPr>
              <w:t>理</w:t>
            </w:r>
            <w:r>
              <w:rPr>
                <w:rFonts w:ascii="宋体" w:hAnsi="宋体" w:cs="宋体" w:eastAsia="宋体" w:hint="default"/>
                <w:spacing w:val="73"/>
                <w:sz w:val="15"/>
                <w:szCs w:val="15"/>
              </w:rPr>
              <w:t> </w:t>
            </w:r>
            <w:r>
              <w:rPr>
                <w:rFonts w:ascii="宋体" w:hAnsi="宋体" w:cs="宋体" w:eastAsia="宋体" w:hint="default"/>
                <w:sz w:val="15"/>
                <w:szCs w:val="15"/>
              </w:rPr>
              <w:t>由</w:t>
            </w: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08" w:right="0"/>
              <w:jc w:val="left"/>
              <w:rPr>
                <w:rFonts w:ascii="宋体" w:hAnsi="宋体" w:cs="宋体" w:eastAsia="宋体" w:hint="default"/>
                <w:sz w:val="15"/>
                <w:szCs w:val="15"/>
              </w:rPr>
            </w:pPr>
            <w:r>
              <w:rPr>
                <w:rFonts w:ascii="宋体" w:hAnsi="宋体" w:cs="宋体" w:eastAsia="宋体" w:hint="default"/>
                <w:sz w:val="15"/>
                <w:szCs w:val="15"/>
              </w:rPr>
              <w:t>账龄较长</w:t>
            </w:r>
            <w:r>
              <w:rPr>
                <w:rFonts w:ascii="Times New Roman" w:hAnsi="Times New Roman" w:cs="Times New Roman" w:eastAsia="Times New Roman" w:hint="default"/>
                <w:sz w:val="15"/>
                <w:szCs w:val="15"/>
              </w:rPr>
              <w:t>—</w:t>
            </w:r>
            <w:r>
              <w:rPr>
                <w:rFonts w:ascii="宋体" w:hAnsi="宋体" w:cs="宋体" w:eastAsia="宋体" w:hint="default"/>
                <w:sz w:val="15"/>
                <w:szCs w:val="15"/>
              </w:rPr>
              <w:t>预计可收回比例</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80%</w:t>
            </w:r>
            <w:r>
              <w:rPr>
                <w:rFonts w:ascii="宋体" w:hAnsi="宋体" w:cs="宋体" w:eastAsia="宋体" w:hint="default"/>
                <w:sz w:val="15"/>
                <w:szCs w:val="15"/>
              </w:rPr>
              <w:t>以上</w:t>
            </w:r>
          </w:p>
        </w:tc>
      </w:tr>
      <w:tr>
        <w:trPr>
          <w:trHeight w:val="410" w:hRule="exact"/>
        </w:trPr>
        <w:tc>
          <w:tcPr>
            <w:tcW w:w="214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22" w:right="0"/>
              <w:jc w:val="left"/>
              <w:rPr>
                <w:rFonts w:ascii="宋体" w:hAnsi="宋体" w:cs="宋体" w:eastAsia="宋体" w:hint="default"/>
                <w:sz w:val="15"/>
                <w:szCs w:val="15"/>
              </w:rPr>
            </w:pPr>
            <w:r>
              <w:rPr>
                <w:rFonts w:ascii="宋体" w:hAnsi="宋体" w:cs="宋体" w:eastAsia="宋体" w:hint="default"/>
                <w:sz w:val="15"/>
                <w:szCs w:val="15"/>
              </w:rPr>
              <w:t>应收软件及系统集成合同款</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41"/>
              <w:jc w:val="right"/>
              <w:rPr>
                <w:rFonts w:ascii="Times New Roman" w:hAnsi="Times New Roman" w:cs="Times New Roman" w:eastAsia="Times New Roman" w:hint="default"/>
                <w:sz w:val="15"/>
                <w:szCs w:val="15"/>
              </w:rPr>
            </w:pPr>
            <w:r>
              <w:rPr>
                <w:rFonts w:ascii="Times New Roman"/>
                <w:spacing w:val="-1"/>
                <w:sz w:val="15"/>
              </w:rPr>
              <w:t>3,416,094</w:t>
            </w:r>
          </w:p>
        </w:tc>
        <w:tc>
          <w:tcPr>
            <w:tcW w:w="1248"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31"/>
              <w:jc w:val="right"/>
              <w:rPr>
                <w:rFonts w:ascii="Times New Roman" w:hAnsi="Times New Roman" w:cs="Times New Roman" w:eastAsia="Times New Roman" w:hint="default"/>
                <w:sz w:val="15"/>
                <w:szCs w:val="15"/>
              </w:rPr>
            </w:pPr>
            <w:r>
              <w:rPr>
                <w:rFonts w:ascii="Times New Roman"/>
                <w:spacing w:val="-1"/>
                <w:sz w:val="15"/>
              </w:rPr>
              <w:t>1,708,047</w:t>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667" w:right="0"/>
              <w:jc w:val="left"/>
              <w:rPr>
                <w:rFonts w:ascii="Times New Roman" w:hAnsi="Times New Roman" w:cs="Times New Roman" w:eastAsia="Times New Roman" w:hint="default"/>
                <w:sz w:val="15"/>
                <w:szCs w:val="15"/>
              </w:rPr>
            </w:pPr>
            <w:r>
              <w:rPr>
                <w:rFonts w:ascii="Times New Roman"/>
                <w:sz w:val="15"/>
              </w:rPr>
              <w:t>50.00</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8" w:right="0"/>
              <w:jc w:val="left"/>
              <w:rPr>
                <w:rFonts w:ascii="宋体" w:hAnsi="宋体" w:cs="宋体" w:eastAsia="宋体" w:hint="default"/>
                <w:sz w:val="15"/>
                <w:szCs w:val="15"/>
              </w:rPr>
            </w:pPr>
            <w:r>
              <w:rPr>
                <w:rFonts w:ascii="宋体" w:hAnsi="宋体" w:cs="宋体" w:eastAsia="宋体" w:hint="default"/>
                <w:sz w:val="15"/>
                <w:szCs w:val="15"/>
              </w:rPr>
              <w:t>账龄较长</w:t>
            </w:r>
            <w:r>
              <w:rPr>
                <w:rFonts w:ascii="Times New Roman" w:hAnsi="Times New Roman" w:cs="Times New Roman" w:eastAsia="Times New Roman" w:hint="default"/>
                <w:sz w:val="15"/>
                <w:szCs w:val="15"/>
              </w:rPr>
              <w:t>—</w:t>
            </w:r>
            <w:r>
              <w:rPr>
                <w:rFonts w:ascii="宋体" w:hAnsi="宋体" w:cs="宋体" w:eastAsia="宋体" w:hint="default"/>
                <w:sz w:val="15"/>
                <w:szCs w:val="15"/>
              </w:rPr>
              <w:t>预计可收回比例在</w:t>
            </w:r>
            <w:r>
              <w:rPr>
                <w:rFonts w:ascii="宋体" w:hAnsi="宋体" w:cs="宋体" w:eastAsia="宋体" w:hint="default"/>
                <w:spacing w:val="-43"/>
                <w:sz w:val="15"/>
                <w:szCs w:val="15"/>
              </w:rPr>
              <w:t> </w:t>
            </w:r>
            <w:r>
              <w:rPr>
                <w:rFonts w:ascii="Times New Roman" w:hAnsi="Times New Roman" w:cs="Times New Roman" w:eastAsia="Times New Roman" w:hint="default"/>
                <w:sz w:val="15"/>
                <w:szCs w:val="15"/>
              </w:rPr>
              <w:t>50%</w:t>
            </w:r>
            <w:r>
              <w:rPr>
                <w:rFonts w:ascii="宋体" w:hAnsi="宋体" w:cs="宋体" w:eastAsia="宋体" w:hint="default"/>
                <w:sz w:val="15"/>
                <w:szCs w:val="15"/>
              </w:rPr>
              <w:t>左右</w:t>
            </w:r>
          </w:p>
        </w:tc>
      </w:tr>
      <w:tr>
        <w:trPr>
          <w:trHeight w:val="323" w:hRule="exact"/>
        </w:trPr>
        <w:tc>
          <w:tcPr>
            <w:tcW w:w="2146" w:type="dxa"/>
            <w:tcBorders>
              <w:top w:val="nil" w:sz="6" w:space="0" w:color="auto"/>
              <w:left w:val="nil" w:sz="6" w:space="0" w:color="auto"/>
              <w:bottom w:val="single" w:sz="8" w:space="0" w:color="000000"/>
              <w:right w:val="nil" w:sz="6" w:space="0" w:color="auto"/>
            </w:tcBorders>
          </w:tcPr>
          <w:p>
            <w:pPr>
              <w:pStyle w:val="TableParagraph"/>
              <w:spacing w:line="240" w:lineRule="auto" w:before="75"/>
              <w:ind w:left="36" w:right="0"/>
              <w:jc w:val="center"/>
              <w:rPr>
                <w:rFonts w:ascii="宋体" w:hAnsi="宋体" w:cs="宋体" w:eastAsia="宋体" w:hint="default"/>
                <w:sz w:val="15"/>
                <w:szCs w:val="15"/>
              </w:rPr>
            </w:pPr>
            <w:r>
              <w:rPr>
                <w:rFonts w:ascii="宋体" w:hAnsi="宋体" w:cs="宋体" w:eastAsia="宋体" w:hint="default"/>
                <w:sz w:val="15"/>
                <w:szCs w:val="15"/>
              </w:rPr>
              <w:t>合    计 </w:t>
            </w:r>
          </w:p>
        </w:tc>
        <w:tc>
          <w:tcPr>
            <w:tcW w:w="1134" w:type="dxa"/>
            <w:tcBorders>
              <w:top w:val="nil" w:sz="6" w:space="0" w:color="auto"/>
              <w:left w:val="nil" w:sz="6" w:space="0" w:color="auto"/>
              <w:bottom w:val="single" w:sz="8" w:space="0" w:color="000000"/>
              <w:right w:val="nil" w:sz="6" w:space="0" w:color="auto"/>
            </w:tcBorders>
          </w:tcPr>
          <w:p>
            <w:pPr>
              <w:pStyle w:val="TableParagraph"/>
              <w:spacing w:line="240" w:lineRule="auto" w:before="119"/>
              <w:ind w:right="141"/>
              <w:jc w:val="right"/>
              <w:rPr>
                <w:rFonts w:ascii="Times New Roman" w:hAnsi="Times New Roman" w:cs="Times New Roman" w:eastAsia="Times New Roman" w:hint="default"/>
                <w:sz w:val="15"/>
                <w:szCs w:val="15"/>
              </w:rPr>
            </w:pPr>
            <w:r>
              <w:rPr>
                <w:rFonts w:ascii="Times New Roman"/>
                <w:spacing w:val="-1"/>
                <w:sz w:val="15"/>
              </w:rPr>
              <w:t>152,766,543</w:t>
            </w:r>
          </w:p>
        </w:tc>
        <w:tc>
          <w:tcPr>
            <w:tcW w:w="1248" w:type="dxa"/>
            <w:tcBorders>
              <w:top w:val="nil" w:sz="6" w:space="0" w:color="auto"/>
              <w:left w:val="nil" w:sz="6" w:space="0" w:color="auto"/>
              <w:bottom w:val="single" w:sz="8" w:space="0" w:color="000000"/>
              <w:right w:val="nil" w:sz="6" w:space="0" w:color="auto"/>
            </w:tcBorders>
          </w:tcPr>
          <w:p>
            <w:pPr>
              <w:pStyle w:val="TableParagraph"/>
              <w:spacing w:line="240" w:lineRule="auto" w:before="119"/>
              <w:ind w:right="130"/>
              <w:jc w:val="right"/>
              <w:rPr>
                <w:rFonts w:ascii="Times New Roman" w:hAnsi="Times New Roman" w:cs="Times New Roman" w:eastAsia="Times New Roman" w:hint="default"/>
                <w:sz w:val="15"/>
                <w:szCs w:val="15"/>
              </w:rPr>
            </w:pPr>
            <w:r>
              <w:rPr>
                <w:rFonts w:ascii="Times New Roman"/>
                <w:spacing w:val="-1"/>
                <w:sz w:val="15"/>
              </w:rPr>
              <w:t>16,879,739</w:t>
            </w:r>
          </w:p>
        </w:tc>
        <w:tc>
          <w:tcPr>
            <w:tcW w:w="1114" w:type="dxa"/>
            <w:tcBorders>
              <w:top w:val="nil" w:sz="6" w:space="0" w:color="auto"/>
              <w:left w:val="nil" w:sz="6" w:space="0" w:color="auto"/>
              <w:bottom w:val="single" w:sz="8" w:space="0" w:color="000000"/>
              <w:right w:val="nil" w:sz="6" w:space="0" w:color="auto"/>
            </w:tcBorders>
          </w:tcPr>
          <w:p>
            <w:pPr/>
          </w:p>
        </w:tc>
        <w:tc>
          <w:tcPr>
            <w:tcW w:w="2792" w:type="dxa"/>
            <w:tcBorders>
              <w:top w:val="nil" w:sz="6" w:space="0" w:color="auto"/>
              <w:left w:val="nil" w:sz="6" w:space="0" w:color="auto"/>
              <w:bottom w:val="single" w:sz="8"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spacing w:before="35"/>
        <w:ind w:left="857" w:right="0" w:firstLine="0"/>
        <w:jc w:val="left"/>
        <w:rPr>
          <w:rFonts w:ascii="宋体" w:hAnsi="宋体" w:cs="宋体" w:eastAsia="宋体" w:hint="default"/>
          <w:sz w:val="21"/>
          <w:szCs w:val="21"/>
        </w:rPr>
      </w:pPr>
      <w:r>
        <w:rPr/>
        <w:pict>
          <v:group style="position:absolute;margin-left:111.360008pt;margin-top:17.073837pt;width:421.2pt;height:123.55pt;mso-position-horizontal-relative:page;mso-position-vertical-relative:paragraph;z-index:-976264" coordorigin="2227,341" coordsize="8424,2471">
            <v:group style="position:absolute;left:2237;top:351;width:1035;height:2" coordorigin="2237,351" coordsize="1035,2">
              <v:shape style="position:absolute;left:2237;top:351;width:1035;height:2" coordorigin="2237,351" coordsize="1035,0" path="m2237,351l3271,351e" filled="false" stroked="true" strokeweight=".95999pt" strokecolor="#000000">
                <v:path arrowok="t"/>
              </v:shape>
            </v:group>
            <v:group style="position:absolute;left:3271;top:351;width:3638;height:2" coordorigin="3271,351" coordsize="3638,2">
              <v:shape style="position:absolute;left:3271;top:351;width:3638;height:2" coordorigin="3271,351" coordsize="3638,0" path="m3271,351l6908,351e" filled="false" stroked="true" strokeweight=".95999pt" strokecolor="#000000">
                <v:path arrowok="t"/>
              </v:shape>
            </v:group>
            <v:group style="position:absolute;left:6908;top:351;width:3734;height:2" coordorigin="6908,351" coordsize="3734,2">
              <v:shape style="position:absolute;left:6908;top:351;width:3734;height:2" coordorigin="6908,351" coordsize="3734,0" path="m6908,351l10642,351e" filled="false" stroked="true" strokeweight=".95999pt" strokecolor="#000000">
                <v:path arrowok="t"/>
              </v:shape>
              <v:shape style="position:absolute;left:2230;top:361;width:8413;height:2452" type="#_x0000_t75" stroked="false">
                <v:imagedata r:id="rId163" o:title=""/>
              </v:shape>
              <v:shape style="position:absolute;left:4734;top:55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期末金额</w:t>
                      </w:r>
                    </w:p>
                  </w:txbxContent>
                </v:textbox>
                <w10:wrap type="none"/>
              </v:shape>
              <v:shape style="position:absolute;left:8420;top:55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期初金额</w:t>
                      </w:r>
                    </w:p>
                  </w:txbxContent>
                </v:textbox>
                <w10:wrap type="none"/>
              </v:shape>
            </v:group>
            <w10:wrap type="none"/>
          </v:group>
        </w:pict>
      </w:r>
      <w:r>
        <w:rPr>
          <w:rFonts w:ascii="宋体" w:hAnsi="宋体" w:cs="宋体" w:eastAsia="宋体" w:hint="default"/>
          <w:sz w:val="21"/>
          <w:szCs w:val="21"/>
        </w:rPr>
        <w:t>单项金额不重大但按信用风险特征组合后该组合的风险较大的应收账款：</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tbl>
      <w:tblPr>
        <w:tblW w:w="0" w:type="auto"/>
        <w:jc w:val="left"/>
        <w:tblInd w:w="735" w:type="dxa"/>
        <w:tblLayout w:type="fixed"/>
        <w:tblCellMar>
          <w:top w:w="0" w:type="dxa"/>
          <w:left w:w="0" w:type="dxa"/>
          <w:bottom w:w="0" w:type="dxa"/>
          <w:right w:w="0" w:type="dxa"/>
        </w:tblCellMar>
        <w:tblLook w:val="01E0"/>
      </w:tblPr>
      <w:tblGrid>
        <w:gridCol w:w="1177"/>
        <w:gridCol w:w="2314"/>
        <w:gridCol w:w="1350"/>
        <w:gridCol w:w="2418"/>
        <w:gridCol w:w="1175"/>
      </w:tblGrid>
      <w:tr>
        <w:trPr>
          <w:trHeight w:val="505" w:hRule="exact"/>
        </w:trPr>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7" w:right="0"/>
              <w:jc w:val="left"/>
              <w:rPr>
                <w:rFonts w:ascii="宋体" w:hAnsi="宋体" w:cs="宋体" w:eastAsia="宋体" w:hint="default"/>
                <w:sz w:val="18"/>
                <w:szCs w:val="18"/>
              </w:rPr>
            </w:pPr>
            <w:r>
              <w:rPr>
                <w:rFonts w:ascii="宋体" w:hAnsi="宋体" w:cs="宋体" w:eastAsia="宋体" w:hint="default"/>
                <w:sz w:val="18"/>
                <w:szCs w:val="18"/>
              </w:rPr>
              <w:t>账    龄 </w:t>
            </w:r>
          </w:p>
        </w:tc>
        <w:tc>
          <w:tcPr>
            <w:tcW w:w="231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692"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738"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87"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15" w:hRule="exact"/>
        </w:trPr>
        <w:tc>
          <w:tcPr>
            <w:tcW w:w="1177" w:type="dxa"/>
            <w:tcBorders>
              <w:top w:val="nil" w:sz="6" w:space="0" w:color="auto"/>
              <w:left w:val="nil" w:sz="6" w:space="0" w:color="auto"/>
              <w:bottom w:val="nil" w:sz="6" w:space="0" w:color="auto"/>
              <w:right w:val="nil" w:sz="6" w:space="0" w:color="auto"/>
            </w:tcBorders>
          </w:tcPr>
          <w:p>
            <w:pPr/>
          </w:p>
        </w:tc>
        <w:tc>
          <w:tcPr>
            <w:tcW w:w="2314" w:type="dxa"/>
            <w:tcBorders>
              <w:top w:val="nil" w:sz="6" w:space="0" w:color="auto"/>
              <w:left w:val="nil" w:sz="6" w:space="0" w:color="auto"/>
              <w:bottom w:val="nil" w:sz="6" w:space="0" w:color="auto"/>
              <w:right w:val="nil" w:sz="6" w:space="0" w:color="auto"/>
            </w:tcBorders>
          </w:tcPr>
          <w:p>
            <w:pPr>
              <w:pStyle w:val="TableParagraph"/>
              <w:tabs>
                <w:tab w:pos="1313" w:val="left" w:leader="none"/>
              </w:tabs>
              <w:spacing w:line="209" w:lineRule="exact"/>
              <w:ind w:left="18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  额</w:t>
              <w:tab/>
              <w:t>比例</w:t>
            </w:r>
            <w:r>
              <w:rPr>
                <w:rFonts w:ascii="Times New Roman" w:hAnsi="Times New Roman" w:cs="Times New Roman" w:eastAsia="Times New Roman" w:hint="default"/>
                <w:sz w:val="18"/>
                <w:szCs w:val="18"/>
              </w:rPr>
              <w:t>(%)</w:t>
            </w:r>
          </w:p>
        </w:tc>
        <w:tc>
          <w:tcPr>
            <w:tcW w:w="1350" w:type="dxa"/>
            <w:tcBorders>
              <w:top w:val="nil" w:sz="6" w:space="0" w:color="auto"/>
              <w:left w:val="nil" w:sz="6" w:space="0" w:color="auto"/>
              <w:bottom w:val="nil" w:sz="6" w:space="0" w:color="auto"/>
              <w:right w:val="nil" w:sz="6" w:space="0" w:color="auto"/>
            </w:tcBorders>
          </w:tcPr>
          <w:p>
            <w:pPr/>
          </w:p>
        </w:tc>
        <w:tc>
          <w:tcPr>
            <w:tcW w:w="2418" w:type="dxa"/>
            <w:tcBorders>
              <w:top w:val="nil" w:sz="6" w:space="0" w:color="auto"/>
              <w:left w:val="nil" w:sz="6" w:space="0" w:color="auto"/>
              <w:bottom w:val="nil" w:sz="6" w:space="0" w:color="auto"/>
              <w:right w:val="nil" w:sz="6" w:space="0" w:color="auto"/>
            </w:tcBorders>
          </w:tcPr>
          <w:p>
            <w:pPr>
              <w:pStyle w:val="TableParagraph"/>
              <w:tabs>
                <w:tab w:pos="1393" w:val="left" w:leader="none"/>
              </w:tabs>
              <w:spacing w:line="209" w:lineRule="exact"/>
              <w:ind w:left="28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金额</w:t>
              <w:tab/>
              <w:t>比例</w:t>
            </w:r>
            <w:r>
              <w:rPr>
                <w:rFonts w:ascii="Times New Roman" w:hAnsi="Times New Roman" w:cs="Times New Roman" w:eastAsia="Times New Roman" w:hint="default"/>
                <w:sz w:val="18"/>
                <w:szCs w:val="18"/>
              </w:rPr>
              <w:t>(%)</w:t>
            </w:r>
          </w:p>
        </w:tc>
        <w:tc>
          <w:tcPr>
            <w:tcW w:w="1175" w:type="dxa"/>
            <w:tcBorders>
              <w:top w:val="nil" w:sz="6" w:space="0" w:color="auto"/>
              <w:left w:val="nil" w:sz="6" w:space="0" w:color="auto"/>
              <w:bottom w:val="nil" w:sz="6" w:space="0" w:color="auto"/>
              <w:right w:val="nil" w:sz="6" w:space="0" w:color="auto"/>
            </w:tcBorders>
          </w:tcPr>
          <w:p>
            <w:pPr/>
          </w:p>
        </w:tc>
      </w:tr>
      <w:tr>
        <w:trPr>
          <w:trHeight w:val="415" w:hRule="exact"/>
        </w:trPr>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14" w:type="dxa"/>
            <w:tcBorders>
              <w:top w:val="nil" w:sz="6" w:space="0" w:color="auto"/>
              <w:left w:val="nil" w:sz="6" w:space="0" w:color="auto"/>
              <w:bottom w:val="nil" w:sz="6" w:space="0" w:color="auto"/>
              <w:right w:val="nil" w:sz="6" w:space="0" w:color="auto"/>
            </w:tcBorders>
          </w:tcPr>
          <w:p>
            <w:pPr>
              <w:pStyle w:val="TableParagraph"/>
              <w:tabs>
                <w:tab w:pos="1709" w:val="left" w:leader="none"/>
              </w:tabs>
              <w:spacing w:line="240" w:lineRule="auto" w:before="106"/>
              <w:ind w:left="204" w:right="0"/>
              <w:jc w:val="left"/>
              <w:rPr>
                <w:rFonts w:ascii="Times New Roman" w:hAnsi="Times New Roman" w:cs="Times New Roman" w:eastAsia="Times New Roman" w:hint="default"/>
                <w:sz w:val="18"/>
                <w:szCs w:val="18"/>
              </w:rPr>
            </w:pPr>
            <w:r>
              <w:rPr>
                <w:rFonts w:ascii="Times New Roman"/>
                <w:sz w:val="18"/>
              </w:rPr>
              <w:t>2,055,751</w:t>
              <w:tab/>
              <w:t>31.64</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48"/>
              <w:jc w:val="right"/>
              <w:rPr>
                <w:rFonts w:ascii="Times New Roman" w:hAnsi="Times New Roman" w:cs="Times New Roman" w:eastAsia="Times New Roman" w:hint="default"/>
                <w:sz w:val="18"/>
                <w:szCs w:val="18"/>
              </w:rPr>
            </w:pPr>
            <w:r>
              <w:rPr>
                <w:rFonts w:ascii="Times New Roman"/>
                <w:sz w:val="18"/>
              </w:rPr>
              <w:t>2,055,751</w:t>
            </w:r>
          </w:p>
        </w:tc>
        <w:tc>
          <w:tcPr>
            <w:tcW w:w="2418" w:type="dxa"/>
            <w:tcBorders>
              <w:top w:val="nil" w:sz="6" w:space="0" w:color="auto"/>
              <w:left w:val="nil" w:sz="6" w:space="0" w:color="auto"/>
              <w:bottom w:val="nil" w:sz="6" w:space="0" w:color="auto"/>
              <w:right w:val="nil" w:sz="6" w:space="0" w:color="auto"/>
            </w:tcBorders>
          </w:tcPr>
          <w:p>
            <w:pPr>
              <w:pStyle w:val="TableParagraph"/>
              <w:tabs>
                <w:tab w:pos="1575" w:val="left" w:leader="none"/>
              </w:tabs>
              <w:spacing w:line="240" w:lineRule="auto" w:before="106"/>
              <w:ind w:right="185"/>
              <w:jc w:val="right"/>
              <w:rPr>
                <w:rFonts w:ascii="Times New Roman" w:hAnsi="Times New Roman" w:cs="Times New Roman" w:eastAsia="Times New Roman" w:hint="default"/>
                <w:sz w:val="18"/>
                <w:szCs w:val="18"/>
              </w:rPr>
            </w:pPr>
            <w:r>
              <w:rPr>
                <w:rFonts w:ascii="Times New Roman"/>
                <w:sz w:val="18"/>
              </w:rPr>
              <w:t>1,209,645</w:t>
              <w:tab/>
              <w:t>70.77</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6"/>
              <w:jc w:val="right"/>
              <w:rPr>
                <w:rFonts w:ascii="Times New Roman" w:hAnsi="Times New Roman" w:cs="Times New Roman" w:eastAsia="Times New Roman" w:hint="default"/>
                <w:sz w:val="18"/>
                <w:szCs w:val="18"/>
              </w:rPr>
            </w:pPr>
            <w:r>
              <w:rPr>
                <w:rFonts w:ascii="Times New Roman"/>
                <w:sz w:val="18"/>
              </w:rPr>
              <w:t>1,209,645</w:t>
            </w:r>
          </w:p>
        </w:tc>
      </w:tr>
      <w:tr>
        <w:trPr>
          <w:trHeight w:val="410" w:hRule="exact"/>
        </w:trPr>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14" w:type="dxa"/>
            <w:tcBorders>
              <w:top w:val="nil" w:sz="6" w:space="0" w:color="auto"/>
              <w:left w:val="nil" w:sz="6" w:space="0" w:color="auto"/>
              <w:bottom w:val="nil" w:sz="6" w:space="0" w:color="auto"/>
              <w:right w:val="nil" w:sz="6" w:space="0" w:color="auto"/>
            </w:tcBorders>
          </w:tcPr>
          <w:p>
            <w:pPr>
              <w:pStyle w:val="TableParagraph"/>
              <w:tabs>
                <w:tab w:pos="1709" w:val="left" w:leader="none"/>
              </w:tabs>
              <w:spacing w:line="240" w:lineRule="auto" w:before="101"/>
              <w:ind w:left="204" w:right="0"/>
              <w:jc w:val="left"/>
              <w:rPr>
                <w:rFonts w:ascii="Times New Roman" w:hAnsi="Times New Roman" w:cs="Times New Roman" w:eastAsia="Times New Roman" w:hint="default"/>
                <w:sz w:val="18"/>
                <w:szCs w:val="18"/>
              </w:rPr>
            </w:pPr>
            <w:r>
              <w:rPr>
                <w:rFonts w:ascii="Times New Roman"/>
                <w:sz w:val="18"/>
              </w:rPr>
              <w:t>4,440,713</w:t>
              <w:tab/>
              <w:t>68.36</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8"/>
              <w:jc w:val="right"/>
              <w:rPr>
                <w:rFonts w:ascii="Times New Roman" w:hAnsi="Times New Roman" w:cs="Times New Roman" w:eastAsia="Times New Roman" w:hint="default"/>
                <w:sz w:val="18"/>
                <w:szCs w:val="18"/>
              </w:rPr>
            </w:pPr>
            <w:r>
              <w:rPr>
                <w:rFonts w:ascii="Times New Roman"/>
                <w:sz w:val="18"/>
              </w:rPr>
              <w:t>4,440,713</w:t>
            </w:r>
          </w:p>
        </w:tc>
        <w:tc>
          <w:tcPr>
            <w:tcW w:w="2418" w:type="dxa"/>
            <w:tcBorders>
              <w:top w:val="nil" w:sz="6" w:space="0" w:color="auto"/>
              <w:left w:val="nil" w:sz="6" w:space="0" w:color="auto"/>
              <w:bottom w:val="nil" w:sz="6" w:space="0" w:color="auto"/>
              <w:right w:val="nil" w:sz="6" w:space="0" w:color="auto"/>
            </w:tcBorders>
          </w:tcPr>
          <w:p>
            <w:pPr>
              <w:pStyle w:val="TableParagraph"/>
              <w:tabs>
                <w:tab w:pos="1439" w:val="left" w:leader="none"/>
              </w:tabs>
              <w:spacing w:line="240" w:lineRule="auto" w:before="101"/>
              <w:ind w:right="185"/>
              <w:jc w:val="right"/>
              <w:rPr>
                <w:rFonts w:ascii="Times New Roman" w:hAnsi="Times New Roman" w:cs="Times New Roman" w:eastAsia="Times New Roman" w:hint="default"/>
                <w:sz w:val="18"/>
                <w:szCs w:val="18"/>
              </w:rPr>
            </w:pPr>
            <w:r>
              <w:rPr>
                <w:rFonts w:ascii="Times New Roman"/>
                <w:sz w:val="18"/>
              </w:rPr>
              <w:t>499,660</w:t>
              <w:tab/>
              <w:t>29.23</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499,660</w:t>
            </w:r>
          </w:p>
        </w:tc>
      </w:tr>
      <w:tr>
        <w:trPr>
          <w:trHeight w:val="324" w:hRule="exact"/>
        </w:trPr>
        <w:tc>
          <w:tcPr>
            <w:tcW w:w="1177" w:type="dxa"/>
            <w:tcBorders>
              <w:top w:val="nil" w:sz="6" w:space="0" w:color="auto"/>
              <w:left w:val="nil" w:sz="6" w:space="0" w:color="auto"/>
              <w:bottom w:val="single" w:sz="8" w:space="0" w:color="000000"/>
              <w:right w:val="nil" w:sz="6" w:space="0" w:color="auto"/>
            </w:tcBorders>
          </w:tcPr>
          <w:p>
            <w:pPr>
              <w:pStyle w:val="TableParagraph"/>
              <w:spacing w:line="240" w:lineRule="auto" w:before="50"/>
              <w:ind w:left="177" w:right="0"/>
              <w:jc w:val="left"/>
              <w:rPr>
                <w:rFonts w:ascii="宋体" w:hAnsi="宋体" w:cs="宋体" w:eastAsia="宋体" w:hint="default"/>
                <w:sz w:val="18"/>
                <w:szCs w:val="18"/>
              </w:rPr>
            </w:pPr>
            <w:r>
              <w:rPr>
                <w:rFonts w:ascii="宋体" w:hAnsi="宋体" w:cs="宋体" w:eastAsia="宋体" w:hint="default"/>
                <w:sz w:val="18"/>
                <w:szCs w:val="18"/>
              </w:rPr>
              <w:t>合    计 </w:t>
            </w:r>
          </w:p>
        </w:tc>
        <w:tc>
          <w:tcPr>
            <w:tcW w:w="2314" w:type="dxa"/>
            <w:tcBorders>
              <w:top w:val="nil" w:sz="6" w:space="0" w:color="auto"/>
              <w:left w:val="nil" w:sz="6" w:space="0" w:color="auto"/>
              <w:bottom w:val="single" w:sz="8" w:space="0" w:color="000000"/>
              <w:right w:val="nil" w:sz="6" w:space="0" w:color="auto"/>
            </w:tcBorders>
          </w:tcPr>
          <w:p>
            <w:pPr>
              <w:pStyle w:val="TableParagraph"/>
              <w:tabs>
                <w:tab w:pos="1619" w:val="left" w:leader="none"/>
              </w:tabs>
              <w:spacing w:line="240" w:lineRule="auto" w:before="101"/>
              <w:ind w:left="204" w:right="0"/>
              <w:jc w:val="left"/>
              <w:rPr>
                <w:rFonts w:ascii="Times New Roman" w:hAnsi="Times New Roman" w:cs="Times New Roman" w:eastAsia="Times New Roman" w:hint="default"/>
                <w:sz w:val="18"/>
                <w:szCs w:val="18"/>
              </w:rPr>
            </w:pPr>
            <w:r>
              <w:rPr>
                <w:rFonts w:ascii="Times New Roman"/>
                <w:sz w:val="18"/>
              </w:rPr>
              <w:t>6,496,464</w:t>
              <w:tab/>
              <w:t>100.00</w:t>
            </w:r>
          </w:p>
        </w:tc>
        <w:tc>
          <w:tcPr>
            <w:tcW w:w="1350"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248"/>
              <w:jc w:val="right"/>
              <w:rPr>
                <w:rFonts w:ascii="Times New Roman" w:hAnsi="Times New Roman" w:cs="Times New Roman" w:eastAsia="Times New Roman" w:hint="default"/>
                <w:sz w:val="18"/>
                <w:szCs w:val="18"/>
              </w:rPr>
            </w:pPr>
            <w:r>
              <w:rPr>
                <w:rFonts w:ascii="Times New Roman"/>
                <w:sz w:val="18"/>
              </w:rPr>
              <w:t>6,496,464</w:t>
            </w:r>
          </w:p>
        </w:tc>
        <w:tc>
          <w:tcPr>
            <w:tcW w:w="2418" w:type="dxa"/>
            <w:tcBorders>
              <w:top w:val="nil" w:sz="6" w:space="0" w:color="auto"/>
              <w:left w:val="nil" w:sz="6" w:space="0" w:color="auto"/>
              <w:bottom w:val="single" w:sz="8" w:space="0" w:color="000000"/>
              <w:right w:val="nil" w:sz="6" w:space="0" w:color="auto"/>
            </w:tcBorders>
          </w:tcPr>
          <w:p>
            <w:pPr>
              <w:pStyle w:val="TableParagraph"/>
              <w:tabs>
                <w:tab w:pos="1485" w:val="left" w:leader="none"/>
              </w:tabs>
              <w:spacing w:line="240" w:lineRule="auto" w:before="101"/>
              <w:ind w:right="185"/>
              <w:jc w:val="right"/>
              <w:rPr>
                <w:rFonts w:ascii="Times New Roman" w:hAnsi="Times New Roman" w:cs="Times New Roman" w:eastAsia="Times New Roman" w:hint="default"/>
                <w:sz w:val="18"/>
                <w:szCs w:val="18"/>
              </w:rPr>
            </w:pPr>
            <w:r>
              <w:rPr>
                <w:rFonts w:ascii="Times New Roman"/>
                <w:sz w:val="18"/>
              </w:rPr>
              <w:t>1,709,305</w:t>
              <w:tab/>
              <w:t>100.00</w:t>
            </w:r>
          </w:p>
        </w:tc>
        <w:tc>
          <w:tcPr>
            <w:tcW w:w="1175"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1,709,305</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1413" w:val="left" w:leader="none"/>
        </w:tabs>
        <w:spacing w:before="35"/>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本报告期无实际核销的应收账款情况；</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413" w:val="left" w:leader="none"/>
        </w:tabs>
        <w:spacing w:before="0"/>
        <w:ind w:left="85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tab/>
        <w:t>期末应收账款中无持本公司</w:t>
      </w:r>
      <w:r>
        <w:rPr>
          <w:rFonts w:ascii="宋体" w:hAnsi="宋体" w:cs="宋体" w:eastAsia="宋体" w:hint="default"/>
          <w:spacing w:val="-43"/>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％以上（含</w:t>
      </w:r>
      <w:r>
        <w:rPr>
          <w:rFonts w:ascii="宋体" w:hAnsi="宋体" w:cs="宋体" w:eastAsia="宋体" w:hint="default"/>
          <w:spacing w:val="-43"/>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％）表决权股份的股东单位欠款；</w:t>
      </w:r>
    </w:p>
    <w:p>
      <w:pPr>
        <w:spacing w:after="0"/>
        <w:jc w:val="left"/>
        <w:rPr>
          <w:rFonts w:ascii="宋体" w:hAnsi="宋体" w:cs="宋体" w:eastAsia="宋体" w:hint="default"/>
          <w:sz w:val="21"/>
          <w:szCs w:val="21"/>
        </w:rPr>
        <w:sectPr>
          <w:pgSz w:w="11900" w:h="16840"/>
          <w:pgMar w:header="883" w:footer="1003" w:top="1540" w:bottom="1200" w:left="1480" w:right="1120"/>
        </w:sectPr>
      </w:pPr>
    </w:p>
    <w:p>
      <w:pPr>
        <w:tabs>
          <w:tab w:pos="1413" w:val="left" w:leader="none"/>
        </w:tabs>
        <w:spacing w:before="129"/>
        <w:ind w:left="857" w:right="151" w:firstLine="0"/>
        <w:jc w:val="left"/>
        <w:rPr>
          <w:rFonts w:ascii="宋体" w:hAnsi="宋体" w:cs="宋体" w:eastAsia="宋体" w:hint="default"/>
          <w:sz w:val="21"/>
          <w:szCs w:val="21"/>
        </w:rPr>
      </w:pPr>
      <w:r>
        <w:rPr/>
        <w:pict>
          <v:group style="position:absolute;margin-left:111.000008pt;margin-top:664.140015pt;width:422.95pt;height:79.4pt;mso-position-horizontal-relative:page;mso-position-vertical-relative:page;z-index:-975160" coordorigin="2220,13283" coordsize="8459,1588">
            <v:group style="position:absolute;left:2230;top:13292;width:2253;height:2" coordorigin="2230,13292" coordsize="2253,2">
              <v:shape style="position:absolute;left:2230;top:13292;width:2253;height:2" coordorigin="2230,13292" coordsize="2253,0" path="m2230,13292l4482,13292e" filled="false" stroked="true" strokeweight=".95999pt" strokecolor="#000000">
                <v:path arrowok="t"/>
              </v:shape>
            </v:group>
            <v:group style="position:absolute;left:4482;top:13292;width:1463;height:2" coordorigin="4482,13292" coordsize="1463,2">
              <v:shape style="position:absolute;left:4482;top:13292;width:1463;height:2" coordorigin="4482,13292" coordsize="1463,0" path="m4482,13292l5945,13292e" filled="false" stroked="true" strokeweight=".95999pt" strokecolor="#000000">
                <v:path arrowok="t"/>
              </v:shape>
            </v:group>
            <v:group style="position:absolute;left:5945;top:13292;width:1469;height:2" coordorigin="5945,13292" coordsize="1469,2">
              <v:shape style="position:absolute;left:5945;top:13292;width:1469;height:2" coordorigin="5945,13292" coordsize="1469,0" path="m5945,13292l7414,13292e" filled="false" stroked="true" strokeweight=".95999pt" strokecolor="#000000">
                <v:path arrowok="t"/>
              </v:shape>
            </v:group>
            <v:group style="position:absolute;left:7414;top:13292;width:1383;height:2" coordorigin="7414,13292" coordsize="1383,2">
              <v:shape style="position:absolute;left:7414;top:13292;width:1383;height:2" coordorigin="7414,13292" coordsize="1383,0" path="m7414,13292l8796,13292e" filled="false" stroked="true" strokeweight=".95999pt" strokecolor="#000000">
                <v:path arrowok="t"/>
              </v:shape>
            </v:group>
            <v:group style="position:absolute;left:8796;top:13292;width:1874;height:2" coordorigin="8796,13292" coordsize="1874,2">
              <v:shape style="position:absolute;left:8796;top:13292;width:1874;height:2" coordorigin="8796,13292" coordsize="1874,0" path="m8796,13292l10669,13292e" filled="false" stroked="true" strokeweight=".95999pt" strokecolor="#000000">
                <v:path arrowok="t"/>
              </v:shape>
              <v:shape style="position:absolute;left:2230;top:13302;width:8448;height:1568" type="#_x0000_t75" stroked="false">
                <v:imagedata r:id="rId164" o:title=""/>
              </v:shape>
            </v:group>
            <w10:wrap type="none"/>
          </v:group>
        </w:pic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w:t>
        <w:tab/>
        <w:t>应收账款金额前五名单位情况</w:t>
      </w:r>
    </w:p>
    <w:p>
      <w:pPr>
        <w:spacing w:line="2760" w:lineRule="exact"/>
        <w:ind w:left="725" w:right="0" w:firstLine="0"/>
        <w:rPr>
          <w:rFonts w:ascii="宋体" w:hAnsi="宋体" w:cs="宋体" w:eastAsia="宋体" w:hint="default"/>
          <w:sz w:val="20"/>
          <w:szCs w:val="20"/>
        </w:rPr>
      </w:pPr>
      <w:r>
        <w:rPr>
          <w:rFonts w:ascii="宋体" w:hAnsi="宋体" w:cs="宋体" w:eastAsia="宋体" w:hint="default"/>
          <w:position w:val="-54"/>
          <w:sz w:val="20"/>
          <w:szCs w:val="20"/>
        </w:rPr>
        <w:pict>
          <v:group style="width:423.7pt;height:138pt;mso-position-horizontal-relative:char;mso-position-vertical-relative:line" coordorigin="0,0" coordsize="8474,2760">
            <v:group style="position:absolute;left:24;top:10;width:2312;height:2" coordorigin="24,10" coordsize="2312,2">
              <v:shape style="position:absolute;left:24;top:10;width:2312;height:2" coordorigin="24,10" coordsize="2312,0" path="m24,10l2335,10e" filled="false" stroked="true" strokeweight=".95996pt" strokecolor="#000000">
                <v:path arrowok="t"/>
              </v:shape>
            </v:group>
            <v:group style="position:absolute;left:2335;top:10;width:1398;height:2" coordorigin="2335,10" coordsize="1398,2">
              <v:shape style="position:absolute;left:2335;top:10;width:1398;height:2" coordorigin="2335,10" coordsize="1398,0" path="m2335,10l3733,10e" filled="false" stroked="true" strokeweight=".95996pt" strokecolor="#000000">
                <v:path arrowok="t"/>
              </v:shape>
            </v:group>
            <v:group style="position:absolute;left:3733;top:10;width:1346;height:2" coordorigin="3733,10" coordsize="1346,2">
              <v:shape style="position:absolute;left:3733;top:10;width:1346;height:2" coordorigin="3733,10" coordsize="1346,0" path="m3733,10l5078,10e" filled="false" stroked="true" strokeweight=".95996pt" strokecolor="#000000">
                <v:path arrowok="t"/>
              </v:shape>
            </v:group>
            <v:group style="position:absolute;left:5078;top:10;width:1095;height:2" coordorigin="5078,10" coordsize="1095,2">
              <v:shape style="position:absolute;left:5078;top:10;width:1095;height:2" coordorigin="5078,10" coordsize="1095,0" path="m5078,10l6173,10e" filled="false" stroked="true" strokeweight=".95996pt" strokecolor="#000000">
                <v:path arrowok="t"/>
              </v:shape>
            </v:group>
            <v:group style="position:absolute;left:6173;top:10;width:20;height:2" coordorigin="6173,10" coordsize="20,2">
              <v:shape style="position:absolute;left:6173;top:10;width:20;height:2" coordorigin="6173,10" coordsize="20,0" path="m6173,10l6192,10e" filled="false" stroked="true" strokeweight=".95996pt" strokecolor="#000000">
                <v:path arrowok="t"/>
              </v:shape>
            </v:group>
            <v:group style="position:absolute;left:6192;top:10;width:2265;height:2" coordorigin="6192,10" coordsize="2265,2">
              <v:shape style="position:absolute;left:6192;top:10;width:2265;height:2" coordorigin="6192,10" coordsize="2265,0" path="m6192,10l8456,10e" filled="false" stroked="true" strokeweight=".96pt" strokecolor="#000000">
                <v:path arrowok="t"/>
              </v:shape>
            </v:group>
            <v:group style="position:absolute;left:10;top:2750;width:2326;height:2" coordorigin="10,2750" coordsize="2326,2">
              <v:shape style="position:absolute;left:10;top:2750;width:2326;height:2" coordorigin="10,2750" coordsize="2326,0" path="m10,2750l2335,2750e" filled="false" stroked="true" strokeweight=".96002pt" strokecolor="#000000">
                <v:path arrowok="t"/>
              </v:shape>
            </v:group>
            <v:group style="position:absolute;left:2335;top:2750;width:1398;height:2" coordorigin="2335,2750" coordsize="1398,2">
              <v:shape style="position:absolute;left:2335;top:2750;width:1398;height:2" coordorigin="2335,2750" coordsize="1398,0" path="m2335,2750l3733,2750e" filled="false" stroked="true" strokeweight=".96002pt" strokecolor="#000000">
                <v:path arrowok="t"/>
              </v:shape>
            </v:group>
            <v:group style="position:absolute;left:3733;top:2750;width:1346;height:2" coordorigin="3733,2750" coordsize="1346,2">
              <v:shape style="position:absolute;left:3733;top:2750;width:1346;height:2" coordorigin="3733,2750" coordsize="1346,0" path="m3733,2750l5078,2750e" filled="false" stroked="true" strokeweight=".96002pt" strokecolor="#000000">
                <v:path arrowok="t"/>
              </v:shape>
            </v:group>
            <v:group style="position:absolute;left:5078;top:2750;width:1095;height:2" coordorigin="5078,2750" coordsize="1095,2">
              <v:shape style="position:absolute;left:5078;top:2750;width:1095;height:2" coordorigin="5078,2750" coordsize="1095,0" path="m5078,2750l6173,2750e" filled="false" stroked="true" strokeweight=".96002pt" strokecolor="#000000">
                <v:path arrowok="t"/>
              </v:shape>
              <v:shape style="position:absolute;left:24;top:19;width:8438;height:2722" type="#_x0000_t75" stroked="false">
                <v:imagedata r:id="rId165" o:title=""/>
              </v:shape>
            </v:group>
            <v:group style="position:absolute;left:6173;top:2750;width:20;height:2" coordorigin="6173,2750" coordsize="20,2">
              <v:shape style="position:absolute;left:6173;top:2750;width:20;height:2" coordorigin="6173,2750" coordsize="20,0" path="m6173,2750l6192,2750e" filled="false" stroked="true" strokeweight=".96002pt" strokecolor="#000000">
                <v:path arrowok="t"/>
              </v:shape>
            </v:group>
            <v:group style="position:absolute;left:6192;top:2750;width:2272;height:2" coordorigin="6192,2750" coordsize="2272,2">
              <v:shape style="position:absolute;left:6192;top:2750;width:2272;height:2" coordorigin="6192,2750" coordsize="2272,0" path="m6192,2750l8464,2750e" filled="false" stroked="true" strokeweight=".96pt" strokecolor="#000000">
                <v:path arrowok="t"/>
              </v:shape>
              <v:shape style="position:absolute;left:731;top:19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债务人排名</w:t>
                      </w:r>
                    </w:p>
                  </w:txbxContent>
                </v:textbox>
                <w10:wrap type="none"/>
              </v:shape>
              <v:shape style="position:absolute;left:2500;top:19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与本公司关系</w:t>
                      </w:r>
                    </w:p>
                  </w:txbxContent>
                </v:textbox>
                <w10:wrap type="none"/>
              </v:shape>
              <v:shape style="position:absolute;left:4140;top:19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5450;top:1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年限</w:t>
                      </w:r>
                    </w:p>
                  </w:txbxContent>
                </v:textbox>
                <w10:wrap type="none"/>
              </v:shape>
              <v:shape style="position:absolute;left:6286;top:192;width:207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占应收账款总额的比例</w:t>
                      </w:r>
                      <w:r>
                        <w:rPr>
                          <w:rFonts w:ascii="Times New Roman" w:hAnsi="Times New Roman" w:cs="Times New Roman" w:eastAsia="Times New Roman" w:hint="default"/>
                          <w:sz w:val="18"/>
                          <w:szCs w:val="18"/>
                        </w:rPr>
                        <w:t>(%)</w:t>
                      </w:r>
                    </w:p>
                  </w:txbxContent>
                </v:textbox>
                <w10:wrap type="none"/>
              </v:shape>
              <v:shape style="position:absolute;left:132;top:58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第一名</w:t>
                      </w:r>
                    </w:p>
                  </w:txbxContent>
                </v:textbox>
                <w10:wrap type="none"/>
              </v:shape>
              <v:shape style="position:absolute;left:2448;top:58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4164;top:60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70,662,924</w:t>
                      </w:r>
                    </w:p>
                  </w:txbxContent>
                </v:textbox>
                <w10:wrap type="none"/>
              </v:shape>
              <v:shape style="position:absolute;left:5605;top:581;width:46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7950;top:600;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17.56</w:t>
                      </w:r>
                    </w:p>
                  </w:txbxContent>
                </v:textbox>
                <w10:wrap type="none"/>
              </v:shape>
              <v:shape style="position:absolute;left:132;top:97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第二名</w:t>
                      </w:r>
                    </w:p>
                  </w:txbxContent>
                </v:textbox>
                <w10:wrap type="none"/>
              </v:shape>
              <v:shape style="position:absolute;left:2448;top:97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4164;top:99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46,486,889</w:t>
                      </w:r>
                    </w:p>
                  </w:txbxContent>
                </v:textbox>
                <w10:wrap type="none"/>
              </v:shape>
              <v:shape style="position:absolute;left:2448;top:136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w:t>
                      </w:r>
                    </w:p>
                  </w:txbxContent>
                </v:textbox>
                <w10:wrap type="none"/>
              </v:shape>
              <v:shape style="position:absolute;left:4164;top:138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13,702,729</w:t>
                      </w:r>
                    </w:p>
                  </w:txbxContent>
                </v:textbox>
                <w10:wrap type="none"/>
              </v:shape>
              <v:shape style="position:absolute;left:5395;top:971;width:675;height:58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spacing w:line="245" w:lineRule="exact" w:before="141"/>
                        <w:ind w:left="21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7957;top:990;width:39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2"/>
                          <w:sz w:val="18"/>
                        </w:rPr>
                        <w:t>11.55</w:t>
                      </w:r>
                    </w:p>
                  </w:txbxContent>
                </v:textbox>
                <w10:wrap type="none"/>
              </v:shape>
              <v:shape style="position:absolute;left:132;top:136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第三名</w:t>
                      </w:r>
                    </w:p>
                  </w:txbxContent>
                </v:textbox>
                <w10:wrap type="none"/>
              </v:shape>
              <v:shape style="position:absolute;left:8040;top:1380;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3.40</w:t>
                      </w:r>
                    </w:p>
                  </w:txbxContent>
                </v:textbox>
                <w10:wrap type="none"/>
              </v:shape>
              <v:shape style="position:absolute;left:132;top:175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第四名</w:t>
                      </w:r>
                    </w:p>
                  </w:txbxContent>
                </v:textbox>
                <w10:wrap type="none"/>
              </v:shape>
              <v:shape style="position:absolute;left:2448;top:175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4254;top:1770;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8,645,352</w:t>
                      </w:r>
                    </w:p>
                  </w:txbxContent>
                </v:textbox>
                <w10:wrap type="none"/>
              </v:shape>
              <v:shape style="position:absolute;left:132;top:214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第五名</w:t>
                      </w:r>
                    </w:p>
                  </w:txbxContent>
                </v:textbox>
                <w10:wrap type="none"/>
              </v:shape>
              <v:shape style="position:absolute;left:2448;top:214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4254;top:2160;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6,794,400</w:t>
                      </w:r>
                    </w:p>
                  </w:txbxContent>
                </v:textbox>
                <w10:wrap type="none"/>
              </v:shape>
              <v:shape style="position:absolute;left:5395;top:1751;width:675;height:58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spacing w:line="245" w:lineRule="exact" w:before="141"/>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8040;top:1770;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2.15</w:t>
                      </w:r>
                    </w:p>
                  </w:txbxContent>
                </v:textbox>
                <w10:wrap type="none"/>
              </v:shape>
              <v:shape style="position:absolute;left:911;top:2160;width:7445;height:551" type="#_x0000_t202" filled="false" stroked="false">
                <v:textbox inset="0,0,0,0">
                  <w:txbxContent>
                    <w:p>
                      <w:pPr>
                        <w:spacing w:line="184" w:lineRule="exact" w:before="0"/>
                        <w:ind w:left="0" w:right="0" w:firstLine="0"/>
                        <w:jc w:val="right"/>
                        <w:rPr>
                          <w:rFonts w:ascii="Times New Roman" w:hAnsi="Times New Roman" w:cs="Times New Roman" w:eastAsia="Times New Roman" w:hint="default"/>
                          <w:sz w:val="18"/>
                          <w:szCs w:val="18"/>
                        </w:rPr>
                      </w:pPr>
                      <w:r>
                        <w:rPr>
                          <w:rFonts w:ascii="Times New Roman"/>
                          <w:sz w:val="18"/>
                        </w:rPr>
                        <w:t>1.69</w:t>
                      </w:r>
                    </w:p>
                    <w:p>
                      <w:pPr>
                        <w:spacing w:before="131"/>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4074;top:2550;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146,292,294</w:t>
                      </w:r>
                    </w:p>
                  </w:txbxContent>
                </v:textbox>
                <w10:wrap type="none"/>
              </v:shape>
              <v:shape style="position:absolute;left:7950;top:2550;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36.35</w:t>
                      </w:r>
                    </w:p>
                  </w:txbxContent>
                </v:textbox>
                <w10:wrap type="none"/>
              </v:shape>
            </v:group>
          </v:group>
        </w:pict>
      </w:r>
      <w:r>
        <w:rPr>
          <w:rFonts w:ascii="宋体" w:hAnsi="宋体" w:cs="宋体" w:eastAsia="宋体" w:hint="default"/>
          <w:position w:val="-54"/>
          <w:sz w:val="20"/>
          <w:szCs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tabs>
          <w:tab w:pos="1413" w:val="left" w:leader="none"/>
        </w:tabs>
        <w:spacing w:before="0"/>
        <w:ind w:left="857" w:right="15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sz w:val="21"/>
          <w:szCs w:val="21"/>
        </w:rPr>
        <w:t>、</w:t>
        <w:tab/>
        <w:t>应收关联方账款情况</w:t>
      </w:r>
    </w:p>
    <w:p>
      <w:pPr>
        <w:spacing w:line="852" w:lineRule="exact"/>
        <w:ind w:left="725"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24.05pt;height:42.6pt;mso-position-horizontal-relative:char;mso-position-vertical-relative:line" coordorigin="0,0" coordsize="8481,852">
            <v:group style="position:absolute;left:24;top:10;width:2651;height:2" coordorigin="24,10" coordsize="2651,2">
              <v:shape style="position:absolute;left:24;top:10;width:2651;height:2" coordorigin="24,10" coordsize="2651,0" path="m24,10l2675,10e" filled="false" stroked="true" strokeweight=".96002pt" strokecolor="#000000">
                <v:path arrowok="t"/>
              </v:shape>
            </v:group>
            <v:group style="position:absolute;left:2675;top:10;width:1552;height:2" coordorigin="2675,10" coordsize="1552,2">
              <v:shape style="position:absolute;left:2675;top:10;width:1552;height:2" coordorigin="2675,10" coordsize="1552,0" path="m2675,10l4226,10e" filled="false" stroked="true" strokeweight=".96002pt" strokecolor="#000000">
                <v:path arrowok="t"/>
              </v:shape>
            </v:group>
            <v:group style="position:absolute;left:4226;top:10;width:1607;height:2" coordorigin="4226,10" coordsize="1607,2">
              <v:shape style="position:absolute;left:4226;top:10;width:1607;height:2" coordorigin="4226,10" coordsize="1607,0" path="m4226,10l5833,10e" filled="false" stroked="true" strokeweight=".96002pt" strokecolor="#000000">
                <v:path arrowok="t"/>
              </v:shape>
            </v:group>
            <v:group style="position:absolute;left:5833;top:10;width:2631;height:2" coordorigin="5833,10" coordsize="2631,2">
              <v:shape style="position:absolute;left:5833;top:10;width:2631;height:2" coordorigin="5833,10" coordsize="2631,0" path="m5833,10l8464,10e" filled="false" stroked="true" strokeweight=".96002pt" strokecolor="#000000">
                <v:path arrowok="t"/>
              </v:shape>
            </v:group>
            <v:group style="position:absolute;left:10;top:842;width:2666;height:2" coordorigin="10,842" coordsize="2666,2">
              <v:shape style="position:absolute;left:10;top:842;width:2666;height:2" coordorigin="10,842" coordsize="2666,0" path="m10,842l2675,842e" filled="false" stroked="true" strokeweight=".95996pt" strokecolor="#000000">
                <v:path arrowok="t"/>
              </v:shape>
            </v:group>
            <v:group style="position:absolute;left:2675;top:842;width:1552;height:2" coordorigin="2675,842" coordsize="1552,2">
              <v:shape style="position:absolute;left:2675;top:842;width:1552;height:2" coordorigin="2675,842" coordsize="1552,0" path="m2675,842l4226,842e" filled="false" stroked="true" strokeweight=".95996pt" strokecolor="#000000">
                <v:path arrowok="t"/>
              </v:shape>
            </v:group>
            <v:group style="position:absolute;left:4226;top:842;width:1607;height:2" coordorigin="4226,842" coordsize="1607,2">
              <v:shape style="position:absolute;left:4226;top:842;width:1607;height:2" coordorigin="4226,842" coordsize="1607,0" path="m4226,842l5833,842e" filled="false" stroked="true" strokeweight=".95996pt" strokecolor="#000000">
                <v:path arrowok="t"/>
              </v:shape>
              <v:shape style="position:absolute;left:24;top:19;width:8444;height:814" type="#_x0000_t75" stroked="false">
                <v:imagedata r:id="rId166" o:title=""/>
              </v:shape>
            </v:group>
            <v:group style="position:absolute;left:5833;top:842;width:2638;height:2" coordorigin="5833,842" coordsize="2638,2">
              <v:shape style="position:absolute;left:5833;top:842;width:2638;height:2" coordorigin="5833,842" coordsize="2638,0" path="m5833,842l8471,842e" filled="false" stroked="true" strokeweight=".95996pt" strokecolor="#000000">
                <v:path arrowok="t"/>
              </v:shape>
              <v:shape style="position:absolute;left:132;top:158;width:1640;height:621" type="#_x0000_t202" filled="false" stroked="false">
                <v:textbox inset="0,0,0,0">
                  <w:txbxContent>
                    <w:p>
                      <w:pPr>
                        <w:spacing w:line="210" w:lineRule="exact" w:before="0"/>
                        <w:ind w:left="799"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p>
                      <w:pPr>
                        <w:spacing w:before="135"/>
                        <w:ind w:left="0" w:right="0" w:firstLine="0"/>
                        <w:jc w:val="left"/>
                        <w:rPr>
                          <w:rFonts w:ascii="宋体" w:hAnsi="宋体" w:cs="宋体" w:eastAsia="宋体" w:hint="default"/>
                          <w:sz w:val="21"/>
                          <w:szCs w:val="21"/>
                        </w:rPr>
                      </w:pPr>
                      <w:r>
                        <w:rPr>
                          <w:rFonts w:ascii="宋体" w:hAnsi="宋体" w:cs="宋体" w:eastAsia="宋体" w:hint="default"/>
                          <w:sz w:val="21"/>
                          <w:szCs w:val="21"/>
                        </w:rPr>
                        <w:t>诺西东软</w:t>
                      </w:r>
                    </w:p>
                  </w:txbxContent>
                </v:textbox>
                <w10:wrap type="none"/>
              </v:shape>
              <v:shape style="position:absolute;left:2788;top:158;width:1298;height:621" type="#_x0000_t202" filled="false" stroked="false">
                <v:textbox inset="0,0,0,0">
                  <w:txbxContent>
                    <w:p>
                      <w:pPr>
                        <w:spacing w:line="210" w:lineRule="exact" w:before="0"/>
                        <w:ind w:left="37"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p>
                      <w:pPr>
                        <w:spacing w:before="135"/>
                        <w:ind w:left="0" w:right="0" w:firstLine="0"/>
                        <w:jc w:val="left"/>
                        <w:rPr>
                          <w:rFonts w:ascii="宋体" w:hAnsi="宋体" w:cs="宋体" w:eastAsia="宋体" w:hint="default"/>
                          <w:sz w:val="21"/>
                          <w:szCs w:val="21"/>
                        </w:rPr>
                      </w:pPr>
                      <w:r>
                        <w:rPr>
                          <w:rFonts w:ascii="宋体" w:hAnsi="宋体" w:cs="宋体" w:eastAsia="宋体" w:hint="default"/>
                          <w:sz w:val="21"/>
                          <w:szCs w:val="21"/>
                        </w:rPr>
                        <w:t>联营公司</w:t>
                      </w:r>
                    </w:p>
                  </w:txbxContent>
                </v:textbox>
                <w10:wrap type="none"/>
              </v:shape>
              <v:shape style="position:absolute;left:4824;top:15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4783;top:594;width:94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13,702,729</w:t>
                      </w:r>
                    </w:p>
                  </w:txbxContent>
                </v:textbox>
                <w10:wrap type="none"/>
              </v:shape>
              <v:shape style="position:absolute;left:5947;top:158;width:2415;height:647" type="#_x0000_t202" filled="false" stroked="false">
                <v:textbox inset="0,0,0,0">
                  <w:txbxContent>
                    <w:p>
                      <w:pPr>
                        <w:spacing w:line="226" w:lineRule="exact" w:before="0"/>
                        <w:ind w:left="0" w:right="0" w:firstLine="0"/>
                        <w:jc w:val="right"/>
                        <w:rPr>
                          <w:rFonts w:ascii="Times New Roman" w:hAnsi="Times New Roman" w:cs="Times New Roman" w:eastAsia="Times New Roman" w:hint="default"/>
                          <w:sz w:val="21"/>
                          <w:szCs w:val="21"/>
                        </w:rPr>
                      </w:pPr>
                      <w:r>
                        <w:rPr>
                          <w:rFonts w:ascii="宋体" w:hAnsi="宋体" w:cs="宋体" w:eastAsia="宋体" w:hint="default"/>
                          <w:spacing w:val="-1"/>
                          <w:sz w:val="21"/>
                          <w:szCs w:val="21"/>
                        </w:rPr>
                        <w:t>占应收账款总额的比例</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r>
                    </w:p>
                    <w:p>
                      <w:pPr>
                        <w:spacing w:line="237" w:lineRule="exact" w:before="183"/>
                        <w:ind w:left="0" w:right="0" w:firstLine="0"/>
                        <w:jc w:val="right"/>
                        <w:rPr>
                          <w:rFonts w:ascii="Times New Roman" w:hAnsi="Times New Roman" w:cs="Times New Roman" w:eastAsia="Times New Roman" w:hint="default"/>
                          <w:sz w:val="21"/>
                          <w:szCs w:val="21"/>
                        </w:rPr>
                      </w:pPr>
                      <w:r>
                        <w:rPr>
                          <w:rFonts w:ascii="Times New Roman"/>
                          <w:spacing w:val="-1"/>
                          <w:w w:val="95"/>
                          <w:sz w:val="21"/>
                        </w:rPr>
                        <w:t>3.40</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tabs>
          <w:tab w:pos="1396" w:val="left" w:leader="none"/>
        </w:tabs>
        <w:spacing w:before="0"/>
        <w:ind w:left="857" w:right="15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sz w:val="21"/>
          <w:szCs w:val="21"/>
        </w:rPr>
        <w:t>、</w:t>
        <w:tab/>
        <w:t>本报告期无不符合终止确认条件的应收账款。</w:t>
      </w:r>
    </w:p>
    <w:p>
      <w:pPr>
        <w:spacing w:line="240" w:lineRule="auto" w:before="0"/>
        <w:rPr>
          <w:rFonts w:ascii="宋体" w:hAnsi="宋体" w:cs="宋体" w:eastAsia="宋体" w:hint="default"/>
          <w:sz w:val="22"/>
          <w:szCs w:val="22"/>
        </w:rPr>
      </w:pPr>
    </w:p>
    <w:p>
      <w:pPr>
        <w:tabs>
          <w:tab w:pos="853" w:val="left" w:leader="none"/>
        </w:tabs>
        <w:spacing w:before="181"/>
        <w:ind w:left="125" w:right="15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其他应收款</w:t>
      </w:r>
    </w:p>
    <w:p>
      <w:pPr>
        <w:spacing w:line="240" w:lineRule="auto" w:before="0"/>
        <w:rPr>
          <w:rFonts w:ascii="宋体" w:hAnsi="宋体" w:cs="宋体" w:eastAsia="宋体" w:hint="default"/>
          <w:sz w:val="22"/>
          <w:szCs w:val="22"/>
        </w:rPr>
      </w:pPr>
    </w:p>
    <w:p>
      <w:pPr>
        <w:tabs>
          <w:tab w:pos="1396" w:val="left" w:leader="none"/>
        </w:tabs>
        <w:spacing w:before="182"/>
        <w:ind w:left="857" w:right="151" w:firstLine="0"/>
        <w:jc w:val="left"/>
        <w:rPr>
          <w:rFonts w:ascii="宋体" w:hAnsi="宋体" w:cs="宋体" w:eastAsia="宋体" w:hint="default"/>
          <w:sz w:val="21"/>
          <w:szCs w:val="21"/>
        </w:rPr>
      </w:pPr>
      <w:r>
        <w:rPr/>
        <w:pict>
          <v:group style="position:absolute;margin-left:111.360008pt;margin-top:24.425495pt;width:423.3pt;height:193.6pt;mso-position-horizontal-relative:page;mso-position-vertical-relative:paragraph;z-index:-975184" coordorigin="2227,489" coordsize="8466,3872">
            <v:group style="position:absolute;left:2237;top:498;width:1899;height:2" coordorigin="2237,498" coordsize="1899,2">
              <v:shape style="position:absolute;left:2237;top:498;width:1899;height:2" coordorigin="2237,498" coordsize="1899,0" path="m2237,498l4135,498e" filled="false" stroked="true" strokeweight=".95999pt" strokecolor="#000000">
                <v:path arrowok="t"/>
              </v:shape>
            </v:group>
            <v:group style="position:absolute;left:4135;top:498;width:3291;height:2" coordorigin="4135,498" coordsize="3291,2">
              <v:shape style="position:absolute;left:4135;top:498;width:3291;height:2" coordorigin="4135,498" coordsize="3291,0" path="m4135,498l7426,498e" filled="false" stroked="true" strokeweight=".95999pt" strokecolor="#000000">
                <v:path arrowok="t"/>
              </v:shape>
            </v:group>
            <v:group style="position:absolute;left:7426;top:498;width:3258;height:2" coordorigin="7426,498" coordsize="3258,2">
              <v:shape style="position:absolute;left:7426;top:498;width:3258;height:2" coordorigin="7426,498" coordsize="3258,0" path="m7426,498l10684,498e" filled="false" stroked="true" strokeweight=".95999pt" strokecolor="#000000">
                <v:path arrowok="t"/>
              </v:shape>
              <v:shape style="position:absolute;left:2230;top:508;width:8460;height:3852" type="#_x0000_t75" stroked="false">
                <v:imagedata r:id="rId167" o:title=""/>
              </v:shape>
              <v:shape style="position:absolute;left:5519;top:71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期末金额</w:t>
                      </w:r>
                    </w:p>
                  </w:txbxContent>
                </v:textbox>
                <w10:wrap type="none"/>
              </v:shape>
              <v:shape style="position:absolute;left:8794;top:71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期初金额</w:t>
                      </w:r>
                    </w:p>
                  </w:txbxContent>
                </v:textbox>
                <w10:wrap type="none"/>
              </v:shape>
              <v:shape style="position:absolute;left:2918;top:1089;width:67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    类 </w:t>
                      </w:r>
                    </w:p>
                  </w:txbxContent>
                </v:textbox>
                <w10:wrap type="none"/>
              </v:shape>
              <v:shape style="position:absolute;left:5206;top:1105;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6779;top:110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8497;top:1105;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占总额</w:t>
                      </w:r>
                    </w:p>
                  </w:txbxContent>
                </v:textbox>
                <w10:wrap type="none"/>
              </v:shape>
              <v:shape style="position:absolute;left:10030;top:110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tbl>
      <w:tblPr>
        <w:tblW w:w="0" w:type="auto"/>
        <w:jc w:val="left"/>
        <w:tblInd w:w="735" w:type="dxa"/>
        <w:tblLayout w:type="fixed"/>
        <w:tblCellMar>
          <w:top w:w="0" w:type="dxa"/>
          <w:left w:w="0" w:type="dxa"/>
          <w:bottom w:w="0" w:type="dxa"/>
          <w:right w:w="0" w:type="dxa"/>
        </w:tblCellMar>
        <w:tblLook w:val="01E0"/>
      </w:tblPr>
      <w:tblGrid>
        <w:gridCol w:w="2282"/>
        <w:gridCol w:w="587"/>
        <w:gridCol w:w="805"/>
        <w:gridCol w:w="827"/>
        <w:gridCol w:w="751"/>
        <w:gridCol w:w="911"/>
        <w:gridCol w:w="683"/>
        <w:gridCol w:w="902"/>
        <w:gridCol w:w="727"/>
      </w:tblGrid>
      <w:tr>
        <w:trPr>
          <w:trHeight w:val="579" w:hRule="exact"/>
        </w:trPr>
        <w:tc>
          <w:tcPr>
            <w:tcW w:w="2870" w:type="dxa"/>
            <w:gridSpan w:val="2"/>
            <w:tcBorders>
              <w:top w:val="nil" w:sz="6" w:space="0" w:color="auto"/>
              <w:left w:val="nil" w:sz="6" w:space="0" w:color="auto"/>
              <w:bottom w:val="nil" w:sz="6" w:space="0" w:color="auto"/>
              <w:right w:val="nil" w:sz="6" w:space="0" w:color="auto"/>
            </w:tcBorders>
          </w:tcPr>
          <w:p>
            <w:pPr>
              <w:pStyle w:val="TableParagraph"/>
              <w:spacing w:line="162" w:lineRule="exact"/>
              <w:ind w:right="158"/>
              <w:jc w:val="right"/>
              <w:rPr>
                <w:rFonts w:ascii="宋体" w:hAnsi="宋体" w:cs="宋体" w:eastAsia="宋体" w:hint="default"/>
                <w:sz w:val="15"/>
                <w:szCs w:val="15"/>
              </w:rPr>
            </w:pPr>
            <w:r>
              <w:rPr>
                <w:rFonts w:ascii="宋体" w:hAnsi="宋体" w:cs="宋体" w:eastAsia="宋体" w:hint="default"/>
                <w:sz w:val="15"/>
                <w:szCs w:val="15"/>
              </w:rPr>
              <w:t>账面金额</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95"/>
              <w:jc w:val="righ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827" w:type="dxa"/>
            <w:tcBorders>
              <w:top w:val="nil" w:sz="6" w:space="0" w:color="auto"/>
              <w:left w:val="nil" w:sz="6" w:space="0" w:color="auto"/>
              <w:bottom w:val="nil" w:sz="6" w:space="0" w:color="auto"/>
              <w:right w:val="nil" w:sz="6" w:space="0" w:color="auto"/>
            </w:tcBorders>
          </w:tcPr>
          <w:p>
            <w:pPr>
              <w:pStyle w:val="TableParagraph"/>
              <w:spacing w:line="162" w:lineRule="exact"/>
              <w:ind w:left="48"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75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25"/>
              <w:jc w:val="righ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911" w:type="dxa"/>
            <w:tcBorders>
              <w:top w:val="nil" w:sz="6" w:space="0" w:color="auto"/>
              <w:left w:val="nil" w:sz="6" w:space="0" w:color="auto"/>
              <w:bottom w:val="nil" w:sz="6" w:space="0" w:color="auto"/>
              <w:right w:val="nil" w:sz="6" w:space="0" w:color="auto"/>
            </w:tcBorders>
          </w:tcPr>
          <w:p>
            <w:pPr>
              <w:pStyle w:val="TableParagraph"/>
              <w:spacing w:line="162" w:lineRule="exact"/>
              <w:ind w:right="8"/>
              <w:jc w:val="center"/>
              <w:rPr>
                <w:rFonts w:ascii="宋体" w:hAnsi="宋体" w:cs="宋体" w:eastAsia="宋体" w:hint="default"/>
                <w:sz w:val="15"/>
                <w:szCs w:val="15"/>
              </w:rPr>
            </w:pPr>
            <w:r>
              <w:rPr>
                <w:rFonts w:ascii="宋体" w:hAnsi="宋体" w:cs="宋体" w:eastAsia="宋体" w:hint="default"/>
                <w:sz w:val="15"/>
                <w:szCs w:val="15"/>
              </w:rPr>
              <w:t>账面金额</w:t>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74"/>
              <w:jc w:val="righ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902" w:type="dxa"/>
            <w:tcBorders>
              <w:top w:val="nil" w:sz="6" w:space="0" w:color="auto"/>
              <w:left w:val="nil" w:sz="6" w:space="0" w:color="auto"/>
              <w:bottom w:val="nil" w:sz="6" w:space="0" w:color="auto"/>
              <w:right w:val="nil" w:sz="6" w:space="0" w:color="auto"/>
            </w:tcBorders>
          </w:tcPr>
          <w:p>
            <w:pPr>
              <w:pStyle w:val="TableParagraph"/>
              <w:spacing w:line="162" w:lineRule="exact"/>
              <w:ind w:right="16"/>
              <w:jc w:val="center"/>
              <w:rPr>
                <w:rFonts w:ascii="宋体" w:hAnsi="宋体" w:cs="宋体" w:eastAsia="宋体" w:hint="default"/>
                <w:sz w:val="15"/>
                <w:szCs w:val="15"/>
              </w:rPr>
            </w:pPr>
            <w:r>
              <w:rPr>
                <w:rFonts w:ascii="宋体" w:hAnsi="宋体" w:cs="宋体" w:eastAsia="宋体" w:hint="default"/>
                <w:sz w:val="15"/>
                <w:szCs w:val="15"/>
              </w:rPr>
              <w:t>坏账准备</w:t>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left="102"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r>
      <w:tr>
        <w:trPr>
          <w:trHeight w:val="774" w:hRule="exact"/>
        </w:trPr>
        <w:tc>
          <w:tcPr>
            <w:tcW w:w="2870" w:type="dxa"/>
            <w:gridSpan w:val="2"/>
            <w:tcBorders>
              <w:top w:val="nil" w:sz="6" w:space="0" w:color="auto"/>
              <w:left w:val="nil" w:sz="6" w:space="0" w:color="auto"/>
              <w:bottom w:val="nil" w:sz="6" w:space="0" w:color="auto"/>
              <w:right w:val="nil" w:sz="6" w:space="0" w:color="auto"/>
            </w:tcBorders>
          </w:tcPr>
          <w:p>
            <w:pPr>
              <w:pStyle w:val="TableParagraph"/>
              <w:spacing w:line="163" w:lineRule="exact"/>
              <w:ind w:left="122" w:right="0"/>
              <w:jc w:val="left"/>
              <w:rPr>
                <w:rFonts w:ascii="宋体" w:hAnsi="宋体" w:cs="宋体" w:eastAsia="宋体" w:hint="default"/>
                <w:sz w:val="15"/>
                <w:szCs w:val="15"/>
              </w:rPr>
            </w:pPr>
            <w:r>
              <w:rPr>
                <w:rFonts w:ascii="宋体" w:hAnsi="宋体" w:cs="宋体" w:eastAsia="宋体" w:hint="default"/>
                <w:spacing w:val="10"/>
                <w:sz w:val="15"/>
                <w:szCs w:val="15"/>
              </w:rPr>
              <w:t>单项金额重大的其他应收</w:t>
            </w:r>
            <w:r>
              <w:rPr>
                <w:rFonts w:ascii="宋体" w:hAnsi="宋体" w:cs="宋体" w:eastAsia="宋体" w:hint="default"/>
                <w:sz w:val="15"/>
                <w:szCs w:val="15"/>
              </w:rPr>
            </w:r>
          </w:p>
          <w:p>
            <w:pPr>
              <w:pStyle w:val="TableParagraph"/>
              <w:spacing w:line="160" w:lineRule="exact" w:before="37"/>
              <w:ind w:right="80"/>
              <w:jc w:val="right"/>
              <w:rPr>
                <w:rFonts w:ascii="Times New Roman" w:hAnsi="Times New Roman" w:cs="Times New Roman" w:eastAsia="Times New Roman" w:hint="default"/>
                <w:sz w:val="15"/>
                <w:szCs w:val="15"/>
              </w:rPr>
            </w:pPr>
            <w:r>
              <w:rPr>
                <w:rFonts w:ascii="Times New Roman"/>
                <w:spacing w:val="-1"/>
                <w:sz w:val="15"/>
              </w:rPr>
              <w:t>15,994,463</w:t>
            </w:r>
          </w:p>
          <w:p>
            <w:pPr>
              <w:pStyle w:val="TableParagraph"/>
              <w:spacing w:line="184" w:lineRule="exact"/>
              <w:ind w:left="122" w:right="0"/>
              <w:jc w:val="left"/>
              <w:rPr>
                <w:rFonts w:ascii="宋体" w:hAnsi="宋体" w:cs="宋体" w:eastAsia="宋体" w:hint="default"/>
                <w:sz w:val="15"/>
                <w:szCs w:val="15"/>
              </w:rPr>
            </w:pPr>
            <w:r>
              <w:rPr>
                <w:rFonts w:ascii="宋体" w:hAnsi="宋体" w:cs="宋体" w:eastAsia="宋体" w:hint="default"/>
                <w:sz w:val="15"/>
                <w:szCs w:val="15"/>
              </w:rPr>
              <w:t>款</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79"/>
              <w:jc w:val="right"/>
              <w:rPr>
                <w:rFonts w:ascii="Times New Roman" w:hAnsi="Times New Roman" w:cs="Times New Roman" w:eastAsia="Times New Roman" w:hint="default"/>
                <w:sz w:val="15"/>
                <w:szCs w:val="15"/>
              </w:rPr>
            </w:pPr>
            <w:r>
              <w:rPr>
                <w:rFonts w:ascii="Times New Roman"/>
                <w:spacing w:val="-1"/>
                <w:sz w:val="15"/>
              </w:rPr>
              <w:t>2.83</w:t>
            </w:r>
          </w:p>
        </w:tc>
        <w:tc>
          <w:tcPr>
            <w:tcW w:w="82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6"/>
              <w:jc w:val="right"/>
              <w:rPr>
                <w:rFonts w:ascii="Times New Roman" w:hAnsi="Times New Roman" w:cs="Times New Roman" w:eastAsia="Times New Roman" w:hint="default"/>
                <w:sz w:val="15"/>
                <w:szCs w:val="15"/>
              </w:rPr>
            </w:pPr>
            <w:r>
              <w:rPr>
                <w:rFonts w:ascii="Times New Roman"/>
                <w:spacing w:val="-1"/>
                <w:sz w:val="15"/>
              </w:rPr>
              <w:t>5,593,162</w:t>
            </w:r>
          </w:p>
        </w:tc>
        <w:tc>
          <w:tcPr>
            <w:tcW w:w="75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77"/>
              <w:jc w:val="right"/>
              <w:rPr>
                <w:rFonts w:ascii="Times New Roman" w:hAnsi="Times New Roman" w:cs="Times New Roman" w:eastAsia="Times New Roman" w:hint="default"/>
                <w:sz w:val="15"/>
                <w:szCs w:val="15"/>
              </w:rPr>
            </w:pPr>
            <w:r>
              <w:rPr>
                <w:rFonts w:ascii="Times New Roman"/>
                <w:spacing w:val="-1"/>
                <w:sz w:val="15"/>
              </w:rPr>
              <w:t>34.97</w:t>
            </w:r>
          </w:p>
        </w:tc>
        <w:tc>
          <w:tcPr>
            <w:tcW w:w="91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73" w:right="0"/>
              <w:jc w:val="center"/>
              <w:rPr>
                <w:rFonts w:ascii="Times New Roman" w:hAnsi="Times New Roman" w:cs="Times New Roman" w:eastAsia="Times New Roman" w:hint="default"/>
                <w:sz w:val="15"/>
                <w:szCs w:val="15"/>
              </w:rPr>
            </w:pPr>
            <w:r>
              <w:rPr>
                <w:rFonts w:ascii="Times New Roman"/>
                <w:sz w:val="15"/>
              </w:rPr>
              <w:t>10,722,014</w:t>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62"/>
              <w:jc w:val="right"/>
              <w:rPr>
                <w:rFonts w:ascii="Times New Roman" w:hAnsi="Times New Roman" w:cs="Times New Roman" w:eastAsia="Times New Roman" w:hint="default"/>
                <w:sz w:val="15"/>
                <w:szCs w:val="15"/>
              </w:rPr>
            </w:pPr>
            <w:r>
              <w:rPr>
                <w:rFonts w:ascii="Times New Roman"/>
                <w:spacing w:val="-1"/>
                <w:sz w:val="15"/>
              </w:rPr>
              <w:t>2.93</w:t>
            </w: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94" w:right="0"/>
              <w:jc w:val="center"/>
              <w:rPr>
                <w:rFonts w:ascii="Times New Roman" w:hAnsi="Times New Roman" w:cs="Times New Roman" w:eastAsia="Times New Roman" w:hint="default"/>
                <w:sz w:val="15"/>
                <w:szCs w:val="15"/>
              </w:rPr>
            </w:pPr>
            <w:r>
              <w:rPr>
                <w:rFonts w:ascii="Times New Roman"/>
                <w:sz w:val="15"/>
              </w:rPr>
              <w:t>1,959,618</w:t>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39"/>
              <w:jc w:val="right"/>
              <w:rPr>
                <w:rFonts w:ascii="Times New Roman" w:hAnsi="Times New Roman" w:cs="Times New Roman" w:eastAsia="Times New Roman" w:hint="default"/>
                <w:sz w:val="15"/>
                <w:szCs w:val="15"/>
              </w:rPr>
            </w:pPr>
            <w:r>
              <w:rPr>
                <w:rFonts w:ascii="Times New Roman"/>
                <w:spacing w:val="-1"/>
                <w:sz w:val="15"/>
              </w:rPr>
              <w:t>18.28</w:t>
            </w:r>
          </w:p>
        </w:tc>
      </w:tr>
      <w:tr>
        <w:trPr>
          <w:trHeight w:val="865" w:hRule="exact"/>
        </w:trPr>
        <w:tc>
          <w:tcPr>
            <w:tcW w:w="2870" w:type="dxa"/>
            <w:gridSpan w:val="2"/>
            <w:tcBorders>
              <w:top w:val="nil" w:sz="6" w:space="0" w:color="auto"/>
              <w:left w:val="nil" w:sz="6" w:space="0" w:color="auto"/>
              <w:bottom w:val="nil" w:sz="6" w:space="0" w:color="auto"/>
              <w:right w:val="nil" w:sz="6" w:space="0" w:color="auto"/>
            </w:tcBorders>
          </w:tcPr>
          <w:p>
            <w:pPr>
              <w:pStyle w:val="TableParagraph"/>
              <w:spacing w:line="159" w:lineRule="exact"/>
              <w:ind w:left="122" w:right="0"/>
              <w:jc w:val="left"/>
              <w:rPr>
                <w:rFonts w:ascii="宋体" w:hAnsi="宋体" w:cs="宋体" w:eastAsia="宋体" w:hint="default"/>
                <w:sz w:val="15"/>
                <w:szCs w:val="15"/>
              </w:rPr>
            </w:pPr>
            <w:r>
              <w:rPr>
                <w:rFonts w:ascii="宋体" w:hAnsi="宋体" w:cs="宋体" w:eastAsia="宋体" w:hint="default"/>
                <w:spacing w:val="10"/>
                <w:sz w:val="15"/>
                <w:szCs w:val="15"/>
              </w:rPr>
              <w:t>单项金额不重大但按信用</w:t>
            </w:r>
            <w:r>
              <w:rPr>
                <w:rFonts w:ascii="宋体" w:hAnsi="宋体" w:cs="宋体" w:eastAsia="宋体" w:hint="default"/>
                <w:sz w:val="15"/>
                <w:szCs w:val="15"/>
              </w:rPr>
            </w:r>
          </w:p>
          <w:p>
            <w:pPr>
              <w:pStyle w:val="TableParagraph"/>
              <w:spacing w:line="240" w:lineRule="auto" w:before="11"/>
              <w:ind w:right="0"/>
              <w:jc w:val="left"/>
              <w:rPr>
                <w:rFonts w:ascii="宋体" w:hAnsi="宋体" w:cs="宋体" w:eastAsia="宋体" w:hint="default"/>
                <w:sz w:val="13"/>
                <w:szCs w:val="13"/>
              </w:rPr>
            </w:pPr>
          </w:p>
          <w:p>
            <w:pPr>
              <w:pStyle w:val="TableParagraph"/>
              <w:tabs>
                <w:tab w:pos="2116" w:val="left" w:leader="none"/>
              </w:tabs>
              <w:spacing w:line="240" w:lineRule="auto"/>
              <w:ind w:left="122" w:right="0"/>
              <w:jc w:val="left"/>
              <w:rPr>
                <w:rFonts w:ascii="Times New Roman" w:hAnsi="Times New Roman" w:cs="Times New Roman" w:eastAsia="Times New Roman" w:hint="default"/>
                <w:sz w:val="15"/>
                <w:szCs w:val="15"/>
              </w:rPr>
            </w:pPr>
            <w:r>
              <w:rPr>
                <w:rFonts w:ascii="宋体" w:hAnsi="宋体" w:cs="宋体" w:eastAsia="宋体" w:hint="default"/>
                <w:spacing w:val="9"/>
                <w:position w:val="1"/>
                <w:sz w:val="15"/>
                <w:szCs w:val="15"/>
              </w:rPr>
              <w:t>风险特征组合后该组合的</w:t>
              <w:tab/>
            </w:r>
            <w:r>
              <w:rPr>
                <w:rFonts w:ascii="Times New Roman" w:hAnsi="Times New Roman" w:cs="Times New Roman" w:eastAsia="Times New Roman" w:hint="default"/>
                <w:sz w:val="15"/>
                <w:szCs w:val="15"/>
              </w:rPr>
              <w:t>11,192,691</w:t>
            </w:r>
          </w:p>
          <w:p>
            <w:pPr>
              <w:pStyle w:val="TableParagraph"/>
              <w:spacing w:line="240" w:lineRule="auto" w:before="7"/>
              <w:ind w:right="0"/>
              <w:jc w:val="left"/>
              <w:rPr>
                <w:rFonts w:ascii="宋体" w:hAnsi="宋体" w:cs="宋体" w:eastAsia="宋体" w:hint="default"/>
                <w:sz w:val="12"/>
                <w:szCs w:val="12"/>
              </w:rPr>
            </w:pPr>
          </w:p>
          <w:p>
            <w:pPr>
              <w:pStyle w:val="TableParagraph"/>
              <w:spacing w:line="183" w:lineRule="exact"/>
              <w:ind w:left="122" w:right="0"/>
              <w:jc w:val="left"/>
              <w:rPr>
                <w:rFonts w:ascii="宋体" w:hAnsi="宋体" w:cs="宋体" w:eastAsia="宋体" w:hint="default"/>
                <w:sz w:val="15"/>
                <w:szCs w:val="15"/>
              </w:rPr>
            </w:pPr>
            <w:r>
              <w:rPr>
                <w:rFonts w:ascii="宋体" w:hAnsi="宋体" w:cs="宋体" w:eastAsia="宋体" w:hint="default"/>
                <w:sz w:val="15"/>
                <w:szCs w:val="15"/>
              </w:rPr>
              <w:t>风险较大的其他应收款</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78"/>
              <w:jc w:val="right"/>
              <w:rPr>
                <w:rFonts w:ascii="Times New Roman" w:hAnsi="Times New Roman" w:cs="Times New Roman" w:eastAsia="Times New Roman" w:hint="default"/>
                <w:sz w:val="15"/>
                <w:szCs w:val="15"/>
              </w:rPr>
            </w:pPr>
            <w:r>
              <w:rPr>
                <w:rFonts w:ascii="Times New Roman"/>
                <w:spacing w:val="-1"/>
                <w:sz w:val="15"/>
              </w:rPr>
              <w:t>1.98</w:t>
            </w:r>
          </w:p>
        </w:tc>
        <w:tc>
          <w:tcPr>
            <w:tcW w:w="82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58" w:right="0"/>
              <w:jc w:val="left"/>
              <w:rPr>
                <w:rFonts w:ascii="Times New Roman" w:hAnsi="Times New Roman" w:cs="Times New Roman" w:eastAsia="Times New Roman" w:hint="default"/>
                <w:sz w:val="15"/>
                <w:szCs w:val="15"/>
              </w:rPr>
            </w:pPr>
            <w:r>
              <w:rPr>
                <w:rFonts w:ascii="Times New Roman"/>
                <w:sz w:val="15"/>
              </w:rPr>
              <w:t>11,192,691</w:t>
            </w:r>
          </w:p>
        </w:tc>
        <w:tc>
          <w:tcPr>
            <w:tcW w:w="7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77"/>
              <w:jc w:val="right"/>
              <w:rPr>
                <w:rFonts w:ascii="Times New Roman" w:hAnsi="Times New Roman" w:cs="Times New Roman" w:eastAsia="Times New Roman" w:hint="default"/>
                <w:sz w:val="15"/>
                <w:szCs w:val="15"/>
              </w:rPr>
            </w:pPr>
            <w:r>
              <w:rPr>
                <w:rFonts w:ascii="Times New Roman"/>
                <w:spacing w:val="-1"/>
                <w:sz w:val="15"/>
              </w:rPr>
              <w:t>100.00</w:t>
            </w:r>
          </w:p>
        </w:tc>
        <w:tc>
          <w:tcPr>
            <w:tcW w:w="9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48" w:right="0"/>
              <w:jc w:val="center"/>
              <w:rPr>
                <w:rFonts w:ascii="Times New Roman" w:hAnsi="Times New Roman" w:cs="Times New Roman" w:eastAsia="Times New Roman" w:hint="default"/>
                <w:sz w:val="15"/>
                <w:szCs w:val="15"/>
              </w:rPr>
            </w:pPr>
            <w:r>
              <w:rPr>
                <w:rFonts w:ascii="Times New Roman"/>
                <w:sz w:val="15"/>
              </w:rPr>
              <w:t>6,638,122</w:t>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62"/>
              <w:jc w:val="right"/>
              <w:rPr>
                <w:rFonts w:ascii="Times New Roman" w:hAnsi="Times New Roman" w:cs="Times New Roman" w:eastAsia="Times New Roman" w:hint="default"/>
                <w:sz w:val="15"/>
                <w:szCs w:val="15"/>
              </w:rPr>
            </w:pPr>
            <w:r>
              <w:rPr>
                <w:rFonts w:ascii="Times New Roman"/>
                <w:spacing w:val="-1"/>
                <w:sz w:val="15"/>
              </w:rPr>
              <w:t>1.81</w:t>
            </w: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94" w:right="0"/>
              <w:jc w:val="center"/>
              <w:rPr>
                <w:rFonts w:ascii="Times New Roman" w:hAnsi="Times New Roman" w:cs="Times New Roman" w:eastAsia="Times New Roman" w:hint="default"/>
                <w:sz w:val="15"/>
                <w:szCs w:val="15"/>
              </w:rPr>
            </w:pPr>
            <w:r>
              <w:rPr>
                <w:rFonts w:ascii="Times New Roman"/>
                <w:sz w:val="15"/>
              </w:rPr>
              <w:t>6,638,122</w:t>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9"/>
              <w:jc w:val="right"/>
              <w:rPr>
                <w:rFonts w:ascii="Times New Roman" w:hAnsi="Times New Roman" w:cs="Times New Roman" w:eastAsia="Times New Roman" w:hint="default"/>
                <w:sz w:val="15"/>
                <w:szCs w:val="15"/>
              </w:rPr>
            </w:pPr>
            <w:r>
              <w:rPr>
                <w:rFonts w:ascii="Times New Roman"/>
                <w:spacing w:val="-1"/>
                <w:sz w:val="15"/>
              </w:rPr>
              <w:t>100.00</w:t>
            </w:r>
          </w:p>
        </w:tc>
      </w:tr>
      <w:tr>
        <w:trPr>
          <w:trHeight w:val="580" w:hRule="exact"/>
        </w:trPr>
        <w:tc>
          <w:tcPr>
            <w:tcW w:w="287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tabs>
                <w:tab w:pos="2036" w:val="left" w:leader="none"/>
              </w:tabs>
              <w:spacing w:line="240" w:lineRule="auto"/>
              <w:ind w:left="122" w:right="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其他不重大其他应收款</w:t>
              <w:tab/>
            </w:r>
            <w:r>
              <w:rPr>
                <w:rFonts w:ascii="Times New Roman" w:hAnsi="Times New Roman" w:cs="Times New Roman" w:eastAsia="Times New Roman" w:hint="default"/>
                <w:sz w:val="15"/>
                <w:szCs w:val="15"/>
              </w:rPr>
              <w:t>538,019,620</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right="179"/>
              <w:jc w:val="right"/>
              <w:rPr>
                <w:rFonts w:ascii="Times New Roman" w:hAnsi="Times New Roman" w:cs="Times New Roman" w:eastAsia="Times New Roman" w:hint="default"/>
                <w:sz w:val="15"/>
                <w:szCs w:val="15"/>
              </w:rPr>
            </w:pPr>
            <w:r>
              <w:rPr>
                <w:rFonts w:ascii="Times New Roman"/>
                <w:spacing w:val="-1"/>
                <w:sz w:val="15"/>
              </w:rPr>
              <w:t>95.19</w:t>
            </w:r>
          </w:p>
        </w:tc>
        <w:tc>
          <w:tcPr>
            <w:tcW w:w="82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right="98"/>
              <w:jc w:val="right"/>
              <w:rPr>
                <w:rFonts w:ascii="Times New Roman" w:hAnsi="Times New Roman" w:cs="Times New Roman" w:eastAsia="Times New Roman" w:hint="default"/>
                <w:sz w:val="15"/>
                <w:szCs w:val="15"/>
              </w:rPr>
            </w:pPr>
            <w:r>
              <w:rPr>
                <w:rFonts w:ascii="Times New Roman"/>
                <w:spacing w:val="-1"/>
                <w:sz w:val="15"/>
              </w:rPr>
              <w:t>5,486,380</w:t>
            </w:r>
          </w:p>
        </w:tc>
        <w:tc>
          <w:tcPr>
            <w:tcW w:w="7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right="77"/>
              <w:jc w:val="right"/>
              <w:rPr>
                <w:rFonts w:ascii="Times New Roman" w:hAnsi="Times New Roman" w:cs="Times New Roman" w:eastAsia="Times New Roman" w:hint="default"/>
                <w:sz w:val="15"/>
                <w:szCs w:val="15"/>
              </w:rPr>
            </w:pPr>
            <w:r>
              <w:rPr>
                <w:rFonts w:ascii="Times New Roman"/>
                <w:spacing w:val="-1"/>
                <w:sz w:val="15"/>
              </w:rPr>
              <w:t>1.02</w:t>
            </w:r>
          </w:p>
        </w:tc>
        <w:tc>
          <w:tcPr>
            <w:tcW w:w="9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right="1"/>
              <w:jc w:val="center"/>
              <w:rPr>
                <w:rFonts w:ascii="Times New Roman" w:hAnsi="Times New Roman" w:cs="Times New Roman" w:eastAsia="Times New Roman" w:hint="default"/>
                <w:sz w:val="15"/>
                <w:szCs w:val="15"/>
              </w:rPr>
            </w:pPr>
            <w:r>
              <w:rPr>
                <w:rFonts w:ascii="Times New Roman"/>
                <w:sz w:val="15"/>
              </w:rPr>
              <w:t>349,083,379</w:t>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right="63"/>
              <w:jc w:val="right"/>
              <w:rPr>
                <w:rFonts w:ascii="Times New Roman" w:hAnsi="Times New Roman" w:cs="Times New Roman" w:eastAsia="Times New Roman" w:hint="default"/>
                <w:sz w:val="15"/>
                <w:szCs w:val="15"/>
              </w:rPr>
            </w:pPr>
            <w:r>
              <w:rPr>
                <w:rFonts w:ascii="Times New Roman"/>
                <w:spacing w:val="-1"/>
                <w:sz w:val="15"/>
              </w:rPr>
              <w:t>95.26</w:t>
            </w: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left="94" w:right="0"/>
              <w:jc w:val="center"/>
              <w:rPr>
                <w:rFonts w:ascii="Times New Roman" w:hAnsi="Times New Roman" w:cs="Times New Roman" w:eastAsia="Times New Roman" w:hint="default"/>
                <w:sz w:val="15"/>
                <w:szCs w:val="15"/>
              </w:rPr>
            </w:pPr>
            <w:r>
              <w:rPr>
                <w:rFonts w:ascii="Times New Roman"/>
                <w:sz w:val="15"/>
              </w:rPr>
              <w:t>2,839,069</w:t>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right="39"/>
              <w:jc w:val="right"/>
              <w:rPr>
                <w:rFonts w:ascii="Times New Roman" w:hAnsi="Times New Roman" w:cs="Times New Roman" w:eastAsia="Times New Roman" w:hint="default"/>
                <w:sz w:val="15"/>
                <w:szCs w:val="15"/>
              </w:rPr>
            </w:pPr>
            <w:r>
              <w:rPr>
                <w:rFonts w:ascii="Times New Roman"/>
                <w:spacing w:val="-1"/>
                <w:sz w:val="15"/>
              </w:rPr>
              <w:t>0.81</w:t>
            </w:r>
          </w:p>
        </w:tc>
      </w:tr>
      <w:tr>
        <w:trPr>
          <w:trHeight w:val="289" w:hRule="exact"/>
        </w:trPr>
        <w:tc>
          <w:tcPr>
            <w:tcW w:w="2870" w:type="dxa"/>
            <w:gridSpan w:val="2"/>
            <w:tcBorders>
              <w:top w:val="nil" w:sz="6" w:space="0" w:color="auto"/>
              <w:left w:val="nil" w:sz="6" w:space="0" w:color="auto"/>
              <w:bottom w:val="single" w:sz="8" w:space="0" w:color="000000"/>
              <w:right w:val="nil" w:sz="6" w:space="0" w:color="auto"/>
            </w:tcBorders>
          </w:tcPr>
          <w:p>
            <w:pPr>
              <w:pStyle w:val="TableParagraph"/>
              <w:tabs>
                <w:tab w:pos="2036" w:val="left" w:leader="none"/>
              </w:tabs>
              <w:spacing w:line="240" w:lineRule="auto" w:before="55"/>
              <w:ind w:left="703" w:right="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合    计</w:t>
              <w:tab/>
            </w:r>
            <w:r>
              <w:rPr>
                <w:rFonts w:ascii="Times New Roman" w:hAnsi="Times New Roman" w:cs="Times New Roman" w:eastAsia="Times New Roman" w:hint="default"/>
                <w:sz w:val="15"/>
                <w:szCs w:val="15"/>
              </w:rPr>
              <w:t>565,206,774</w:t>
            </w:r>
          </w:p>
        </w:tc>
        <w:tc>
          <w:tcPr>
            <w:tcW w:w="805" w:type="dxa"/>
            <w:tcBorders>
              <w:top w:val="nil" w:sz="6" w:space="0" w:color="auto"/>
              <w:left w:val="nil" w:sz="6" w:space="0" w:color="auto"/>
              <w:bottom w:val="single" w:sz="8" w:space="0" w:color="000000"/>
              <w:right w:val="nil" w:sz="6" w:space="0" w:color="auto"/>
            </w:tcBorders>
          </w:tcPr>
          <w:p>
            <w:pPr>
              <w:pStyle w:val="TableParagraph"/>
              <w:spacing w:line="240" w:lineRule="auto" w:before="100"/>
              <w:ind w:right="179"/>
              <w:jc w:val="right"/>
              <w:rPr>
                <w:rFonts w:ascii="Times New Roman" w:hAnsi="Times New Roman" w:cs="Times New Roman" w:eastAsia="Times New Roman" w:hint="default"/>
                <w:sz w:val="15"/>
                <w:szCs w:val="15"/>
              </w:rPr>
            </w:pPr>
            <w:r>
              <w:rPr>
                <w:rFonts w:ascii="Times New Roman"/>
                <w:spacing w:val="-1"/>
                <w:sz w:val="15"/>
              </w:rPr>
              <w:t>100.00</w:t>
            </w:r>
          </w:p>
        </w:tc>
        <w:tc>
          <w:tcPr>
            <w:tcW w:w="827" w:type="dxa"/>
            <w:tcBorders>
              <w:top w:val="nil" w:sz="6" w:space="0" w:color="auto"/>
              <w:left w:val="nil" w:sz="6" w:space="0" w:color="auto"/>
              <w:bottom w:val="single" w:sz="8" w:space="0" w:color="000000"/>
              <w:right w:val="nil" w:sz="6" w:space="0" w:color="auto"/>
            </w:tcBorders>
          </w:tcPr>
          <w:p>
            <w:pPr>
              <w:pStyle w:val="TableParagraph"/>
              <w:spacing w:line="240" w:lineRule="auto" w:before="100"/>
              <w:ind w:left="53" w:right="0"/>
              <w:jc w:val="left"/>
              <w:rPr>
                <w:rFonts w:ascii="Times New Roman" w:hAnsi="Times New Roman" w:cs="Times New Roman" w:eastAsia="Times New Roman" w:hint="default"/>
                <w:sz w:val="15"/>
                <w:szCs w:val="15"/>
              </w:rPr>
            </w:pPr>
            <w:r>
              <w:rPr>
                <w:rFonts w:ascii="Times New Roman"/>
                <w:sz w:val="15"/>
              </w:rPr>
              <w:t>22,272,233</w:t>
            </w:r>
          </w:p>
        </w:tc>
        <w:tc>
          <w:tcPr>
            <w:tcW w:w="751" w:type="dxa"/>
            <w:tcBorders>
              <w:top w:val="nil" w:sz="6" w:space="0" w:color="auto"/>
              <w:left w:val="nil" w:sz="6" w:space="0" w:color="auto"/>
              <w:bottom w:val="single" w:sz="8" w:space="0" w:color="000000"/>
              <w:right w:val="nil" w:sz="6" w:space="0" w:color="auto"/>
            </w:tcBorders>
          </w:tcPr>
          <w:p>
            <w:pPr/>
          </w:p>
        </w:tc>
        <w:tc>
          <w:tcPr>
            <w:tcW w:w="911" w:type="dxa"/>
            <w:tcBorders>
              <w:top w:val="nil" w:sz="6" w:space="0" w:color="auto"/>
              <w:left w:val="nil" w:sz="6" w:space="0" w:color="auto"/>
              <w:bottom w:val="single" w:sz="8" w:space="0" w:color="000000"/>
              <w:right w:val="nil" w:sz="6" w:space="0" w:color="auto"/>
            </w:tcBorders>
          </w:tcPr>
          <w:p>
            <w:pPr>
              <w:pStyle w:val="TableParagraph"/>
              <w:spacing w:line="240" w:lineRule="auto" w:before="100"/>
              <w:ind w:right="1"/>
              <w:jc w:val="center"/>
              <w:rPr>
                <w:rFonts w:ascii="Times New Roman" w:hAnsi="Times New Roman" w:cs="Times New Roman" w:eastAsia="Times New Roman" w:hint="default"/>
                <w:sz w:val="15"/>
                <w:szCs w:val="15"/>
              </w:rPr>
            </w:pPr>
            <w:r>
              <w:rPr>
                <w:rFonts w:ascii="Times New Roman"/>
                <w:sz w:val="15"/>
              </w:rPr>
              <w:t>366,443,515</w:t>
            </w:r>
          </w:p>
        </w:tc>
        <w:tc>
          <w:tcPr>
            <w:tcW w:w="683" w:type="dxa"/>
            <w:tcBorders>
              <w:top w:val="nil" w:sz="6" w:space="0" w:color="auto"/>
              <w:left w:val="nil" w:sz="6" w:space="0" w:color="auto"/>
              <w:bottom w:val="single" w:sz="8" w:space="0" w:color="000000"/>
              <w:right w:val="nil" w:sz="6" w:space="0" w:color="auto"/>
            </w:tcBorders>
          </w:tcPr>
          <w:p>
            <w:pPr>
              <w:pStyle w:val="TableParagraph"/>
              <w:spacing w:line="240" w:lineRule="auto" w:before="100"/>
              <w:ind w:right="62"/>
              <w:jc w:val="right"/>
              <w:rPr>
                <w:rFonts w:ascii="Times New Roman" w:hAnsi="Times New Roman" w:cs="Times New Roman" w:eastAsia="Times New Roman" w:hint="default"/>
                <w:sz w:val="15"/>
                <w:szCs w:val="15"/>
              </w:rPr>
            </w:pPr>
            <w:r>
              <w:rPr>
                <w:rFonts w:ascii="Times New Roman"/>
                <w:spacing w:val="-1"/>
                <w:sz w:val="15"/>
              </w:rPr>
              <w:t>100.00</w:t>
            </w:r>
          </w:p>
        </w:tc>
        <w:tc>
          <w:tcPr>
            <w:tcW w:w="902" w:type="dxa"/>
            <w:tcBorders>
              <w:top w:val="nil" w:sz="6" w:space="0" w:color="auto"/>
              <w:left w:val="nil" w:sz="6" w:space="0" w:color="auto"/>
              <w:bottom w:val="single" w:sz="8" w:space="0" w:color="000000"/>
              <w:right w:val="nil" w:sz="6" w:space="0" w:color="auto"/>
            </w:tcBorders>
          </w:tcPr>
          <w:p>
            <w:pPr>
              <w:pStyle w:val="TableParagraph"/>
              <w:spacing w:line="240" w:lineRule="auto" w:before="100"/>
              <w:ind w:left="25" w:right="0"/>
              <w:jc w:val="center"/>
              <w:rPr>
                <w:rFonts w:ascii="Times New Roman" w:hAnsi="Times New Roman" w:cs="Times New Roman" w:eastAsia="Times New Roman" w:hint="default"/>
                <w:sz w:val="15"/>
                <w:szCs w:val="15"/>
              </w:rPr>
            </w:pPr>
            <w:r>
              <w:rPr>
                <w:rFonts w:ascii="Times New Roman"/>
                <w:sz w:val="15"/>
              </w:rPr>
              <w:t>11,436,809</w:t>
            </w:r>
          </w:p>
        </w:tc>
        <w:tc>
          <w:tcPr>
            <w:tcW w:w="727" w:type="dxa"/>
            <w:tcBorders>
              <w:top w:val="nil" w:sz="6" w:space="0" w:color="auto"/>
              <w:left w:val="nil" w:sz="6" w:space="0" w:color="auto"/>
              <w:bottom w:val="single" w:sz="8" w:space="0" w:color="000000"/>
              <w:right w:val="nil" w:sz="6" w:space="0" w:color="auto"/>
            </w:tcBorders>
          </w:tcPr>
          <w:p>
            <w:pPr/>
          </w:p>
        </w:tc>
      </w:tr>
      <w:tr>
        <w:trPr>
          <w:trHeight w:val="855" w:hRule="exact"/>
        </w:trPr>
        <w:tc>
          <w:tcPr>
            <w:tcW w:w="8476" w:type="dxa"/>
            <w:gridSpan w:val="9"/>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tabs>
                <w:tab w:pos="677" w:val="left" w:leader="none"/>
              </w:tabs>
              <w:spacing w:line="240" w:lineRule="auto" w:before="175"/>
              <w:ind w:left="122"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期末单项金额重大或虽不重大但单独进行减值测试的其他应收款坏账准备计提</w:t>
            </w:r>
          </w:p>
        </w:tc>
      </w:tr>
      <w:tr>
        <w:trPr>
          <w:trHeight w:val="396" w:hRule="exact"/>
        </w:trPr>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39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0"/>
              <w:ind w:left="359"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157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0"/>
              <w:ind w:left="252" w:right="0"/>
              <w:jc w:val="left"/>
              <w:rPr>
                <w:rFonts w:ascii="宋体" w:hAnsi="宋体" w:cs="宋体" w:eastAsia="宋体" w:hint="default"/>
                <w:sz w:val="18"/>
                <w:szCs w:val="18"/>
              </w:rPr>
            </w:pPr>
            <w:r>
              <w:rPr>
                <w:rFonts w:ascii="宋体" w:hAnsi="宋体" w:cs="宋体" w:eastAsia="宋体" w:hint="default"/>
                <w:sz w:val="18"/>
                <w:szCs w:val="18"/>
              </w:rPr>
              <w:t>坏账准备金额</w:t>
            </w:r>
          </w:p>
        </w:tc>
        <w:tc>
          <w:tcPr>
            <w:tcW w:w="159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0"/>
              <w:ind w:left="14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c>
        <w:tc>
          <w:tcPr>
            <w:tcW w:w="162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0"/>
              <w:ind w:left="405" w:right="0"/>
              <w:jc w:val="left"/>
              <w:rPr>
                <w:rFonts w:ascii="宋体" w:hAnsi="宋体" w:cs="宋体" w:eastAsia="宋体" w:hint="default"/>
                <w:sz w:val="18"/>
                <w:szCs w:val="18"/>
              </w:rPr>
            </w:pPr>
            <w:r>
              <w:rPr>
                <w:rFonts w:ascii="宋体" w:hAnsi="宋体" w:cs="宋体" w:eastAsia="宋体" w:hint="default"/>
                <w:sz w:val="18"/>
                <w:szCs w:val="18"/>
              </w:rPr>
              <w:t>理  由</w:t>
            </w:r>
          </w:p>
        </w:tc>
      </w:tr>
      <w:tr>
        <w:trPr>
          <w:trHeight w:val="395" w:hRule="exact"/>
        </w:trPr>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备用金及垫付费用借款</w:t>
            </w:r>
          </w:p>
        </w:tc>
        <w:tc>
          <w:tcPr>
            <w:tcW w:w="139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6"/>
              <w:ind w:left="622" w:right="0"/>
              <w:jc w:val="left"/>
              <w:rPr>
                <w:rFonts w:ascii="Times New Roman" w:hAnsi="Times New Roman" w:cs="Times New Roman" w:eastAsia="Times New Roman" w:hint="default"/>
                <w:sz w:val="18"/>
                <w:szCs w:val="18"/>
              </w:rPr>
            </w:pPr>
            <w:r>
              <w:rPr>
                <w:rFonts w:ascii="Times New Roman"/>
                <w:sz w:val="18"/>
              </w:rPr>
              <w:t>5,595,354</w:t>
            </w:r>
          </w:p>
        </w:tc>
        <w:tc>
          <w:tcPr>
            <w:tcW w:w="157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6"/>
              <w:ind w:left="697" w:right="0"/>
              <w:jc w:val="left"/>
              <w:rPr>
                <w:rFonts w:ascii="Times New Roman" w:hAnsi="Times New Roman" w:cs="Times New Roman" w:eastAsia="Times New Roman" w:hint="default"/>
                <w:sz w:val="18"/>
                <w:szCs w:val="18"/>
              </w:rPr>
            </w:pPr>
            <w:r>
              <w:rPr>
                <w:rFonts w:ascii="Times New Roman"/>
                <w:sz w:val="18"/>
              </w:rPr>
              <w:t>5,489,171</w:t>
            </w:r>
          </w:p>
        </w:tc>
        <w:tc>
          <w:tcPr>
            <w:tcW w:w="159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6"/>
              <w:ind w:left="819" w:right="0"/>
              <w:jc w:val="left"/>
              <w:rPr>
                <w:rFonts w:ascii="Times New Roman" w:hAnsi="Times New Roman" w:cs="Times New Roman" w:eastAsia="Times New Roman" w:hint="default"/>
                <w:sz w:val="18"/>
                <w:szCs w:val="18"/>
              </w:rPr>
            </w:pPr>
            <w:r>
              <w:rPr>
                <w:rFonts w:ascii="Times New Roman"/>
                <w:sz w:val="18"/>
              </w:rPr>
              <w:t>98.10</w:t>
            </w:r>
          </w:p>
        </w:tc>
        <w:tc>
          <w:tcPr>
            <w:tcW w:w="162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64" w:right="0"/>
              <w:jc w:val="left"/>
              <w:rPr>
                <w:rFonts w:ascii="宋体" w:hAnsi="宋体" w:cs="宋体" w:eastAsia="宋体" w:hint="default"/>
                <w:sz w:val="18"/>
                <w:szCs w:val="18"/>
              </w:rPr>
            </w:pPr>
            <w:r>
              <w:rPr>
                <w:rFonts w:ascii="宋体" w:hAnsi="宋体" w:cs="宋体" w:eastAsia="宋体" w:hint="default"/>
                <w:sz w:val="18"/>
                <w:szCs w:val="18"/>
              </w:rPr>
              <w:t>预计不可收回部分</w:t>
            </w:r>
          </w:p>
        </w:tc>
      </w:tr>
      <w:tr>
        <w:trPr>
          <w:trHeight w:val="390" w:hRule="exact"/>
        </w:trPr>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单位往来款</w:t>
            </w:r>
          </w:p>
        </w:tc>
        <w:tc>
          <w:tcPr>
            <w:tcW w:w="139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1"/>
              <w:ind w:left="532" w:right="0"/>
              <w:jc w:val="left"/>
              <w:rPr>
                <w:rFonts w:ascii="Times New Roman" w:hAnsi="Times New Roman" w:cs="Times New Roman" w:eastAsia="Times New Roman" w:hint="default"/>
                <w:sz w:val="18"/>
                <w:szCs w:val="18"/>
              </w:rPr>
            </w:pPr>
            <w:r>
              <w:rPr>
                <w:rFonts w:ascii="Times New Roman"/>
                <w:sz w:val="18"/>
              </w:rPr>
              <w:t>10,399,109</w:t>
            </w:r>
          </w:p>
        </w:tc>
        <w:tc>
          <w:tcPr>
            <w:tcW w:w="157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1"/>
              <w:ind w:left="833" w:right="0"/>
              <w:jc w:val="left"/>
              <w:rPr>
                <w:rFonts w:ascii="Times New Roman" w:hAnsi="Times New Roman" w:cs="Times New Roman" w:eastAsia="Times New Roman" w:hint="default"/>
                <w:sz w:val="18"/>
                <w:szCs w:val="18"/>
              </w:rPr>
            </w:pPr>
            <w:r>
              <w:rPr>
                <w:rFonts w:ascii="Times New Roman"/>
                <w:sz w:val="18"/>
              </w:rPr>
              <w:t>103,991</w:t>
            </w:r>
          </w:p>
        </w:tc>
        <w:tc>
          <w:tcPr>
            <w:tcW w:w="159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1"/>
              <w:ind w:left="909" w:right="0"/>
              <w:jc w:val="left"/>
              <w:rPr>
                <w:rFonts w:ascii="Times New Roman" w:hAnsi="Times New Roman" w:cs="Times New Roman" w:eastAsia="Times New Roman" w:hint="default"/>
                <w:sz w:val="18"/>
                <w:szCs w:val="18"/>
              </w:rPr>
            </w:pPr>
            <w:r>
              <w:rPr>
                <w:rFonts w:ascii="Times New Roman"/>
                <w:sz w:val="18"/>
              </w:rPr>
              <w:t>1.00</w:t>
            </w:r>
          </w:p>
        </w:tc>
        <w:tc>
          <w:tcPr>
            <w:tcW w:w="162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9"/>
              <w:ind w:left="244" w:right="0"/>
              <w:jc w:val="left"/>
              <w:rPr>
                <w:rFonts w:ascii="宋体" w:hAnsi="宋体" w:cs="宋体" w:eastAsia="宋体" w:hint="default"/>
                <w:sz w:val="18"/>
                <w:szCs w:val="18"/>
              </w:rPr>
            </w:pPr>
            <w:r>
              <w:rPr>
                <w:rFonts w:ascii="宋体" w:hAnsi="宋体" w:cs="宋体" w:eastAsia="宋体" w:hint="default"/>
                <w:sz w:val="18"/>
                <w:szCs w:val="18"/>
              </w:rPr>
              <w:t>按账龄计提部分</w:t>
            </w:r>
          </w:p>
        </w:tc>
      </w:tr>
      <w:tr>
        <w:trPr>
          <w:trHeight w:val="330" w:hRule="exact"/>
        </w:trPr>
        <w:tc>
          <w:tcPr>
            <w:tcW w:w="2282" w:type="dxa"/>
            <w:tcBorders>
              <w:top w:val="nil" w:sz="6" w:space="0" w:color="auto"/>
              <w:left w:val="nil" w:sz="6" w:space="0" w:color="auto"/>
              <w:bottom w:val="single" w:sz="8" w:space="0" w:color="000000"/>
              <w:right w:val="nil" w:sz="6" w:space="0" w:color="auto"/>
            </w:tcBorders>
          </w:tcPr>
          <w:p>
            <w:pPr>
              <w:pStyle w:val="TableParagraph"/>
              <w:spacing w:line="240" w:lineRule="auto" w:before="39"/>
              <w:ind w:left="782" w:right="0"/>
              <w:jc w:val="left"/>
              <w:rPr>
                <w:rFonts w:ascii="宋体" w:hAnsi="宋体" w:cs="宋体" w:eastAsia="宋体" w:hint="default"/>
                <w:sz w:val="18"/>
                <w:szCs w:val="18"/>
              </w:rPr>
            </w:pPr>
            <w:r>
              <w:rPr>
                <w:rFonts w:ascii="宋体" w:hAnsi="宋体" w:cs="宋体" w:eastAsia="宋体" w:hint="default"/>
                <w:sz w:val="18"/>
                <w:szCs w:val="18"/>
              </w:rPr>
              <w:t>合    计 </w:t>
            </w:r>
          </w:p>
        </w:tc>
        <w:tc>
          <w:tcPr>
            <w:tcW w:w="1393" w:type="dxa"/>
            <w:gridSpan w:val="2"/>
            <w:tcBorders>
              <w:top w:val="nil" w:sz="6" w:space="0" w:color="auto"/>
              <w:left w:val="nil" w:sz="6" w:space="0" w:color="auto"/>
              <w:bottom w:val="single" w:sz="8" w:space="0" w:color="000000"/>
              <w:right w:val="nil" w:sz="6" w:space="0" w:color="auto"/>
            </w:tcBorders>
          </w:tcPr>
          <w:p>
            <w:pPr>
              <w:pStyle w:val="TableParagraph"/>
              <w:spacing w:line="240" w:lineRule="auto" w:before="91"/>
              <w:ind w:left="532" w:right="0"/>
              <w:jc w:val="left"/>
              <w:rPr>
                <w:rFonts w:ascii="Times New Roman" w:hAnsi="Times New Roman" w:cs="Times New Roman" w:eastAsia="Times New Roman" w:hint="default"/>
                <w:sz w:val="18"/>
                <w:szCs w:val="18"/>
              </w:rPr>
            </w:pPr>
            <w:r>
              <w:rPr>
                <w:rFonts w:ascii="Times New Roman"/>
                <w:sz w:val="18"/>
              </w:rPr>
              <w:t>15,994,463</w:t>
            </w:r>
          </w:p>
        </w:tc>
        <w:tc>
          <w:tcPr>
            <w:tcW w:w="1579" w:type="dxa"/>
            <w:gridSpan w:val="2"/>
            <w:tcBorders>
              <w:top w:val="nil" w:sz="6" w:space="0" w:color="auto"/>
              <w:left w:val="nil" w:sz="6" w:space="0" w:color="auto"/>
              <w:bottom w:val="single" w:sz="8" w:space="0" w:color="000000"/>
              <w:right w:val="nil" w:sz="6" w:space="0" w:color="auto"/>
            </w:tcBorders>
          </w:tcPr>
          <w:p>
            <w:pPr>
              <w:pStyle w:val="TableParagraph"/>
              <w:spacing w:line="240" w:lineRule="auto" w:before="91"/>
              <w:ind w:left="697" w:right="0"/>
              <w:jc w:val="left"/>
              <w:rPr>
                <w:rFonts w:ascii="Times New Roman" w:hAnsi="Times New Roman" w:cs="Times New Roman" w:eastAsia="Times New Roman" w:hint="default"/>
                <w:sz w:val="18"/>
                <w:szCs w:val="18"/>
              </w:rPr>
            </w:pPr>
            <w:r>
              <w:rPr>
                <w:rFonts w:ascii="Times New Roman"/>
                <w:sz w:val="18"/>
              </w:rPr>
              <w:t>5,593,162</w:t>
            </w:r>
          </w:p>
        </w:tc>
        <w:tc>
          <w:tcPr>
            <w:tcW w:w="1594" w:type="dxa"/>
            <w:gridSpan w:val="2"/>
            <w:tcBorders>
              <w:top w:val="nil" w:sz="6" w:space="0" w:color="auto"/>
              <w:left w:val="nil" w:sz="6" w:space="0" w:color="auto"/>
              <w:bottom w:val="single" w:sz="8" w:space="0" w:color="000000"/>
              <w:right w:val="nil" w:sz="6" w:space="0" w:color="auto"/>
            </w:tcBorders>
          </w:tcPr>
          <w:p>
            <w:pPr/>
          </w:p>
        </w:tc>
        <w:tc>
          <w:tcPr>
            <w:tcW w:w="1628" w:type="dxa"/>
            <w:gridSpan w:val="2"/>
            <w:tcBorders>
              <w:top w:val="nil" w:sz="6" w:space="0" w:color="auto"/>
              <w:left w:val="nil" w:sz="6" w:space="0" w:color="auto"/>
              <w:bottom w:val="single" w:sz="8" w:space="0" w:color="000000"/>
              <w:right w:val="nil" w:sz="6" w:space="0" w:color="auto"/>
            </w:tcBorders>
          </w:tcPr>
          <w:p>
            <w:pPr/>
          </w:p>
        </w:tc>
      </w:tr>
    </w:tbl>
    <w:p>
      <w:pPr>
        <w:spacing w:after="0"/>
        <w:sectPr>
          <w:pgSz w:w="11900" w:h="16840"/>
          <w:pgMar w:header="883" w:footer="1003" w:top="1540" w:bottom="1200" w:left="1480" w:right="1100"/>
        </w:sectPr>
      </w:pPr>
    </w:p>
    <w:p>
      <w:pPr>
        <w:spacing w:line="240" w:lineRule="auto" w:before="10"/>
        <w:rPr>
          <w:rFonts w:ascii="宋体" w:hAnsi="宋体" w:cs="宋体" w:eastAsia="宋体" w:hint="default"/>
          <w:sz w:val="8"/>
          <w:szCs w:val="8"/>
        </w:rPr>
      </w:pPr>
    </w:p>
    <w:p>
      <w:pPr>
        <w:spacing w:before="35"/>
        <w:ind w:left="857" w:right="151" w:firstLine="0"/>
        <w:jc w:val="left"/>
        <w:rPr>
          <w:rFonts w:ascii="宋体" w:hAnsi="宋体" w:cs="宋体" w:eastAsia="宋体" w:hint="default"/>
          <w:sz w:val="21"/>
          <w:szCs w:val="21"/>
        </w:rPr>
      </w:pPr>
      <w:r>
        <w:rPr/>
        <w:pict>
          <v:group style="position:absolute;margin-left:111.360023pt;margin-top:17.133995pt;width:423.3pt;height:164.55pt;mso-position-horizontal-relative:page;mso-position-vertical-relative:paragraph;z-index:-975136" coordorigin="2227,343" coordsize="8466,3291">
            <v:group style="position:absolute;left:2237;top:352;width:1113;height:2" coordorigin="2237,352" coordsize="1113,2">
              <v:shape style="position:absolute;left:2237;top:352;width:1113;height:2" coordorigin="2237,352" coordsize="1113,0" path="m2237,352l3349,352e" filled="false" stroked="true" strokeweight=".95996pt" strokecolor="#000000">
                <v:path arrowok="t"/>
              </v:shape>
            </v:group>
            <v:group style="position:absolute;left:3349;top:352;width:3684;height:2" coordorigin="3349,352" coordsize="3684,2">
              <v:shape style="position:absolute;left:3349;top:352;width:3684;height:2" coordorigin="3349,352" coordsize="3684,0" path="m3349,352l7033,352e" filled="false" stroked="true" strokeweight=".95996pt" strokecolor="#000000">
                <v:path arrowok="t"/>
              </v:shape>
            </v:group>
            <v:group style="position:absolute;left:7033;top:352;width:3651;height:2" coordorigin="7033,352" coordsize="3651,2">
              <v:shape style="position:absolute;left:7033;top:352;width:3651;height:2" coordorigin="7033,352" coordsize="3651,0" path="m7033,352l10684,352e" filled="false" stroked="true" strokeweight=".95996pt" strokecolor="#000000">
                <v:path arrowok="t"/>
              </v:shape>
              <v:shape style="position:absolute;left:2230;top:362;width:8461;height:3271" type="#_x0000_t75" stroked="false">
                <v:imagedata r:id="rId168" o:title=""/>
              </v:shape>
            </v:group>
            <w10:wrap type="none"/>
          </v:group>
        </w:pict>
      </w:r>
      <w:r>
        <w:rPr>
          <w:rFonts w:ascii="宋体" w:hAnsi="宋体" w:cs="宋体" w:eastAsia="宋体" w:hint="default"/>
          <w:sz w:val="21"/>
          <w:szCs w:val="21"/>
        </w:rPr>
        <w:t>单项金额不重大但按信用风险特征组合后该组合的风险较大的其他应收款：</w:t>
      </w:r>
    </w:p>
    <w:p>
      <w:pPr>
        <w:spacing w:line="240" w:lineRule="auto" w:before="1"/>
        <w:rPr>
          <w:rFonts w:ascii="宋体" w:hAnsi="宋体" w:cs="宋体" w:eastAsia="宋体" w:hint="default"/>
          <w:sz w:val="11"/>
          <w:szCs w:val="11"/>
        </w:rPr>
      </w:pPr>
    </w:p>
    <w:tbl>
      <w:tblPr>
        <w:tblW w:w="0" w:type="auto"/>
        <w:jc w:val="left"/>
        <w:tblInd w:w="735" w:type="dxa"/>
        <w:tblLayout w:type="fixed"/>
        <w:tblCellMar>
          <w:top w:w="0" w:type="dxa"/>
          <w:left w:w="0" w:type="dxa"/>
          <w:bottom w:w="0" w:type="dxa"/>
          <w:right w:w="0" w:type="dxa"/>
        </w:tblCellMar>
        <w:tblLook w:val="01E0"/>
      </w:tblPr>
      <w:tblGrid>
        <w:gridCol w:w="1245"/>
        <w:gridCol w:w="1198"/>
        <w:gridCol w:w="1147"/>
        <w:gridCol w:w="1391"/>
        <w:gridCol w:w="2398"/>
        <w:gridCol w:w="1097"/>
      </w:tblGrid>
      <w:tr>
        <w:trPr>
          <w:trHeight w:val="699" w:hRule="exact"/>
        </w:trPr>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18"/>
              <w:jc w:val="right"/>
              <w:rPr>
                <w:rFonts w:ascii="宋体" w:hAnsi="宋体" w:cs="宋体" w:eastAsia="宋体" w:hint="default"/>
                <w:sz w:val="18"/>
                <w:szCs w:val="18"/>
              </w:rPr>
            </w:pPr>
            <w:r>
              <w:rPr>
                <w:rFonts w:ascii="宋体" w:hAnsi="宋体" w:cs="宋体" w:eastAsia="宋体" w:hint="default"/>
                <w:sz w:val="18"/>
                <w:szCs w:val="18"/>
              </w:rPr>
              <w:t>账    龄 </w:t>
            </w:r>
          </w:p>
        </w:tc>
        <w:tc>
          <w:tcPr>
            <w:tcW w:w="234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1375" w:right="0"/>
              <w:jc w:val="left"/>
              <w:rPr>
                <w:rFonts w:ascii="宋体" w:hAnsi="宋体" w:cs="宋体" w:eastAsia="宋体" w:hint="default"/>
                <w:sz w:val="18"/>
                <w:szCs w:val="18"/>
              </w:rPr>
            </w:pPr>
            <w:r>
              <w:rPr>
                <w:rFonts w:ascii="宋体" w:hAnsi="宋体" w:cs="宋体" w:eastAsia="宋体" w:hint="default"/>
                <w:sz w:val="18"/>
                <w:szCs w:val="18"/>
              </w:rPr>
              <w:t>期末金额</w:t>
            </w: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709"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1391" w:type="dxa"/>
            <w:tcBorders>
              <w:top w:val="nil" w:sz="6" w:space="0" w:color="auto"/>
              <w:left w:val="nil" w:sz="6" w:space="0" w:color="auto"/>
              <w:bottom w:val="nil" w:sz="6" w:space="0" w:color="auto"/>
              <w:right w:val="nil" w:sz="6" w:space="0" w:color="auto"/>
            </w:tcBorders>
          </w:tcPr>
          <w:p>
            <w:pPr/>
          </w:p>
        </w:tc>
        <w:tc>
          <w:tcPr>
            <w:tcW w:w="23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08" w:right="0"/>
              <w:jc w:val="left"/>
              <w:rPr>
                <w:rFonts w:ascii="宋体" w:hAnsi="宋体" w:cs="宋体" w:eastAsia="宋体" w:hint="default"/>
                <w:sz w:val="18"/>
                <w:szCs w:val="18"/>
              </w:rPr>
            </w:pPr>
            <w:r>
              <w:rPr>
                <w:rFonts w:ascii="宋体" w:hAnsi="宋体" w:cs="宋体" w:eastAsia="宋体" w:hint="default"/>
                <w:sz w:val="18"/>
                <w:szCs w:val="18"/>
              </w:rPr>
              <w:t>期初金额</w:t>
            </w: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732"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1097" w:type="dxa"/>
            <w:tcBorders>
              <w:top w:val="nil" w:sz="6" w:space="0" w:color="auto"/>
              <w:left w:val="nil" w:sz="6" w:space="0" w:color="auto"/>
              <w:bottom w:val="nil" w:sz="6" w:space="0" w:color="auto"/>
              <w:right w:val="nil" w:sz="6" w:space="0" w:color="auto"/>
            </w:tcBorders>
          </w:tcPr>
          <w:p>
            <w:pPr/>
          </w:p>
        </w:tc>
      </w:tr>
      <w:tr>
        <w:trPr>
          <w:trHeight w:val="205" w:hRule="exact"/>
        </w:trPr>
        <w:tc>
          <w:tcPr>
            <w:tcW w:w="1245"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nil" w:sz="6" w:space="0" w:color="auto"/>
            </w:tcBorders>
          </w:tcPr>
          <w:p>
            <w:pPr/>
          </w:p>
        </w:tc>
        <w:tc>
          <w:tcPr>
            <w:tcW w:w="1147" w:type="dxa"/>
            <w:tcBorders>
              <w:top w:val="nil" w:sz="6" w:space="0" w:color="auto"/>
              <w:left w:val="nil" w:sz="6" w:space="0" w:color="auto"/>
              <w:bottom w:val="nil" w:sz="6" w:space="0" w:color="auto"/>
              <w:right w:val="nil" w:sz="6" w:space="0" w:color="auto"/>
            </w:tcBorders>
          </w:tcPr>
          <w:p>
            <w:pPr/>
          </w:p>
        </w:tc>
        <w:tc>
          <w:tcPr>
            <w:tcW w:w="1391" w:type="dxa"/>
            <w:tcBorders>
              <w:top w:val="nil" w:sz="6" w:space="0" w:color="auto"/>
              <w:left w:val="nil" w:sz="6" w:space="0" w:color="auto"/>
              <w:bottom w:val="nil" w:sz="6" w:space="0" w:color="auto"/>
              <w:right w:val="nil" w:sz="6" w:space="0" w:color="auto"/>
            </w:tcBorders>
          </w:tcPr>
          <w:p>
            <w:pPr>
              <w:pStyle w:val="TableParagraph"/>
              <w:spacing w:line="190" w:lineRule="exact"/>
              <w:ind w:left="20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398" w:type="dxa"/>
            <w:tcBorders>
              <w:top w:val="nil" w:sz="6" w:space="0" w:color="auto"/>
              <w:left w:val="nil" w:sz="6" w:space="0" w:color="auto"/>
              <w:bottom w:val="nil" w:sz="6" w:space="0" w:color="auto"/>
              <w:right w:val="nil" w:sz="6" w:space="0" w:color="auto"/>
            </w:tcBorders>
          </w:tcPr>
          <w:p>
            <w:pPr/>
          </w:p>
        </w:tc>
        <w:tc>
          <w:tcPr>
            <w:tcW w:w="1097" w:type="dxa"/>
            <w:tcBorders>
              <w:top w:val="nil" w:sz="6" w:space="0" w:color="auto"/>
              <w:left w:val="nil" w:sz="6" w:space="0" w:color="auto"/>
              <w:bottom w:val="nil" w:sz="6" w:space="0" w:color="auto"/>
              <w:right w:val="nil" w:sz="6" w:space="0" w:color="auto"/>
            </w:tcBorders>
          </w:tcPr>
          <w:p>
            <w:pPr>
              <w:pStyle w:val="TableParagraph"/>
              <w:spacing w:line="190" w:lineRule="exact"/>
              <w:ind w:left="161"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15" w:hRule="exact"/>
        </w:trPr>
        <w:tc>
          <w:tcPr>
            <w:tcW w:w="1245"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nil" w:sz="6" w:space="0" w:color="auto"/>
            </w:tcBorders>
          </w:tcPr>
          <w:p>
            <w:pPr>
              <w:pStyle w:val="TableParagraph"/>
              <w:spacing w:line="194" w:lineRule="exact"/>
              <w:ind w:left="241"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147" w:type="dxa"/>
            <w:tcBorders>
              <w:top w:val="nil" w:sz="6" w:space="0" w:color="auto"/>
              <w:left w:val="nil" w:sz="6" w:space="0" w:color="auto"/>
              <w:bottom w:val="nil" w:sz="6" w:space="0" w:color="auto"/>
              <w:right w:val="nil" w:sz="6" w:space="0" w:color="auto"/>
            </w:tcBorders>
          </w:tcPr>
          <w:p>
            <w:pPr>
              <w:pStyle w:val="TableParagraph"/>
              <w:spacing w:line="208" w:lineRule="exact"/>
              <w:ind w:left="17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391" w:type="dxa"/>
            <w:tcBorders>
              <w:top w:val="nil" w:sz="6" w:space="0" w:color="auto"/>
              <w:left w:val="nil" w:sz="6" w:space="0" w:color="auto"/>
              <w:bottom w:val="nil" w:sz="6" w:space="0" w:color="auto"/>
              <w:right w:val="nil" w:sz="6" w:space="0" w:color="auto"/>
            </w:tcBorders>
          </w:tcPr>
          <w:p>
            <w:pPr/>
          </w:p>
        </w:tc>
        <w:tc>
          <w:tcPr>
            <w:tcW w:w="2398" w:type="dxa"/>
            <w:tcBorders>
              <w:top w:val="nil" w:sz="6" w:space="0" w:color="auto"/>
              <w:left w:val="nil" w:sz="6" w:space="0" w:color="auto"/>
              <w:bottom w:val="nil" w:sz="6" w:space="0" w:color="auto"/>
              <w:right w:val="nil" w:sz="6" w:space="0" w:color="auto"/>
            </w:tcBorders>
          </w:tcPr>
          <w:p>
            <w:pPr>
              <w:pStyle w:val="TableParagraph"/>
              <w:tabs>
                <w:tab w:pos="1472" w:val="left" w:leader="none"/>
              </w:tabs>
              <w:spacing w:line="208" w:lineRule="exact"/>
              <w:ind w:left="26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金  额</w:t>
              <w:tab/>
              <w:t>比例</w:t>
            </w:r>
            <w:r>
              <w:rPr>
                <w:rFonts w:ascii="Times New Roman" w:hAnsi="Times New Roman" w:cs="Times New Roman" w:eastAsia="Times New Roman" w:hint="default"/>
                <w:sz w:val="18"/>
                <w:szCs w:val="18"/>
              </w:rPr>
              <w:t>(%)</w:t>
            </w:r>
          </w:p>
        </w:tc>
        <w:tc>
          <w:tcPr>
            <w:tcW w:w="1097" w:type="dxa"/>
            <w:tcBorders>
              <w:top w:val="nil" w:sz="6" w:space="0" w:color="auto"/>
              <w:left w:val="nil" w:sz="6" w:space="0" w:color="auto"/>
              <w:bottom w:val="nil" w:sz="6" w:space="0" w:color="auto"/>
              <w:right w:val="nil" w:sz="6" w:space="0" w:color="auto"/>
            </w:tcBorders>
          </w:tcPr>
          <w:p>
            <w:pPr/>
          </w:p>
        </w:tc>
      </w:tr>
      <w:tr>
        <w:trPr>
          <w:trHeight w:val="415" w:hRule="exact"/>
        </w:trPr>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73"/>
              <w:jc w:val="right"/>
              <w:rPr>
                <w:rFonts w:ascii="Times New Roman" w:hAnsi="Times New Roman" w:cs="Times New Roman" w:eastAsia="Times New Roman" w:hint="default"/>
                <w:sz w:val="18"/>
                <w:szCs w:val="18"/>
              </w:rPr>
            </w:pPr>
            <w:r>
              <w:rPr>
                <w:rFonts w:ascii="Times New Roman"/>
                <w:sz w:val="18"/>
              </w:rPr>
              <w:t>5,968,593</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05"/>
              <w:jc w:val="right"/>
              <w:rPr>
                <w:rFonts w:ascii="Times New Roman" w:hAnsi="Times New Roman" w:cs="Times New Roman" w:eastAsia="Times New Roman" w:hint="default"/>
                <w:sz w:val="18"/>
                <w:szCs w:val="18"/>
              </w:rPr>
            </w:pPr>
            <w:r>
              <w:rPr>
                <w:rFonts w:ascii="Times New Roman"/>
                <w:sz w:val="18"/>
              </w:rPr>
              <w:t>53.33</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64"/>
              <w:jc w:val="right"/>
              <w:rPr>
                <w:rFonts w:ascii="Times New Roman" w:hAnsi="Times New Roman" w:cs="Times New Roman" w:eastAsia="Times New Roman" w:hint="default"/>
                <w:sz w:val="18"/>
                <w:szCs w:val="18"/>
              </w:rPr>
            </w:pPr>
            <w:r>
              <w:rPr>
                <w:rFonts w:ascii="Times New Roman"/>
                <w:sz w:val="18"/>
              </w:rPr>
              <w:t>5,968,593</w:t>
            </w:r>
          </w:p>
        </w:tc>
        <w:tc>
          <w:tcPr>
            <w:tcW w:w="2398" w:type="dxa"/>
            <w:tcBorders>
              <w:top w:val="nil" w:sz="6" w:space="0" w:color="auto"/>
              <w:left w:val="nil" w:sz="6" w:space="0" w:color="auto"/>
              <w:bottom w:val="nil" w:sz="6" w:space="0" w:color="auto"/>
              <w:right w:val="nil" w:sz="6" w:space="0" w:color="auto"/>
            </w:tcBorders>
          </w:tcPr>
          <w:p>
            <w:pPr>
              <w:pStyle w:val="TableParagraph"/>
              <w:tabs>
                <w:tab w:pos="1428" w:val="left" w:leader="none"/>
              </w:tabs>
              <w:spacing w:line="240" w:lineRule="auto" w:before="106"/>
              <w:ind w:right="159"/>
              <w:jc w:val="right"/>
              <w:rPr>
                <w:rFonts w:ascii="Times New Roman" w:hAnsi="Times New Roman" w:cs="Times New Roman" w:eastAsia="Times New Roman" w:hint="default"/>
                <w:sz w:val="18"/>
                <w:szCs w:val="18"/>
              </w:rPr>
            </w:pPr>
            <w:r>
              <w:rPr>
                <w:rFonts w:ascii="Times New Roman"/>
                <w:sz w:val="18"/>
              </w:rPr>
              <w:t>3,656,553</w:t>
              <w:tab/>
              <w:t>55.09</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6"/>
              <w:jc w:val="right"/>
              <w:rPr>
                <w:rFonts w:ascii="Times New Roman" w:hAnsi="Times New Roman" w:cs="Times New Roman" w:eastAsia="Times New Roman" w:hint="default"/>
                <w:sz w:val="18"/>
                <w:szCs w:val="18"/>
              </w:rPr>
            </w:pPr>
            <w:r>
              <w:rPr>
                <w:rFonts w:ascii="Times New Roman"/>
                <w:sz w:val="18"/>
              </w:rPr>
              <w:t>3,656,553</w:t>
            </w:r>
          </w:p>
        </w:tc>
      </w:tr>
      <w:tr>
        <w:trPr>
          <w:trHeight w:val="410" w:hRule="exact"/>
        </w:trPr>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73"/>
              <w:jc w:val="right"/>
              <w:rPr>
                <w:rFonts w:ascii="Times New Roman" w:hAnsi="Times New Roman" w:cs="Times New Roman" w:eastAsia="Times New Roman" w:hint="default"/>
                <w:sz w:val="18"/>
                <w:szCs w:val="18"/>
              </w:rPr>
            </w:pPr>
            <w:r>
              <w:rPr>
                <w:rFonts w:ascii="Times New Roman"/>
                <w:sz w:val="18"/>
              </w:rPr>
              <w:t>1,359,195</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5"/>
              <w:jc w:val="right"/>
              <w:rPr>
                <w:rFonts w:ascii="Times New Roman" w:hAnsi="Times New Roman" w:cs="Times New Roman" w:eastAsia="Times New Roman" w:hint="default"/>
                <w:sz w:val="18"/>
                <w:szCs w:val="18"/>
              </w:rPr>
            </w:pPr>
            <w:r>
              <w:rPr>
                <w:rFonts w:ascii="Times New Roman"/>
                <w:sz w:val="18"/>
              </w:rPr>
              <w:t>12.14</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4"/>
              <w:jc w:val="right"/>
              <w:rPr>
                <w:rFonts w:ascii="Times New Roman" w:hAnsi="Times New Roman" w:cs="Times New Roman" w:eastAsia="Times New Roman" w:hint="default"/>
                <w:sz w:val="18"/>
                <w:szCs w:val="18"/>
              </w:rPr>
            </w:pPr>
            <w:r>
              <w:rPr>
                <w:rFonts w:ascii="Times New Roman"/>
                <w:sz w:val="18"/>
              </w:rPr>
              <w:t>1,359,195</w:t>
            </w:r>
          </w:p>
        </w:tc>
        <w:tc>
          <w:tcPr>
            <w:tcW w:w="2398" w:type="dxa"/>
            <w:tcBorders>
              <w:top w:val="nil" w:sz="6" w:space="0" w:color="auto"/>
              <w:left w:val="nil" w:sz="6" w:space="0" w:color="auto"/>
              <w:bottom w:val="nil" w:sz="6" w:space="0" w:color="auto"/>
              <w:right w:val="nil" w:sz="6" w:space="0" w:color="auto"/>
            </w:tcBorders>
          </w:tcPr>
          <w:p>
            <w:pPr>
              <w:pStyle w:val="TableParagraph"/>
              <w:tabs>
                <w:tab w:pos="1428" w:val="left" w:leader="none"/>
              </w:tabs>
              <w:spacing w:line="240" w:lineRule="auto" w:before="101"/>
              <w:ind w:right="159"/>
              <w:jc w:val="right"/>
              <w:rPr>
                <w:rFonts w:ascii="Times New Roman" w:hAnsi="Times New Roman" w:cs="Times New Roman" w:eastAsia="Times New Roman" w:hint="default"/>
                <w:sz w:val="18"/>
                <w:szCs w:val="18"/>
              </w:rPr>
            </w:pPr>
            <w:r>
              <w:rPr>
                <w:rFonts w:ascii="Times New Roman"/>
                <w:sz w:val="18"/>
              </w:rPr>
              <w:t>1,997,577</w:t>
              <w:tab/>
              <w:t>30.09</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1,997,577</w:t>
            </w:r>
          </w:p>
        </w:tc>
      </w:tr>
      <w:tr>
        <w:trPr>
          <w:trHeight w:val="410" w:hRule="exact"/>
        </w:trPr>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73"/>
              <w:jc w:val="right"/>
              <w:rPr>
                <w:rFonts w:ascii="Times New Roman" w:hAnsi="Times New Roman" w:cs="Times New Roman" w:eastAsia="Times New Roman" w:hint="default"/>
                <w:sz w:val="18"/>
                <w:szCs w:val="18"/>
              </w:rPr>
            </w:pPr>
            <w:r>
              <w:rPr>
                <w:rFonts w:ascii="Times New Roman"/>
                <w:sz w:val="18"/>
              </w:rPr>
              <w:t>1,975,484</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5"/>
              <w:jc w:val="right"/>
              <w:rPr>
                <w:rFonts w:ascii="Times New Roman" w:hAnsi="Times New Roman" w:cs="Times New Roman" w:eastAsia="Times New Roman" w:hint="default"/>
                <w:sz w:val="18"/>
                <w:szCs w:val="18"/>
              </w:rPr>
            </w:pPr>
            <w:r>
              <w:rPr>
                <w:rFonts w:ascii="Times New Roman"/>
                <w:sz w:val="18"/>
              </w:rPr>
              <w:t>17.65</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3"/>
              <w:jc w:val="right"/>
              <w:rPr>
                <w:rFonts w:ascii="Times New Roman" w:hAnsi="Times New Roman" w:cs="Times New Roman" w:eastAsia="Times New Roman" w:hint="default"/>
                <w:sz w:val="18"/>
                <w:szCs w:val="18"/>
              </w:rPr>
            </w:pPr>
            <w:r>
              <w:rPr>
                <w:rFonts w:ascii="Times New Roman"/>
                <w:sz w:val="18"/>
              </w:rPr>
              <w:t>1,975,484</w:t>
            </w:r>
          </w:p>
        </w:tc>
        <w:tc>
          <w:tcPr>
            <w:tcW w:w="2398" w:type="dxa"/>
            <w:tcBorders>
              <w:top w:val="nil" w:sz="6" w:space="0" w:color="auto"/>
              <w:left w:val="nil" w:sz="6" w:space="0" w:color="auto"/>
              <w:bottom w:val="nil" w:sz="6" w:space="0" w:color="auto"/>
              <w:right w:val="nil" w:sz="6" w:space="0" w:color="auto"/>
            </w:tcBorders>
          </w:tcPr>
          <w:p>
            <w:pPr>
              <w:pStyle w:val="TableParagraph"/>
              <w:tabs>
                <w:tab w:pos="1293" w:val="left" w:leader="none"/>
              </w:tabs>
              <w:spacing w:line="240" w:lineRule="auto" w:before="101"/>
              <w:ind w:right="159"/>
              <w:jc w:val="right"/>
              <w:rPr>
                <w:rFonts w:ascii="Times New Roman" w:hAnsi="Times New Roman" w:cs="Times New Roman" w:eastAsia="Times New Roman" w:hint="default"/>
                <w:sz w:val="18"/>
                <w:szCs w:val="18"/>
              </w:rPr>
            </w:pPr>
            <w:r>
              <w:rPr>
                <w:rFonts w:ascii="Times New Roman"/>
                <w:sz w:val="18"/>
              </w:rPr>
              <w:t>983,992</w:t>
              <w:tab/>
              <w:t>14.82</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983,992</w:t>
            </w:r>
          </w:p>
        </w:tc>
      </w:tr>
      <w:tr>
        <w:trPr>
          <w:trHeight w:val="410" w:hRule="exact"/>
        </w:trPr>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73"/>
              <w:jc w:val="right"/>
              <w:rPr>
                <w:rFonts w:ascii="Times New Roman" w:hAnsi="Times New Roman" w:cs="Times New Roman" w:eastAsia="Times New Roman" w:hint="default"/>
                <w:sz w:val="18"/>
                <w:szCs w:val="18"/>
              </w:rPr>
            </w:pPr>
            <w:r>
              <w:rPr>
                <w:rFonts w:ascii="Times New Roman"/>
                <w:sz w:val="18"/>
              </w:rPr>
              <w:t>1,889,419</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5"/>
              <w:jc w:val="right"/>
              <w:rPr>
                <w:rFonts w:ascii="Times New Roman" w:hAnsi="Times New Roman" w:cs="Times New Roman" w:eastAsia="Times New Roman" w:hint="default"/>
                <w:sz w:val="18"/>
                <w:szCs w:val="18"/>
              </w:rPr>
            </w:pPr>
            <w:r>
              <w:rPr>
                <w:rFonts w:ascii="Times New Roman"/>
                <w:sz w:val="18"/>
              </w:rPr>
              <w:t>16.88</w:t>
            </w:r>
          </w:p>
        </w:tc>
        <w:tc>
          <w:tcPr>
            <w:tcW w:w="139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4"/>
              <w:jc w:val="right"/>
              <w:rPr>
                <w:rFonts w:ascii="Times New Roman" w:hAnsi="Times New Roman" w:cs="Times New Roman" w:eastAsia="Times New Roman" w:hint="default"/>
                <w:sz w:val="18"/>
                <w:szCs w:val="18"/>
              </w:rPr>
            </w:pPr>
            <w:r>
              <w:rPr>
                <w:rFonts w:ascii="Times New Roman"/>
                <w:sz w:val="18"/>
              </w:rPr>
              <w:t>1,889,419</w:t>
            </w:r>
          </w:p>
        </w:tc>
        <w:tc>
          <w:tcPr>
            <w:tcW w:w="2398" w:type="dxa"/>
            <w:tcBorders>
              <w:top w:val="nil" w:sz="6" w:space="0" w:color="auto"/>
              <w:left w:val="nil" w:sz="6" w:space="0" w:color="auto"/>
              <w:bottom w:val="nil" w:sz="6" w:space="0" w:color="auto"/>
              <w:right w:val="nil" w:sz="6" w:space="0" w:color="auto"/>
            </w:tcBorders>
          </w:tcPr>
          <w:p>
            <w:pPr/>
          </w:p>
        </w:tc>
        <w:tc>
          <w:tcPr>
            <w:tcW w:w="1097" w:type="dxa"/>
            <w:tcBorders>
              <w:top w:val="nil" w:sz="6" w:space="0" w:color="auto"/>
              <w:left w:val="nil" w:sz="6" w:space="0" w:color="auto"/>
              <w:bottom w:val="nil" w:sz="6" w:space="0" w:color="auto"/>
              <w:right w:val="nil" w:sz="6" w:space="0" w:color="auto"/>
            </w:tcBorders>
          </w:tcPr>
          <w:p>
            <w:pPr/>
          </w:p>
        </w:tc>
      </w:tr>
      <w:tr>
        <w:trPr>
          <w:trHeight w:val="324" w:hRule="exact"/>
        </w:trPr>
        <w:tc>
          <w:tcPr>
            <w:tcW w:w="1245" w:type="dxa"/>
            <w:tcBorders>
              <w:top w:val="nil" w:sz="6" w:space="0" w:color="auto"/>
              <w:left w:val="nil" w:sz="6" w:space="0" w:color="auto"/>
              <w:bottom w:val="single" w:sz="8" w:space="0" w:color="000000"/>
              <w:right w:val="nil" w:sz="6" w:space="0" w:color="auto"/>
            </w:tcBorders>
          </w:tcPr>
          <w:p>
            <w:pPr>
              <w:pStyle w:val="TableParagraph"/>
              <w:spacing w:line="240" w:lineRule="auto" w:before="50"/>
              <w:ind w:right="218"/>
              <w:jc w:val="right"/>
              <w:rPr>
                <w:rFonts w:ascii="宋体" w:hAnsi="宋体" w:cs="宋体" w:eastAsia="宋体" w:hint="default"/>
                <w:sz w:val="18"/>
                <w:szCs w:val="18"/>
              </w:rPr>
            </w:pPr>
            <w:r>
              <w:rPr>
                <w:rFonts w:ascii="宋体" w:hAnsi="宋体" w:cs="宋体" w:eastAsia="宋体" w:hint="default"/>
                <w:sz w:val="18"/>
                <w:szCs w:val="18"/>
              </w:rPr>
              <w:t>合    计 </w:t>
            </w:r>
          </w:p>
        </w:tc>
        <w:tc>
          <w:tcPr>
            <w:tcW w:w="1198"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73"/>
              <w:jc w:val="right"/>
              <w:rPr>
                <w:rFonts w:ascii="Times New Roman" w:hAnsi="Times New Roman" w:cs="Times New Roman" w:eastAsia="Times New Roman" w:hint="default"/>
                <w:sz w:val="18"/>
                <w:szCs w:val="18"/>
              </w:rPr>
            </w:pPr>
            <w:r>
              <w:rPr>
                <w:rFonts w:ascii="Times New Roman"/>
                <w:spacing w:val="-1"/>
                <w:sz w:val="18"/>
              </w:rPr>
              <w:t>11,192,691</w:t>
            </w:r>
          </w:p>
        </w:tc>
        <w:tc>
          <w:tcPr>
            <w:tcW w:w="1147"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205"/>
              <w:jc w:val="right"/>
              <w:rPr>
                <w:rFonts w:ascii="Times New Roman" w:hAnsi="Times New Roman" w:cs="Times New Roman" w:eastAsia="Times New Roman" w:hint="default"/>
                <w:sz w:val="18"/>
                <w:szCs w:val="18"/>
              </w:rPr>
            </w:pPr>
            <w:r>
              <w:rPr>
                <w:rFonts w:ascii="Times New Roman"/>
                <w:sz w:val="18"/>
              </w:rPr>
              <w:t>100.00</w:t>
            </w:r>
          </w:p>
        </w:tc>
        <w:tc>
          <w:tcPr>
            <w:tcW w:w="1391"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263"/>
              <w:jc w:val="right"/>
              <w:rPr>
                <w:rFonts w:ascii="Times New Roman" w:hAnsi="Times New Roman" w:cs="Times New Roman" w:eastAsia="Times New Roman" w:hint="default"/>
                <w:sz w:val="18"/>
                <w:szCs w:val="18"/>
              </w:rPr>
            </w:pPr>
            <w:r>
              <w:rPr>
                <w:rFonts w:ascii="Times New Roman"/>
                <w:spacing w:val="-1"/>
                <w:sz w:val="18"/>
              </w:rPr>
              <w:t>11,192,691</w:t>
            </w:r>
          </w:p>
        </w:tc>
        <w:tc>
          <w:tcPr>
            <w:tcW w:w="2398" w:type="dxa"/>
            <w:tcBorders>
              <w:top w:val="nil" w:sz="6" w:space="0" w:color="auto"/>
              <w:left w:val="nil" w:sz="6" w:space="0" w:color="auto"/>
              <w:bottom w:val="single" w:sz="8" w:space="0" w:color="000000"/>
              <w:right w:val="nil" w:sz="6" w:space="0" w:color="auto"/>
            </w:tcBorders>
          </w:tcPr>
          <w:p>
            <w:pPr>
              <w:pStyle w:val="TableParagraph"/>
              <w:tabs>
                <w:tab w:pos="1338" w:val="left" w:leader="none"/>
              </w:tabs>
              <w:spacing w:line="240" w:lineRule="auto" w:before="101"/>
              <w:ind w:right="159"/>
              <w:jc w:val="right"/>
              <w:rPr>
                <w:rFonts w:ascii="Times New Roman" w:hAnsi="Times New Roman" w:cs="Times New Roman" w:eastAsia="Times New Roman" w:hint="default"/>
                <w:sz w:val="18"/>
                <w:szCs w:val="18"/>
              </w:rPr>
            </w:pPr>
            <w:r>
              <w:rPr>
                <w:rFonts w:ascii="Times New Roman"/>
                <w:sz w:val="18"/>
              </w:rPr>
              <w:t>6,638,122</w:t>
              <w:tab/>
              <w:t>100.00</w:t>
            </w:r>
          </w:p>
        </w:tc>
        <w:tc>
          <w:tcPr>
            <w:tcW w:w="1097"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6,638,122</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1413" w:val="left" w:leader="none"/>
        </w:tabs>
        <w:spacing w:before="35"/>
        <w:ind w:left="857" w:right="15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本报告期无实际核销的其他应收款情况；</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413" w:val="left" w:leader="none"/>
        </w:tabs>
        <w:spacing w:before="0"/>
        <w:ind w:left="857" w:right="15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sz w:val="21"/>
          <w:szCs w:val="21"/>
        </w:rPr>
        <w:t>、</w:t>
        <w:tab/>
        <w:t>期末其他应收款中无持本公司</w:t>
      </w:r>
      <w:r>
        <w:rPr>
          <w:rFonts w:ascii="宋体" w:hAnsi="宋体" w:cs="宋体" w:eastAsia="宋体" w:hint="default"/>
          <w:spacing w:val="-43"/>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％以上（含</w:t>
      </w:r>
      <w:r>
        <w:rPr>
          <w:rFonts w:ascii="宋体" w:hAnsi="宋体" w:cs="宋体" w:eastAsia="宋体" w:hint="default"/>
          <w:spacing w:val="-43"/>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％）表决权股份的股东单位欠款；</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413" w:val="left" w:leader="none"/>
        </w:tabs>
        <w:spacing w:before="0"/>
        <w:ind w:left="857" w:right="151" w:firstLine="0"/>
        <w:jc w:val="left"/>
        <w:rPr>
          <w:rFonts w:ascii="宋体" w:hAnsi="宋体" w:cs="宋体" w:eastAsia="宋体" w:hint="default"/>
          <w:sz w:val="21"/>
          <w:szCs w:val="21"/>
        </w:rPr>
      </w:pPr>
      <w:r>
        <w:rPr/>
        <w:pict>
          <v:group style="position:absolute;margin-left:111.000008pt;margin-top:15.323346pt;width:422.55pt;height:144.1pt;mso-position-horizontal-relative:page;mso-position-vertical-relative:paragraph;z-index:-975112" coordorigin="2220,306" coordsize="8451,2882">
            <v:group style="position:absolute;left:2230;top:316;width:1191;height:2" coordorigin="2230,316" coordsize="1191,2">
              <v:shape style="position:absolute;left:2230;top:316;width:1191;height:2" coordorigin="2230,316" coordsize="1191,0" path="m2230,316l3420,316e" filled="false" stroked="true" strokeweight=".95999pt" strokecolor="#000000">
                <v:path arrowok="t"/>
              </v:shape>
            </v:group>
            <v:group style="position:absolute;left:3420;top:316;width:1296;height:2" coordorigin="3420,316" coordsize="1296,2">
              <v:shape style="position:absolute;left:3420;top:316;width:1296;height:2" coordorigin="3420,316" coordsize="1296,0" path="m3420,316l4716,316e" filled="false" stroked="true" strokeweight=".95999pt" strokecolor="#000000">
                <v:path arrowok="t"/>
              </v:shape>
            </v:group>
            <v:group style="position:absolute;left:4716;top:316;width:1479;height:2" coordorigin="4716,316" coordsize="1479,2">
              <v:shape style="position:absolute;left:4716;top:316;width:1479;height:2" coordorigin="4716,316" coordsize="1479,0" path="m4716,316l6194,316e" filled="false" stroked="true" strokeweight=".95999pt" strokecolor="#000000">
                <v:path arrowok="t"/>
              </v:shape>
            </v:group>
            <v:group style="position:absolute;left:6194;top:316;width:1028;height:2" coordorigin="6194,316" coordsize="1028,2">
              <v:shape style="position:absolute;left:6194;top:316;width:1028;height:2" coordorigin="6194,316" coordsize="1028,0" path="m6194,316l7222,316e" filled="false" stroked="true" strokeweight=".95999pt" strokecolor="#000000">
                <v:path arrowok="t"/>
              </v:shape>
            </v:group>
            <v:group style="position:absolute;left:7222;top:316;width:953;height:2" coordorigin="7222,316" coordsize="953,2">
              <v:shape style="position:absolute;left:7222;top:316;width:953;height:2" coordorigin="7222,316" coordsize="953,0" path="m7222,316l8174,316e" filled="false" stroked="true" strokeweight=".95999pt" strokecolor="#000000">
                <v:path arrowok="t"/>
              </v:shape>
            </v:group>
            <v:group style="position:absolute;left:8174;top:316;width:2483;height:2" coordorigin="8174,316" coordsize="2483,2">
              <v:shape style="position:absolute;left:8174;top:316;width:2483;height:2" coordorigin="8174,316" coordsize="2483,0" path="m8174,316l10657,316e" filled="false" stroked="true" strokeweight=".95999pt" strokecolor="#000000">
                <v:path arrowok="t"/>
              </v:shape>
              <v:shape style="position:absolute;left:2230;top:326;width:8441;height:2862" type="#_x0000_t75" stroked="false">
                <v:imagedata r:id="rId169" o:title=""/>
              </v:shape>
            </v:group>
            <w10:wrap type="none"/>
          </v:group>
        </w:pict>
      </w:r>
      <w:r>
        <w:rPr>
          <w:rFonts w:ascii="Times New Roman" w:hAnsi="Times New Roman" w:cs="Times New Roman" w:eastAsia="Times New Roman" w:hint="default"/>
          <w:b/>
          <w:bCs/>
          <w:sz w:val="21"/>
          <w:szCs w:val="21"/>
        </w:rPr>
        <w:t>5</w:t>
      </w:r>
      <w:r>
        <w:rPr>
          <w:rFonts w:ascii="宋体" w:hAnsi="宋体" w:cs="宋体" w:eastAsia="宋体" w:hint="default"/>
          <w:sz w:val="21"/>
          <w:szCs w:val="21"/>
        </w:rPr>
        <w:t>、</w:t>
        <w:tab/>
        <w:t>其他应收款金额前五名单位情况</w:t>
      </w:r>
    </w:p>
    <w:p>
      <w:pPr>
        <w:spacing w:line="240" w:lineRule="auto" w:before="11"/>
        <w:rPr>
          <w:rFonts w:ascii="宋体" w:hAnsi="宋体" w:cs="宋体" w:eastAsia="宋体" w:hint="default"/>
          <w:sz w:val="9"/>
          <w:szCs w:val="9"/>
        </w:rPr>
      </w:pPr>
    </w:p>
    <w:tbl>
      <w:tblPr>
        <w:tblW w:w="0" w:type="auto"/>
        <w:jc w:val="left"/>
        <w:tblInd w:w="735" w:type="dxa"/>
        <w:tblLayout w:type="fixed"/>
        <w:tblCellMar>
          <w:top w:w="0" w:type="dxa"/>
          <w:left w:w="0" w:type="dxa"/>
          <w:bottom w:w="0" w:type="dxa"/>
          <w:right w:w="0" w:type="dxa"/>
        </w:tblCellMar>
        <w:tblLook w:val="01E0"/>
      </w:tblPr>
      <w:tblGrid>
        <w:gridCol w:w="1190"/>
        <w:gridCol w:w="1316"/>
        <w:gridCol w:w="1477"/>
        <w:gridCol w:w="1060"/>
        <w:gridCol w:w="926"/>
        <w:gridCol w:w="2480"/>
      </w:tblGrid>
      <w:tr>
        <w:trPr>
          <w:trHeight w:val="814" w:hRule="exact"/>
        </w:trPr>
        <w:tc>
          <w:tcPr>
            <w:tcW w:w="1190"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125" w:firstLine="39"/>
              <w:jc w:val="left"/>
              <w:rPr>
                <w:rFonts w:ascii="宋体" w:hAnsi="宋体" w:cs="宋体" w:eastAsia="宋体" w:hint="default"/>
                <w:sz w:val="18"/>
                <w:szCs w:val="18"/>
              </w:rPr>
            </w:pPr>
            <w:r>
              <w:rPr>
                <w:rFonts w:ascii="宋体" w:hAnsi="宋体" w:cs="宋体" w:eastAsia="宋体" w:hint="default"/>
                <w:sz w:val="18"/>
                <w:szCs w:val="18"/>
              </w:rPr>
              <w:t>债务人排名 第一名</w:t>
            </w:r>
          </w:p>
        </w:tc>
        <w:tc>
          <w:tcPr>
            <w:tcW w:w="1316"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7" w:right="107"/>
              <w:jc w:val="left"/>
              <w:rPr>
                <w:rFonts w:ascii="宋体" w:hAnsi="宋体" w:cs="宋体" w:eastAsia="宋体" w:hint="default"/>
                <w:sz w:val="18"/>
                <w:szCs w:val="18"/>
              </w:rPr>
            </w:pPr>
            <w:r>
              <w:rPr>
                <w:rFonts w:ascii="宋体" w:hAnsi="宋体" w:cs="宋体" w:eastAsia="宋体" w:hint="default"/>
                <w:sz w:val="18"/>
                <w:szCs w:val="18"/>
              </w:rPr>
              <w:t>与本公司关系 非关联方</w:t>
            </w:r>
          </w:p>
        </w:tc>
        <w:tc>
          <w:tcPr>
            <w:tcW w:w="1477"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07" w:right="287" w:firstLine="181"/>
              <w:jc w:val="left"/>
              <w:rPr>
                <w:rFonts w:ascii="宋体" w:hAnsi="宋体" w:cs="宋体" w:eastAsia="宋体" w:hint="default"/>
                <w:sz w:val="18"/>
                <w:szCs w:val="18"/>
              </w:rPr>
            </w:pPr>
            <w:r>
              <w:rPr>
                <w:rFonts w:ascii="宋体" w:hAnsi="宋体" w:cs="宋体" w:eastAsia="宋体" w:hint="default"/>
                <w:sz w:val="18"/>
                <w:szCs w:val="18"/>
              </w:rPr>
              <w:t>性质或内容 工程款</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8"/>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27"/>
              <w:jc w:val="center"/>
              <w:rPr>
                <w:rFonts w:ascii="Times New Roman" w:hAnsi="Times New Roman" w:cs="Times New Roman" w:eastAsia="Times New Roman" w:hint="default"/>
                <w:sz w:val="18"/>
                <w:szCs w:val="18"/>
              </w:rPr>
            </w:pPr>
            <w:r>
              <w:rPr>
                <w:rFonts w:ascii="Times New Roman"/>
                <w:sz w:val="18"/>
              </w:rPr>
              <w:t>10,399,109</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4"/>
              <w:jc w:val="center"/>
              <w:rPr>
                <w:rFonts w:ascii="宋体" w:hAnsi="宋体" w:cs="宋体" w:eastAsia="宋体" w:hint="default"/>
                <w:sz w:val="18"/>
                <w:szCs w:val="18"/>
              </w:rPr>
            </w:pPr>
            <w:r>
              <w:rPr>
                <w:rFonts w:ascii="宋体" w:hAnsi="宋体" w:cs="宋体" w:eastAsia="宋体" w:hint="default"/>
                <w:sz w:val="18"/>
                <w:szCs w:val="18"/>
              </w:rPr>
              <w:t>年限</w:t>
            </w: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5"/>
              <w:jc w:val="righ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占其他应收款总额的比例</w:t>
            </w:r>
            <w:r>
              <w:rPr>
                <w:rFonts w:ascii="Times New Roman" w:hAnsi="Times New Roman" w:cs="Times New Roman" w:eastAsia="Times New Roman" w:hint="default"/>
                <w:sz w:val="18"/>
                <w:szCs w:val="18"/>
              </w:rPr>
              <w:t>(%)</w:t>
            </w: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1.84</w:t>
            </w:r>
          </w:p>
        </w:tc>
      </w:tr>
      <w:tr>
        <w:trPr>
          <w:trHeight w:val="410" w:hRule="exact"/>
        </w:trPr>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7"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费用及项目借款</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59" w:right="0"/>
              <w:jc w:val="center"/>
              <w:rPr>
                <w:rFonts w:ascii="Times New Roman" w:hAnsi="Times New Roman" w:cs="Times New Roman" w:eastAsia="Times New Roman" w:hint="default"/>
                <w:sz w:val="18"/>
                <w:szCs w:val="18"/>
              </w:rPr>
            </w:pPr>
            <w:r>
              <w:rPr>
                <w:rFonts w:ascii="Times New Roman"/>
                <w:sz w:val="18"/>
              </w:rPr>
              <w:t>4,090,252</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0"/>
              <w:jc w:val="righ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0.72</w:t>
            </w:r>
          </w:p>
        </w:tc>
      </w:tr>
      <w:tr>
        <w:trPr>
          <w:trHeight w:val="410" w:hRule="exact"/>
        </w:trPr>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7"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费用及项目借款</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59" w:right="0"/>
              <w:jc w:val="center"/>
              <w:rPr>
                <w:rFonts w:ascii="Times New Roman" w:hAnsi="Times New Roman" w:cs="Times New Roman" w:eastAsia="Times New Roman" w:hint="default"/>
                <w:sz w:val="18"/>
                <w:szCs w:val="18"/>
              </w:rPr>
            </w:pPr>
            <w:r>
              <w:rPr>
                <w:rFonts w:ascii="Times New Roman"/>
                <w:sz w:val="18"/>
              </w:rPr>
              <w:t>2,861,102</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0"/>
              <w:jc w:val="righ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0.51</w:t>
            </w:r>
          </w:p>
        </w:tc>
      </w:tr>
      <w:tr>
        <w:trPr>
          <w:trHeight w:val="410" w:hRule="exact"/>
        </w:trPr>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7"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费用及项目借款</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59" w:right="0"/>
              <w:jc w:val="center"/>
              <w:rPr>
                <w:rFonts w:ascii="Times New Roman" w:hAnsi="Times New Roman" w:cs="Times New Roman" w:eastAsia="Times New Roman" w:hint="default"/>
                <w:sz w:val="18"/>
                <w:szCs w:val="18"/>
              </w:rPr>
            </w:pPr>
            <w:r>
              <w:rPr>
                <w:rFonts w:ascii="Times New Roman"/>
                <w:sz w:val="18"/>
              </w:rPr>
              <w:t>2,291,000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0"/>
              <w:jc w:val="righ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0.41</w:t>
            </w:r>
          </w:p>
        </w:tc>
      </w:tr>
      <w:tr>
        <w:trPr>
          <w:trHeight w:val="410" w:hRule="exact"/>
        </w:trPr>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7"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费用及项目借款</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59" w:right="0"/>
              <w:jc w:val="center"/>
              <w:rPr>
                <w:rFonts w:ascii="Times New Roman" w:hAnsi="Times New Roman" w:cs="Times New Roman" w:eastAsia="Times New Roman" w:hint="default"/>
                <w:sz w:val="18"/>
                <w:szCs w:val="18"/>
              </w:rPr>
            </w:pPr>
            <w:r>
              <w:rPr>
                <w:rFonts w:ascii="Times New Roman"/>
                <w:sz w:val="18"/>
              </w:rPr>
              <w:t>1,766,866</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0"/>
              <w:jc w:val="righ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0.31</w:t>
            </w:r>
          </w:p>
        </w:tc>
      </w:tr>
      <w:tr>
        <w:trPr>
          <w:trHeight w:val="324" w:hRule="exact"/>
        </w:trPr>
        <w:tc>
          <w:tcPr>
            <w:tcW w:w="1190" w:type="dxa"/>
            <w:tcBorders>
              <w:top w:val="nil" w:sz="6" w:space="0" w:color="auto"/>
              <w:left w:val="nil" w:sz="6" w:space="0" w:color="auto"/>
              <w:bottom w:val="single" w:sz="8" w:space="0" w:color="000000"/>
              <w:right w:val="nil" w:sz="6" w:space="0" w:color="auto"/>
            </w:tcBorders>
          </w:tcPr>
          <w:p>
            <w:pPr>
              <w:pStyle w:val="TableParagraph"/>
              <w:spacing w:line="240" w:lineRule="auto" w:before="49"/>
              <w:ind w:left="341"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316" w:type="dxa"/>
            <w:tcBorders>
              <w:top w:val="nil" w:sz="6" w:space="0" w:color="auto"/>
              <w:left w:val="nil" w:sz="6" w:space="0" w:color="auto"/>
              <w:bottom w:val="single" w:sz="8" w:space="0" w:color="000000"/>
              <w:right w:val="nil" w:sz="6" w:space="0" w:color="auto"/>
            </w:tcBorders>
          </w:tcPr>
          <w:p>
            <w:pPr/>
          </w:p>
        </w:tc>
        <w:tc>
          <w:tcPr>
            <w:tcW w:w="1477" w:type="dxa"/>
            <w:tcBorders>
              <w:top w:val="nil" w:sz="6" w:space="0" w:color="auto"/>
              <w:left w:val="nil" w:sz="6" w:space="0" w:color="auto"/>
              <w:bottom w:val="single" w:sz="8" w:space="0" w:color="000000"/>
              <w:right w:val="nil" w:sz="6" w:space="0" w:color="auto"/>
            </w:tcBorders>
          </w:tcPr>
          <w:p>
            <w:pPr/>
          </w:p>
        </w:tc>
        <w:tc>
          <w:tcPr>
            <w:tcW w:w="1060"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27"/>
              <w:jc w:val="center"/>
              <w:rPr>
                <w:rFonts w:ascii="Times New Roman" w:hAnsi="Times New Roman" w:cs="Times New Roman" w:eastAsia="Times New Roman" w:hint="default"/>
                <w:sz w:val="18"/>
                <w:szCs w:val="18"/>
              </w:rPr>
            </w:pPr>
            <w:r>
              <w:rPr>
                <w:rFonts w:ascii="Times New Roman"/>
                <w:sz w:val="18"/>
              </w:rPr>
              <w:t>21,408,329</w:t>
            </w:r>
          </w:p>
        </w:tc>
        <w:tc>
          <w:tcPr>
            <w:tcW w:w="926" w:type="dxa"/>
            <w:tcBorders>
              <w:top w:val="nil" w:sz="6" w:space="0" w:color="auto"/>
              <w:left w:val="nil" w:sz="6" w:space="0" w:color="auto"/>
              <w:bottom w:val="single" w:sz="8" w:space="0" w:color="000000"/>
              <w:right w:val="nil" w:sz="6" w:space="0" w:color="auto"/>
            </w:tcBorders>
          </w:tcPr>
          <w:p>
            <w:pPr/>
          </w:p>
        </w:tc>
        <w:tc>
          <w:tcPr>
            <w:tcW w:w="2480"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3.79</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1413" w:val="left" w:leader="none"/>
        </w:tabs>
        <w:spacing w:before="35"/>
        <w:ind w:left="857" w:right="15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sz w:val="21"/>
          <w:szCs w:val="21"/>
        </w:rPr>
        <w:t>、</w:t>
        <w:tab/>
        <w:t>本报告期末无其他应收关联方款项；</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25"/>
          <w:szCs w:val="25"/>
        </w:rPr>
      </w:pPr>
    </w:p>
    <w:p>
      <w:pPr>
        <w:tabs>
          <w:tab w:pos="1396" w:val="left" w:leader="none"/>
        </w:tabs>
        <w:spacing w:before="0"/>
        <w:ind w:left="857" w:right="15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sz w:val="21"/>
          <w:szCs w:val="21"/>
        </w:rPr>
        <w:t>、</w:t>
        <w:tab/>
        <w:t>本报告期无不符合终止确认条件的其他应收款的转移。</w:t>
      </w:r>
    </w:p>
    <w:p>
      <w:pPr>
        <w:spacing w:after="0"/>
        <w:jc w:val="left"/>
        <w:rPr>
          <w:rFonts w:ascii="宋体" w:hAnsi="宋体" w:cs="宋体" w:eastAsia="宋体" w:hint="default"/>
          <w:sz w:val="21"/>
          <w:szCs w:val="21"/>
        </w:rPr>
        <w:sectPr>
          <w:pgSz w:w="11900" w:h="16840"/>
          <w:pgMar w:header="883" w:footer="1003" w:top="1540" w:bottom="1200" w:left="1480" w:right="1100"/>
        </w:sectPr>
      </w:pPr>
    </w:p>
    <w:p>
      <w:pPr>
        <w:spacing w:line="240" w:lineRule="auto" w:before="6"/>
        <w:rPr>
          <w:rFonts w:ascii="宋体" w:hAnsi="宋体" w:cs="宋体" w:eastAsia="宋体" w:hint="default"/>
          <w:sz w:val="19"/>
          <w:szCs w:val="19"/>
        </w:rPr>
      </w:pPr>
      <w:r>
        <w:rPr/>
        <w:pict>
          <v:group style="position:absolute;margin-left:101.991005pt;margin-top:125.459999pt;width:669.4pt;height:403.05pt;mso-position-horizontal-relative:page;mso-position-vertical-relative:page;z-index:-975088" coordorigin="2040,2509" coordsize="13388,8061">
            <v:group style="position:absolute;left:2049;top:2519;width:2364;height:2" coordorigin="2049,2519" coordsize="2364,2">
              <v:shape style="position:absolute;left:2049;top:2519;width:2364;height:2" coordorigin="2049,2519" coordsize="2364,0" path="m2049,2519l4413,2519e" filled="false" stroked="true" strokeweight=".95999pt" strokecolor="#000000">
                <v:path arrowok="t"/>
              </v:shape>
            </v:group>
            <v:group style="position:absolute;left:4413;top:2519;width:792;height:2" coordorigin="4413,2519" coordsize="792,2">
              <v:shape style="position:absolute;left:4413;top:2519;width:792;height:2" coordorigin="4413,2519" coordsize="792,0" path="m4413,2519l5205,2519e" filled="false" stroked="true" strokeweight=".95999pt" strokecolor="#000000">
                <v:path arrowok="t"/>
              </v:shape>
            </v:group>
            <v:group style="position:absolute;left:5205;top:2519;width:920;height:2" coordorigin="5205,2519" coordsize="920,2">
              <v:shape style="position:absolute;left:5205;top:2519;width:920;height:2" coordorigin="5205,2519" coordsize="920,0" path="m5205,2519l6125,2519e" filled="false" stroked="true" strokeweight=".95999pt" strokecolor="#000000">
                <v:path arrowok="t"/>
              </v:shape>
            </v:group>
            <v:group style="position:absolute;left:6125;top:2519;width:1079;height:2" coordorigin="6125,2519" coordsize="1079,2">
              <v:shape style="position:absolute;left:6125;top:2519;width:1079;height:2" coordorigin="6125,2519" coordsize="1079,0" path="m6125,2519l7203,2519e" filled="false" stroked="true" strokeweight=".95999pt" strokecolor="#000000">
                <v:path arrowok="t"/>
              </v:shape>
            </v:group>
            <v:group style="position:absolute;left:7203;top:2519;width:968;height:2" coordorigin="7203,2519" coordsize="968,2">
              <v:shape style="position:absolute;left:7203;top:2519;width:968;height:2" coordorigin="7203,2519" coordsize="968,0" path="m7203,2519l8171,2519e" filled="false" stroked="true" strokeweight=".95999pt" strokecolor="#000000">
                <v:path arrowok="t"/>
              </v:shape>
            </v:group>
            <v:group style="position:absolute;left:8171;top:2519;width:1076;height:2" coordorigin="8171,2519" coordsize="1076,2">
              <v:shape style="position:absolute;left:8171;top:2519;width:1076;height:2" coordorigin="8171,2519" coordsize="1076,0" path="m8171,2519l9246,2519e" filled="false" stroked="true" strokeweight=".95999pt" strokecolor="#000000">
                <v:path arrowok="t"/>
              </v:shape>
            </v:group>
            <v:group style="position:absolute;left:9246;top:2519;width:20;height:2" coordorigin="9246,2519" coordsize="20,2">
              <v:shape style="position:absolute;left:9246;top:2519;width:20;height:2" coordorigin="9246,2519" coordsize="20,0" path="m9246,2519l9265,2519e" filled="false" stroked="true" strokeweight=".95999pt" strokecolor="#000000">
                <v:path arrowok="t"/>
              </v:shape>
            </v:group>
            <v:group style="position:absolute;left:9265;top:2519;width:956;height:2" coordorigin="9265,2519" coordsize="956,2">
              <v:shape style="position:absolute;left:9265;top:2519;width:956;height:2" coordorigin="9265,2519" coordsize="956,0" path="m9265,2519l10220,2519e" filled="false" stroked="true" strokeweight=".96pt" strokecolor="#000000">
                <v:path arrowok="t"/>
              </v:shape>
            </v:group>
            <v:group style="position:absolute;left:10220;top:2519;width:908;height:2" coordorigin="10220,2519" coordsize="908,2">
              <v:shape style="position:absolute;left:10220;top:2519;width:908;height:2" coordorigin="10220,2519" coordsize="908,0" path="m10220,2519l11127,2519e" filled="false" stroked="true" strokeweight=".95999pt" strokecolor="#000000">
                <v:path arrowok="t"/>
              </v:shape>
            </v:group>
            <v:group style="position:absolute;left:11127;top:2519;width:1578;height:2" coordorigin="11127,2519" coordsize="1578,2">
              <v:shape style="position:absolute;left:11127;top:2519;width:1578;height:2" coordorigin="11127,2519" coordsize="1578,0" path="m11127,2519l12705,2519e" filled="false" stroked="true" strokeweight=".95999pt" strokecolor="#000000">
                <v:path arrowok="t"/>
              </v:shape>
            </v:group>
            <v:group style="position:absolute;left:12705;top:2519;width:821;height:2" coordorigin="12705,2519" coordsize="821,2">
              <v:shape style="position:absolute;left:12705;top:2519;width:821;height:2" coordorigin="12705,2519" coordsize="821,0" path="m12705,2519l13526,2519e" filled="false" stroked="true" strokeweight=".95999pt" strokecolor="#000000">
                <v:path arrowok="t"/>
              </v:shape>
            </v:group>
            <v:group style="position:absolute;left:13526;top:2519;width:821;height:2" coordorigin="13526,2519" coordsize="821,2">
              <v:shape style="position:absolute;left:13526;top:2519;width:821;height:2" coordorigin="13526,2519" coordsize="821,0" path="m13526,2519l14347,2519e" filled="false" stroked="true" strokeweight=".95999pt" strokecolor="#000000">
                <v:path arrowok="t"/>
              </v:shape>
            </v:group>
            <v:group style="position:absolute;left:14347;top:2519;width:1071;height:2" coordorigin="14347,2519" coordsize="1071,2">
              <v:shape style="position:absolute;left:14347;top:2519;width:1071;height:2" coordorigin="14347,2519" coordsize="1071,0" path="m14347,2519l15417,2519e" filled="false" stroked="true" strokeweight=".95999pt" strokecolor="#000000">
                <v:path arrowok="t"/>
              </v:shape>
              <v:shape style="position:absolute;left:2049;top:2528;width:13378;height:8041" type="#_x0000_t75" stroked="false">
                <v:imagedata r:id="rId172" o:title=""/>
              </v:shape>
            </v:group>
            <w10:wrap type="none"/>
          </v:group>
        </w:pict>
      </w:r>
    </w:p>
    <w:p>
      <w:pPr>
        <w:tabs>
          <w:tab w:pos="853" w:val="left" w:leader="none"/>
        </w:tabs>
        <w:spacing w:before="35"/>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长期股权投资</w:t>
      </w:r>
    </w:p>
    <w:p>
      <w:pPr>
        <w:spacing w:before="1"/>
        <w:ind w:left="0" w:right="665" w:firstLine="0"/>
        <w:jc w:val="right"/>
        <w:rPr>
          <w:rFonts w:ascii="宋体" w:hAnsi="宋体" w:cs="宋体" w:eastAsia="宋体" w:hint="default"/>
          <w:sz w:val="21"/>
          <w:szCs w:val="21"/>
        </w:rPr>
      </w:pPr>
      <w:r>
        <w:rPr>
          <w:rFonts w:ascii="宋体" w:hAnsi="宋体" w:cs="宋体" w:eastAsia="宋体" w:hint="default"/>
          <w:sz w:val="21"/>
          <w:szCs w:val="21"/>
        </w:rPr>
        <w:t>单位：人民币元</w:t>
      </w:r>
    </w:p>
    <w:p>
      <w:pPr>
        <w:spacing w:line="240" w:lineRule="auto" w:before="9"/>
        <w:rPr>
          <w:rFonts w:ascii="宋体" w:hAnsi="宋体" w:cs="宋体" w:eastAsia="宋体" w:hint="default"/>
          <w:sz w:val="7"/>
          <w:szCs w:val="7"/>
        </w:rPr>
      </w:pPr>
    </w:p>
    <w:tbl>
      <w:tblPr>
        <w:tblW w:w="0" w:type="auto"/>
        <w:jc w:val="left"/>
        <w:tblInd w:w="735" w:type="dxa"/>
        <w:tblLayout w:type="fixed"/>
        <w:tblCellMar>
          <w:top w:w="0" w:type="dxa"/>
          <w:left w:w="0" w:type="dxa"/>
          <w:bottom w:w="0" w:type="dxa"/>
          <w:right w:w="0" w:type="dxa"/>
        </w:tblCellMar>
        <w:tblLook w:val="01E0"/>
      </w:tblPr>
      <w:tblGrid>
        <w:gridCol w:w="2291"/>
        <w:gridCol w:w="843"/>
        <w:gridCol w:w="1058"/>
        <w:gridCol w:w="1051"/>
        <w:gridCol w:w="995"/>
        <w:gridCol w:w="984"/>
        <w:gridCol w:w="943"/>
        <w:gridCol w:w="944"/>
        <w:gridCol w:w="1594"/>
        <w:gridCol w:w="749"/>
        <w:gridCol w:w="884"/>
        <w:gridCol w:w="1053"/>
      </w:tblGrid>
      <w:tr>
        <w:trPr>
          <w:trHeight w:val="623"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83" w:right="0"/>
              <w:jc w:val="center"/>
              <w:rPr>
                <w:rFonts w:ascii="宋体" w:hAnsi="宋体" w:cs="宋体" w:eastAsia="宋体" w:hint="default"/>
                <w:sz w:val="13"/>
                <w:szCs w:val="13"/>
              </w:rPr>
            </w:pPr>
            <w:r>
              <w:rPr>
                <w:rFonts w:ascii="宋体" w:hAnsi="宋体" w:cs="宋体" w:eastAsia="宋体" w:hint="default"/>
                <w:sz w:val="13"/>
                <w:szCs w:val="13"/>
              </w:rPr>
              <w:t>被投资单位</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223" w:right="0"/>
              <w:jc w:val="left"/>
              <w:rPr>
                <w:rFonts w:ascii="宋体" w:hAnsi="宋体" w:cs="宋体" w:eastAsia="宋体" w:hint="default"/>
                <w:sz w:val="13"/>
                <w:szCs w:val="13"/>
              </w:rPr>
            </w:pPr>
            <w:r>
              <w:rPr>
                <w:rFonts w:ascii="宋体" w:hAnsi="宋体" w:cs="宋体" w:eastAsia="宋体" w:hint="default"/>
                <w:sz w:val="13"/>
                <w:szCs w:val="13"/>
              </w:rPr>
              <w:t>核算方法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176"/>
              <w:jc w:val="right"/>
              <w:rPr>
                <w:rFonts w:ascii="宋体" w:hAnsi="宋体" w:cs="宋体" w:eastAsia="宋体" w:hint="default"/>
                <w:sz w:val="13"/>
                <w:szCs w:val="13"/>
              </w:rPr>
            </w:pPr>
            <w:r>
              <w:rPr>
                <w:rFonts w:ascii="宋体" w:hAnsi="宋体" w:cs="宋体" w:eastAsia="宋体" w:hint="default"/>
                <w:w w:val="95"/>
                <w:sz w:val="13"/>
                <w:szCs w:val="13"/>
              </w:rPr>
              <w:t>初始投资成本</w:t>
            </w:r>
            <w:r>
              <w:rPr>
                <w:rFonts w:ascii="宋体" w:hAnsi="宋体" w:cs="宋体" w:eastAsia="宋体" w:hint="default"/>
                <w:sz w:val="13"/>
                <w:szCs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170" w:right="0"/>
              <w:jc w:val="left"/>
              <w:rPr>
                <w:rFonts w:ascii="宋体" w:hAnsi="宋体" w:cs="宋体" w:eastAsia="宋体" w:hint="default"/>
                <w:sz w:val="13"/>
                <w:szCs w:val="13"/>
              </w:rPr>
            </w:pPr>
            <w:r>
              <w:rPr>
                <w:rFonts w:ascii="宋体" w:hAnsi="宋体" w:cs="宋体" w:eastAsia="宋体" w:hint="default"/>
                <w:sz w:val="13"/>
                <w:szCs w:val="13"/>
              </w:rPr>
              <w:t>期初金额</w:t>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144" w:right="0"/>
              <w:jc w:val="left"/>
              <w:rPr>
                <w:rFonts w:ascii="宋体" w:hAnsi="宋体" w:cs="宋体" w:eastAsia="宋体" w:hint="default"/>
                <w:sz w:val="13"/>
                <w:szCs w:val="13"/>
              </w:rPr>
            </w:pPr>
            <w:r>
              <w:rPr>
                <w:rFonts w:ascii="宋体" w:hAnsi="宋体" w:cs="宋体" w:eastAsia="宋体" w:hint="default"/>
                <w:sz w:val="13"/>
                <w:szCs w:val="13"/>
              </w:rPr>
              <w:t>增减变动</w:t>
            </w: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170" w:right="0"/>
              <w:jc w:val="left"/>
              <w:rPr>
                <w:rFonts w:ascii="宋体" w:hAnsi="宋体" w:cs="宋体" w:eastAsia="宋体" w:hint="default"/>
                <w:sz w:val="13"/>
                <w:szCs w:val="13"/>
              </w:rPr>
            </w:pPr>
            <w:r>
              <w:rPr>
                <w:rFonts w:ascii="宋体" w:hAnsi="宋体" w:cs="宋体" w:eastAsia="宋体" w:hint="default"/>
                <w:sz w:val="13"/>
                <w:szCs w:val="13"/>
              </w:rPr>
              <w:t>期末金额</w:t>
            </w:r>
          </w:p>
        </w:tc>
        <w:tc>
          <w:tcPr>
            <w:tcW w:w="943" w:type="dxa"/>
            <w:tcBorders>
              <w:top w:val="nil" w:sz="6" w:space="0" w:color="auto"/>
              <w:left w:val="nil" w:sz="6" w:space="0" w:color="auto"/>
              <w:bottom w:val="nil" w:sz="6" w:space="0" w:color="auto"/>
              <w:right w:val="nil" w:sz="6" w:space="0" w:color="auto"/>
            </w:tcBorders>
          </w:tcPr>
          <w:p>
            <w:pPr>
              <w:pStyle w:val="TableParagraph"/>
              <w:spacing w:line="422" w:lineRule="auto" w:before="59"/>
              <w:ind w:left="112" w:right="83" w:hanging="33"/>
              <w:jc w:val="left"/>
              <w:rPr>
                <w:rFonts w:ascii="Times New Roman" w:hAnsi="Times New Roman" w:cs="Times New Roman" w:eastAsia="Times New Roman" w:hint="default"/>
                <w:sz w:val="13"/>
                <w:szCs w:val="13"/>
              </w:rPr>
            </w:pPr>
            <w:r>
              <w:rPr>
                <w:rFonts w:ascii="宋体" w:hAnsi="宋体" w:cs="宋体" w:eastAsia="宋体" w:hint="default"/>
                <w:sz w:val="13"/>
                <w:szCs w:val="13"/>
              </w:rPr>
              <w:t>在被投资单位</w:t>
            </w:r>
            <w:r>
              <w:rPr>
                <w:rFonts w:ascii="宋体" w:hAnsi="宋体" w:cs="宋体" w:eastAsia="宋体" w:hint="default"/>
                <w:w w:val="99"/>
                <w:sz w:val="13"/>
                <w:szCs w:val="13"/>
              </w:rPr>
              <w:t> </w:t>
            </w:r>
            <w:r>
              <w:rPr>
                <w:rFonts w:ascii="宋体" w:hAnsi="宋体" w:cs="宋体" w:eastAsia="宋体" w:hint="default"/>
                <w:sz w:val="13"/>
                <w:szCs w:val="13"/>
              </w:rPr>
              <w:t>持股比例</w:t>
            </w:r>
            <w:r>
              <w:rPr>
                <w:rFonts w:ascii="Times New Roman" w:hAnsi="Times New Roman" w:cs="Times New Roman" w:eastAsia="Times New Roman" w:hint="default"/>
                <w:sz w:val="13"/>
                <w:szCs w:val="13"/>
              </w:rPr>
              <w:t>(%)</w:t>
            </w:r>
          </w:p>
        </w:tc>
        <w:tc>
          <w:tcPr>
            <w:tcW w:w="944" w:type="dxa"/>
            <w:tcBorders>
              <w:top w:val="nil" w:sz="6" w:space="0" w:color="auto"/>
              <w:left w:val="nil" w:sz="6" w:space="0" w:color="auto"/>
              <w:bottom w:val="nil" w:sz="6" w:space="0" w:color="auto"/>
              <w:right w:val="nil" w:sz="6" w:space="0" w:color="auto"/>
            </w:tcBorders>
          </w:tcPr>
          <w:p>
            <w:pPr>
              <w:pStyle w:val="TableParagraph"/>
              <w:spacing w:line="422" w:lineRule="auto" w:before="59"/>
              <w:ind w:left="49" w:right="49" w:firstLine="32"/>
              <w:jc w:val="left"/>
              <w:rPr>
                <w:rFonts w:ascii="Times New Roman" w:hAnsi="Times New Roman" w:cs="Times New Roman" w:eastAsia="Times New Roman" w:hint="default"/>
                <w:sz w:val="13"/>
                <w:szCs w:val="13"/>
              </w:rPr>
            </w:pPr>
            <w:r>
              <w:rPr>
                <w:rFonts w:ascii="宋体" w:hAnsi="宋体" w:cs="宋体" w:eastAsia="宋体" w:hint="default"/>
                <w:sz w:val="13"/>
                <w:szCs w:val="13"/>
              </w:rPr>
              <w:t>在被投资单位</w:t>
            </w:r>
            <w:r>
              <w:rPr>
                <w:rFonts w:ascii="宋体" w:hAnsi="宋体" w:cs="宋体" w:eastAsia="宋体" w:hint="default"/>
                <w:w w:val="99"/>
                <w:sz w:val="13"/>
                <w:szCs w:val="13"/>
              </w:rPr>
              <w:t> </w:t>
            </w:r>
            <w:r>
              <w:rPr>
                <w:rFonts w:ascii="宋体" w:hAnsi="宋体" w:cs="宋体" w:eastAsia="宋体" w:hint="default"/>
                <w:sz w:val="13"/>
                <w:szCs w:val="13"/>
              </w:rPr>
              <w:t>表决权比例</w:t>
            </w:r>
            <w:r>
              <w:rPr>
                <w:rFonts w:ascii="Times New Roman" w:hAnsi="Times New Roman" w:cs="Times New Roman" w:eastAsia="Times New Roman" w:hint="default"/>
                <w:sz w:val="13"/>
                <w:szCs w:val="13"/>
              </w:rPr>
              <w:t>(%)</w:t>
            </w:r>
          </w:p>
        </w:tc>
        <w:tc>
          <w:tcPr>
            <w:tcW w:w="1594" w:type="dxa"/>
            <w:tcBorders>
              <w:top w:val="nil" w:sz="6" w:space="0" w:color="auto"/>
              <w:left w:val="nil" w:sz="6" w:space="0" w:color="auto"/>
              <w:bottom w:val="nil" w:sz="6" w:space="0" w:color="auto"/>
              <w:right w:val="nil" w:sz="6" w:space="0" w:color="auto"/>
            </w:tcBorders>
          </w:tcPr>
          <w:p>
            <w:pPr>
              <w:pStyle w:val="TableParagraph"/>
              <w:spacing w:line="422" w:lineRule="auto" w:before="59"/>
              <w:ind w:left="52" w:right="110" w:hanging="2"/>
              <w:jc w:val="left"/>
              <w:rPr>
                <w:rFonts w:ascii="宋体" w:hAnsi="宋体" w:cs="宋体" w:eastAsia="宋体" w:hint="default"/>
                <w:sz w:val="13"/>
                <w:szCs w:val="13"/>
              </w:rPr>
            </w:pPr>
            <w:r>
              <w:rPr>
                <w:rFonts w:ascii="宋体" w:hAnsi="宋体" w:cs="宋体" w:eastAsia="宋体" w:hint="default"/>
                <w:sz w:val="13"/>
                <w:szCs w:val="13"/>
              </w:rPr>
              <w:t>在被投资单位持股比例与</w:t>
            </w:r>
            <w:r>
              <w:rPr>
                <w:rFonts w:ascii="宋体" w:hAnsi="宋体" w:cs="宋体" w:eastAsia="宋体" w:hint="default"/>
                <w:w w:val="99"/>
                <w:sz w:val="13"/>
                <w:szCs w:val="13"/>
              </w:rPr>
              <w:t> </w:t>
            </w:r>
            <w:r>
              <w:rPr>
                <w:rFonts w:ascii="宋体" w:hAnsi="宋体" w:cs="宋体" w:eastAsia="宋体" w:hint="default"/>
                <w:sz w:val="13"/>
                <w:szCs w:val="13"/>
              </w:rPr>
              <w:t>表决权比例不一致的说明</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112" w:right="0"/>
              <w:jc w:val="left"/>
              <w:rPr>
                <w:rFonts w:ascii="宋体" w:hAnsi="宋体" w:cs="宋体" w:eastAsia="宋体" w:hint="default"/>
                <w:sz w:val="13"/>
                <w:szCs w:val="13"/>
              </w:rPr>
            </w:pPr>
            <w:r>
              <w:rPr>
                <w:rFonts w:ascii="宋体" w:hAnsi="宋体" w:cs="宋体" w:eastAsia="宋体" w:hint="default"/>
                <w:sz w:val="13"/>
                <w:szCs w:val="13"/>
              </w:rPr>
              <w:t>减值准备</w:t>
            </w:r>
          </w:p>
        </w:tc>
        <w:tc>
          <w:tcPr>
            <w:tcW w:w="884" w:type="dxa"/>
            <w:tcBorders>
              <w:top w:val="nil" w:sz="6" w:space="0" w:color="auto"/>
              <w:left w:val="nil" w:sz="6" w:space="0" w:color="auto"/>
              <w:bottom w:val="nil" w:sz="6" w:space="0" w:color="auto"/>
              <w:right w:val="nil" w:sz="6" w:space="0" w:color="auto"/>
            </w:tcBorders>
          </w:tcPr>
          <w:p>
            <w:pPr>
              <w:pStyle w:val="TableParagraph"/>
              <w:spacing w:line="422" w:lineRule="auto" w:before="59"/>
              <w:ind w:left="249" w:right="115" w:hanging="131"/>
              <w:jc w:val="left"/>
              <w:rPr>
                <w:rFonts w:ascii="宋体" w:hAnsi="宋体" w:cs="宋体" w:eastAsia="宋体" w:hint="default"/>
                <w:sz w:val="13"/>
                <w:szCs w:val="13"/>
              </w:rPr>
            </w:pPr>
            <w:r>
              <w:rPr>
                <w:rFonts w:ascii="宋体" w:hAnsi="宋体" w:cs="宋体" w:eastAsia="宋体" w:hint="default"/>
                <w:sz w:val="13"/>
                <w:szCs w:val="13"/>
              </w:rPr>
              <w:t>本期计提减</w:t>
            </w:r>
            <w:r>
              <w:rPr>
                <w:rFonts w:ascii="宋体" w:hAnsi="宋体" w:cs="宋体" w:eastAsia="宋体" w:hint="default"/>
                <w:w w:val="99"/>
                <w:sz w:val="13"/>
                <w:szCs w:val="13"/>
              </w:rPr>
              <w:t> </w:t>
            </w:r>
            <w:r>
              <w:rPr>
                <w:rFonts w:ascii="宋体" w:hAnsi="宋体" w:cs="宋体" w:eastAsia="宋体" w:hint="default"/>
                <w:sz w:val="13"/>
                <w:szCs w:val="13"/>
              </w:rPr>
              <w:t>值准备</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117" w:right="0"/>
              <w:jc w:val="left"/>
              <w:rPr>
                <w:rFonts w:ascii="宋体" w:hAnsi="宋体" w:cs="宋体" w:eastAsia="宋体" w:hint="default"/>
                <w:sz w:val="13"/>
                <w:szCs w:val="13"/>
              </w:rPr>
            </w:pPr>
            <w:r>
              <w:rPr>
                <w:rFonts w:ascii="宋体" w:hAnsi="宋体" w:cs="宋体" w:eastAsia="宋体" w:hint="default"/>
                <w:sz w:val="13"/>
                <w:szCs w:val="13"/>
              </w:rPr>
              <w:t>本期现金红利</w:t>
            </w: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5"/>
              <w:ind w:left="67" w:right="0"/>
              <w:jc w:val="left"/>
              <w:rPr>
                <w:rFonts w:ascii="宋体" w:hAnsi="宋体" w:cs="宋体" w:eastAsia="宋体" w:hint="default"/>
                <w:sz w:val="13"/>
                <w:szCs w:val="13"/>
              </w:rPr>
            </w:pPr>
            <w:r>
              <w:rPr>
                <w:rFonts w:ascii="宋体" w:hAnsi="宋体" w:cs="宋体" w:eastAsia="宋体" w:hint="default"/>
                <w:sz w:val="13"/>
                <w:szCs w:val="13"/>
              </w:rPr>
              <w:t>诺基亚西门子东软通信技术有限公司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45" w:right="0"/>
              <w:jc w:val="left"/>
              <w:rPr>
                <w:rFonts w:ascii="宋体" w:hAnsi="宋体" w:cs="宋体" w:eastAsia="宋体" w:hint="default"/>
                <w:sz w:val="13"/>
                <w:szCs w:val="13"/>
              </w:rPr>
            </w:pPr>
            <w:r>
              <w:rPr>
                <w:rFonts w:ascii="宋体" w:hAnsi="宋体" w:cs="宋体" w:eastAsia="宋体" w:hint="default"/>
                <w:sz w:val="13"/>
                <w:szCs w:val="13"/>
              </w:rPr>
              <w:t>权益法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9"/>
              <w:jc w:val="right"/>
              <w:rPr>
                <w:rFonts w:ascii="Times New Roman" w:hAnsi="Times New Roman" w:cs="Times New Roman" w:eastAsia="Times New Roman" w:hint="default"/>
                <w:sz w:val="13"/>
                <w:szCs w:val="13"/>
              </w:rPr>
            </w:pPr>
            <w:r>
              <w:rPr>
                <w:rFonts w:ascii="Times New Roman"/>
                <w:w w:val="95"/>
                <w:sz w:val="13"/>
              </w:rPr>
              <w:t>26,713,621</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2"/>
              <w:jc w:val="right"/>
              <w:rPr>
                <w:rFonts w:ascii="Times New Roman" w:hAnsi="Times New Roman" w:cs="Times New Roman" w:eastAsia="Times New Roman" w:hint="default"/>
                <w:sz w:val="13"/>
                <w:szCs w:val="13"/>
              </w:rPr>
            </w:pPr>
            <w:r>
              <w:rPr>
                <w:rFonts w:ascii="Times New Roman"/>
                <w:w w:val="95"/>
                <w:sz w:val="13"/>
              </w:rPr>
              <w:t>44,517,995</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01" w:right="0"/>
              <w:jc w:val="left"/>
              <w:rPr>
                <w:rFonts w:ascii="Times New Roman" w:hAnsi="Times New Roman" w:cs="Times New Roman" w:eastAsia="Times New Roman" w:hint="default"/>
                <w:sz w:val="13"/>
                <w:szCs w:val="13"/>
              </w:rPr>
            </w:pPr>
            <w:r>
              <w:rPr>
                <w:rFonts w:ascii="Times New Roman"/>
                <w:sz w:val="13"/>
              </w:rPr>
              <w:t>-11,426,048</w:t>
            </w: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8"/>
              <w:jc w:val="right"/>
              <w:rPr>
                <w:rFonts w:ascii="Times New Roman" w:hAnsi="Times New Roman" w:cs="Times New Roman" w:eastAsia="Times New Roman" w:hint="default"/>
                <w:sz w:val="13"/>
                <w:szCs w:val="13"/>
              </w:rPr>
            </w:pPr>
            <w:r>
              <w:rPr>
                <w:rFonts w:ascii="Times New Roman"/>
                <w:w w:val="95"/>
                <w:sz w:val="13"/>
              </w:rPr>
              <w:t>33,091,947</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7"/>
              <w:jc w:val="right"/>
              <w:rPr>
                <w:rFonts w:ascii="Times New Roman" w:hAnsi="Times New Roman" w:cs="Times New Roman" w:eastAsia="Times New Roman" w:hint="default"/>
                <w:sz w:val="13"/>
                <w:szCs w:val="13"/>
              </w:rPr>
            </w:pPr>
            <w:r>
              <w:rPr>
                <w:rFonts w:ascii="Times New Roman"/>
                <w:w w:val="95"/>
                <w:sz w:val="13"/>
              </w:rPr>
              <w:t>46.00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3"/>
              <w:jc w:val="right"/>
              <w:rPr>
                <w:rFonts w:ascii="Times New Roman" w:hAnsi="Times New Roman" w:cs="Times New Roman" w:eastAsia="Times New Roman" w:hint="default"/>
                <w:sz w:val="13"/>
                <w:szCs w:val="13"/>
              </w:rPr>
            </w:pPr>
            <w:r>
              <w:rPr>
                <w:rFonts w:ascii="Times New Roman"/>
                <w:w w:val="95"/>
                <w:sz w:val="13"/>
              </w:rPr>
              <w:t>46.00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1"/>
              <w:jc w:val="right"/>
              <w:rPr>
                <w:rFonts w:ascii="Times New Roman" w:hAnsi="Times New Roman" w:cs="Times New Roman" w:eastAsia="Times New Roman" w:hint="default"/>
                <w:sz w:val="13"/>
                <w:szCs w:val="13"/>
              </w:rPr>
            </w:pPr>
            <w:r>
              <w:rPr>
                <w:rFonts w:ascii="Times New Roman"/>
                <w:w w:val="95"/>
                <w:sz w:val="13"/>
              </w:rPr>
              <w:t>10,885,273</w:t>
            </w:r>
            <w:r>
              <w:rPr>
                <w:rFonts w:ascii="Times New Roman"/>
                <w:sz w:val="13"/>
              </w:rPr>
            </w: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北京利博赛社保信息技术有限公司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权益法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9"/>
              <w:jc w:val="right"/>
              <w:rPr>
                <w:rFonts w:ascii="Times New Roman" w:hAnsi="Times New Roman" w:cs="Times New Roman" w:eastAsia="Times New Roman" w:hint="default"/>
                <w:sz w:val="13"/>
                <w:szCs w:val="13"/>
              </w:rPr>
            </w:pPr>
            <w:r>
              <w:rPr>
                <w:rFonts w:ascii="Times New Roman"/>
                <w:w w:val="95"/>
                <w:sz w:val="13"/>
              </w:rPr>
              <w:t>5,000,000</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2"/>
              <w:jc w:val="right"/>
              <w:rPr>
                <w:rFonts w:ascii="Times New Roman" w:hAnsi="Times New Roman" w:cs="Times New Roman" w:eastAsia="Times New Roman" w:hint="default"/>
                <w:sz w:val="13"/>
                <w:szCs w:val="13"/>
              </w:rPr>
            </w:pPr>
            <w:r>
              <w:rPr>
                <w:rFonts w:ascii="Times New Roman"/>
                <w:w w:val="95"/>
                <w:sz w:val="13"/>
              </w:rPr>
              <w:t>7,768,668</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8"/>
              <w:jc w:val="right"/>
              <w:rPr>
                <w:rFonts w:ascii="Times New Roman" w:hAnsi="Times New Roman" w:cs="Times New Roman" w:eastAsia="Times New Roman" w:hint="default"/>
                <w:sz w:val="13"/>
                <w:szCs w:val="13"/>
              </w:rPr>
            </w:pPr>
            <w:r>
              <w:rPr>
                <w:rFonts w:ascii="Times New Roman"/>
                <w:w w:val="95"/>
                <w:sz w:val="13"/>
              </w:rPr>
              <w:t>106,476</w:t>
            </w:r>
            <w:r>
              <w:rPr>
                <w:rFonts w:ascii="Times New Roman"/>
                <w:sz w:val="13"/>
              </w:rPr>
            </w: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8"/>
              <w:jc w:val="right"/>
              <w:rPr>
                <w:rFonts w:ascii="Times New Roman" w:hAnsi="Times New Roman" w:cs="Times New Roman" w:eastAsia="Times New Roman" w:hint="default"/>
                <w:sz w:val="13"/>
                <w:szCs w:val="13"/>
              </w:rPr>
            </w:pPr>
            <w:r>
              <w:rPr>
                <w:rFonts w:ascii="Times New Roman"/>
                <w:w w:val="95"/>
                <w:sz w:val="13"/>
              </w:rPr>
              <w:t>7,875,144</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7"/>
              <w:jc w:val="right"/>
              <w:rPr>
                <w:rFonts w:ascii="Times New Roman" w:hAnsi="Times New Roman" w:cs="Times New Roman" w:eastAsia="Times New Roman" w:hint="default"/>
                <w:sz w:val="13"/>
                <w:szCs w:val="13"/>
              </w:rPr>
            </w:pPr>
            <w:r>
              <w:rPr>
                <w:rFonts w:ascii="Times New Roman"/>
                <w:w w:val="95"/>
                <w:sz w:val="13"/>
              </w:rPr>
              <w:t>33.33</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83"/>
              <w:jc w:val="right"/>
              <w:rPr>
                <w:rFonts w:ascii="Times New Roman" w:hAnsi="Times New Roman" w:cs="Times New Roman" w:eastAsia="Times New Roman" w:hint="default"/>
                <w:sz w:val="13"/>
                <w:szCs w:val="13"/>
              </w:rPr>
            </w:pPr>
            <w:r>
              <w:rPr>
                <w:rFonts w:ascii="Times New Roman"/>
                <w:w w:val="95"/>
                <w:sz w:val="13"/>
              </w:rPr>
              <w:t>33.33</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权益法小计</w:t>
            </w:r>
          </w:p>
        </w:tc>
        <w:tc>
          <w:tcPr>
            <w:tcW w:w="843" w:type="dxa"/>
            <w:tcBorders>
              <w:top w:val="nil" w:sz="6" w:space="0" w:color="auto"/>
              <w:left w:val="nil" w:sz="6" w:space="0" w:color="auto"/>
              <w:bottom w:val="nil" w:sz="6" w:space="0" w:color="auto"/>
              <w:right w:val="nil" w:sz="6" w:space="0" w:color="auto"/>
            </w:tcBorders>
          </w:tcPr>
          <w:p>
            <w:pP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70"/>
              <w:jc w:val="right"/>
              <w:rPr>
                <w:rFonts w:ascii="Times New Roman" w:hAnsi="Times New Roman" w:cs="Times New Roman" w:eastAsia="Times New Roman" w:hint="default"/>
                <w:sz w:val="13"/>
                <w:szCs w:val="13"/>
              </w:rPr>
            </w:pPr>
            <w:r>
              <w:rPr>
                <w:rFonts w:ascii="Times New Roman"/>
                <w:w w:val="95"/>
                <w:sz w:val="13"/>
              </w:rPr>
              <w:t>31,713,621</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2"/>
              <w:jc w:val="right"/>
              <w:rPr>
                <w:rFonts w:ascii="Times New Roman" w:hAnsi="Times New Roman" w:cs="Times New Roman" w:eastAsia="Times New Roman" w:hint="default"/>
                <w:sz w:val="13"/>
                <w:szCs w:val="13"/>
              </w:rPr>
            </w:pPr>
            <w:r>
              <w:rPr>
                <w:rFonts w:ascii="Times New Roman"/>
                <w:w w:val="95"/>
                <w:sz w:val="13"/>
              </w:rPr>
              <w:t>52,286,663</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01" w:right="0"/>
              <w:jc w:val="left"/>
              <w:rPr>
                <w:rFonts w:ascii="Times New Roman" w:hAnsi="Times New Roman" w:cs="Times New Roman" w:eastAsia="Times New Roman" w:hint="default"/>
                <w:sz w:val="13"/>
                <w:szCs w:val="13"/>
              </w:rPr>
            </w:pPr>
            <w:r>
              <w:rPr>
                <w:rFonts w:ascii="Times New Roman"/>
                <w:sz w:val="13"/>
              </w:rPr>
              <w:t>-11,319,572</w:t>
            </w: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8"/>
              <w:jc w:val="right"/>
              <w:rPr>
                <w:rFonts w:ascii="Times New Roman" w:hAnsi="Times New Roman" w:cs="Times New Roman" w:eastAsia="Times New Roman" w:hint="default"/>
                <w:sz w:val="13"/>
                <w:szCs w:val="13"/>
              </w:rPr>
            </w:pPr>
            <w:r>
              <w:rPr>
                <w:rFonts w:ascii="Times New Roman"/>
                <w:w w:val="95"/>
                <w:sz w:val="13"/>
              </w:rPr>
              <w:t>40,967,091</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1"/>
              <w:jc w:val="right"/>
              <w:rPr>
                <w:rFonts w:ascii="Times New Roman" w:hAnsi="Times New Roman" w:cs="Times New Roman" w:eastAsia="Times New Roman" w:hint="default"/>
                <w:sz w:val="13"/>
                <w:szCs w:val="13"/>
              </w:rPr>
            </w:pPr>
            <w:r>
              <w:rPr>
                <w:rFonts w:ascii="Times New Roman"/>
                <w:w w:val="95"/>
                <w:sz w:val="13"/>
              </w:rPr>
              <w:t>10,885,273</w:t>
            </w:r>
            <w:r>
              <w:rPr>
                <w:rFonts w:ascii="Times New Roman"/>
                <w:sz w:val="13"/>
              </w:rPr>
            </w: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沈阳逐日数码广告传播有限公司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9"/>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2"/>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8"/>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湖南东软软件有限公司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0"/>
              <w:jc w:val="right"/>
              <w:rPr>
                <w:rFonts w:ascii="Times New Roman" w:hAnsi="Times New Roman" w:cs="Times New Roman" w:eastAsia="Times New Roman" w:hint="default"/>
                <w:sz w:val="13"/>
                <w:szCs w:val="13"/>
              </w:rPr>
            </w:pPr>
            <w:r>
              <w:rPr>
                <w:rFonts w:ascii="Times New Roman"/>
                <w:w w:val="95"/>
                <w:sz w:val="13"/>
              </w:rPr>
              <w:t>12,000,000</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2"/>
              <w:jc w:val="right"/>
              <w:rPr>
                <w:rFonts w:ascii="Times New Roman" w:hAnsi="Times New Roman" w:cs="Times New Roman" w:eastAsia="Times New Roman" w:hint="default"/>
                <w:sz w:val="13"/>
                <w:szCs w:val="13"/>
              </w:rPr>
            </w:pPr>
            <w:r>
              <w:rPr>
                <w:rFonts w:ascii="Times New Roman"/>
                <w:w w:val="95"/>
                <w:sz w:val="13"/>
              </w:rPr>
              <w:t>12,000,000</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8"/>
              <w:jc w:val="right"/>
              <w:rPr>
                <w:rFonts w:ascii="Times New Roman" w:hAnsi="Times New Roman" w:cs="Times New Roman" w:eastAsia="Times New Roman" w:hint="default"/>
                <w:sz w:val="13"/>
                <w:szCs w:val="13"/>
              </w:rPr>
            </w:pPr>
            <w:r>
              <w:rPr>
                <w:rFonts w:ascii="Times New Roman"/>
                <w:w w:val="95"/>
                <w:sz w:val="13"/>
              </w:rPr>
              <w:t>12,000,000</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北京东软时代信息技术有限公司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9"/>
              <w:jc w:val="right"/>
              <w:rPr>
                <w:rFonts w:ascii="Times New Roman" w:hAnsi="Times New Roman" w:cs="Times New Roman" w:eastAsia="Times New Roman" w:hint="default"/>
                <w:sz w:val="13"/>
                <w:szCs w:val="13"/>
              </w:rPr>
            </w:pPr>
            <w:r>
              <w:rPr>
                <w:rFonts w:ascii="Times New Roman"/>
                <w:w w:val="95"/>
                <w:sz w:val="13"/>
              </w:rPr>
              <w:t>7,000,000</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2"/>
              <w:jc w:val="right"/>
              <w:rPr>
                <w:rFonts w:ascii="Times New Roman" w:hAnsi="Times New Roman" w:cs="Times New Roman" w:eastAsia="Times New Roman" w:hint="default"/>
                <w:sz w:val="13"/>
                <w:szCs w:val="13"/>
              </w:rPr>
            </w:pPr>
            <w:r>
              <w:rPr>
                <w:rFonts w:ascii="Times New Roman"/>
                <w:w w:val="95"/>
                <w:sz w:val="13"/>
              </w:rPr>
              <w:t>7,000,000</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8"/>
              <w:jc w:val="right"/>
              <w:rPr>
                <w:rFonts w:ascii="Times New Roman" w:hAnsi="Times New Roman" w:cs="Times New Roman" w:eastAsia="Times New Roman" w:hint="default"/>
                <w:sz w:val="13"/>
                <w:szCs w:val="13"/>
              </w:rPr>
            </w:pPr>
            <w:r>
              <w:rPr>
                <w:rFonts w:ascii="Times New Roman"/>
                <w:w w:val="95"/>
                <w:sz w:val="13"/>
              </w:rPr>
              <w:t>7,000,000</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深圳市东软软件有限公司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70"/>
              <w:jc w:val="right"/>
              <w:rPr>
                <w:rFonts w:ascii="Times New Roman" w:hAnsi="Times New Roman" w:cs="Times New Roman" w:eastAsia="Times New Roman" w:hint="default"/>
                <w:sz w:val="13"/>
                <w:szCs w:val="13"/>
              </w:rPr>
            </w:pPr>
            <w:r>
              <w:rPr>
                <w:rFonts w:ascii="Times New Roman"/>
                <w:w w:val="95"/>
                <w:sz w:val="13"/>
              </w:rPr>
              <w:t>5,000,000</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2"/>
              <w:jc w:val="right"/>
              <w:rPr>
                <w:rFonts w:ascii="Times New Roman" w:hAnsi="Times New Roman" w:cs="Times New Roman" w:eastAsia="Times New Roman" w:hint="default"/>
                <w:sz w:val="13"/>
                <w:szCs w:val="13"/>
              </w:rPr>
            </w:pPr>
            <w:r>
              <w:rPr>
                <w:rFonts w:ascii="Times New Roman"/>
                <w:w w:val="95"/>
                <w:sz w:val="13"/>
              </w:rPr>
              <w:t>5,000,000</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8"/>
              <w:jc w:val="right"/>
              <w:rPr>
                <w:rFonts w:ascii="Times New Roman" w:hAnsi="Times New Roman" w:cs="Times New Roman" w:eastAsia="Times New Roman" w:hint="default"/>
                <w:sz w:val="13"/>
                <w:szCs w:val="13"/>
              </w:rPr>
            </w:pPr>
            <w:r>
              <w:rPr>
                <w:rFonts w:ascii="Times New Roman"/>
                <w:w w:val="95"/>
                <w:sz w:val="13"/>
              </w:rPr>
              <w:t>5,000,000</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上海东软时代信息集成技术有限公司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9"/>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2"/>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8"/>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沈阳东软医疗系统有限公司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70"/>
              <w:jc w:val="right"/>
              <w:rPr>
                <w:rFonts w:ascii="Times New Roman" w:hAnsi="Times New Roman" w:cs="Times New Roman" w:eastAsia="Times New Roman" w:hint="default"/>
                <w:sz w:val="13"/>
                <w:szCs w:val="13"/>
              </w:rPr>
            </w:pPr>
            <w:r>
              <w:rPr>
                <w:rFonts w:ascii="Times New Roman"/>
                <w:w w:val="95"/>
                <w:sz w:val="13"/>
              </w:rPr>
              <w:t>87,082,539</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2"/>
              <w:jc w:val="right"/>
              <w:rPr>
                <w:rFonts w:ascii="Times New Roman" w:hAnsi="Times New Roman" w:cs="Times New Roman" w:eastAsia="Times New Roman" w:hint="default"/>
                <w:sz w:val="13"/>
                <w:szCs w:val="13"/>
              </w:rPr>
            </w:pPr>
            <w:r>
              <w:rPr>
                <w:rFonts w:ascii="Times New Roman"/>
                <w:w w:val="95"/>
                <w:sz w:val="13"/>
              </w:rPr>
              <w:t>87,082,539</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8"/>
              <w:jc w:val="right"/>
              <w:rPr>
                <w:rFonts w:ascii="Times New Roman" w:hAnsi="Times New Roman" w:cs="Times New Roman" w:eastAsia="Times New Roman" w:hint="default"/>
                <w:sz w:val="13"/>
                <w:szCs w:val="13"/>
              </w:rPr>
            </w:pPr>
            <w:r>
              <w:rPr>
                <w:rFonts w:ascii="Times New Roman"/>
                <w:w w:val="95"/>
                <w:sz w:val="13"/>
              </w:rPr>
              <w:t>87,082,539</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山东东软系统集成有限公司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70"/>
              <w:jc w:val="right"/>
              <w:rPr>
                <w:rFonts w:ascii="Times New Roman" w:hAnsi="Times New Roman" w:cs="Times New Roman" w:eastAsia="Times New Roman" w:hint="default"/>
                <w:sz w:val="13"/>
                <w:szCs w:val="13"/>
              </w:rPr>
            </w:pPr>
            <w:r>
              <w:rPr>
                <w:rFonts w:ascii="Times New Roman"/>
                <w:w w:val="95"/>
                <w:sz w:val="13"/>
              </w:rPr>
              <w:t>15,000,000</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2"/>
              <w:jc w:val="right"/>
              <w:rPr>
                <w:rFonts w:ascii="Times New Roman" w:hAnsi="Times New Roman" w:cs="Times New Roman" w:eastAsia="Times New Roman" w:hint="default"/>
                <w:sz w:val="13"/>
                <w:szCs w:val="13"/>
              </w:rPr>
            </w:pPr>
            <w:r>
              <w:rPr>
                <w:rFonts w:ascii="Times New Roman"/>
                <w:w w:val="95"/>
                <w:sz w:val="13"/>
              </w:rPr>
              <w:t>15,000,000</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8"/>
              <w:jc w:val="right"/>
              <w:rPr>
                <w:rFonts w:ascii="Times New Roman" w:hAnsi="Times New Roman" w:cs="Times New Roman" w:eastAsia="Times New Roman" w:hint="default"/>
                <w:sz w:val="13"/>
                <w:szCs w:val="13"/>
              </w:rPr>
            </w:pPr>
            <w:r>
              <w:rPr>
                <w:rFonts w:ascii="Times New Roman"/>
                <w:w w:val="95"/>
                <w:sz w:val="13"/>
              </w:rPr>
              <w:t>15,000,000</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大连东软金融信息技术有限公司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9"/>
              <w:jc w:val="right"/>
              <w:rPr>
                <w:rFonts w:ascii="Times New Roman" w:hAnsi="Times New Roman" w:cs="Times New Roman" w:eastAsia="Times New Roman" w:hint="default"/>
                <w:sz w:val="13"/>
                <w:szCs w:val="13"/>
              </w:rPr>
            </w:pPr>
            <w:r>
              <w:rPr>
                <w:rFonts w:ascii="Times New Roman"/>
                <w:w w:val="95"/>
                <w:sz w:val="13"/>
              </w:rPr>
              <w:t>13,491,850</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2"/>
              <w:jc w:val="right"/>
              <w:rPr>
                <w:rFonts w:ascii="Times New Roman" w:hAnsi="Times New Roman" w:cs="Times New Roman" w:eastAsia="Times New Roman" w:hint="default"/>
                <w:sz w:val="13"/>
                <w:szCs w:val="13"/>
              </w:rPr>
            </w:pPr>
            <w:r>
              <w:rPr>
                <w:rFonts w:ascii="Times New Roman"/>
                <w:w w:val="95"/>
                <w:sz w:val="13"/>
              </w:rPr>
              <w:t>13,491,850</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8"/>
              <w:jc w:val="right"/>
              <w:rPr>
                <w:rFonts w:ascii="Times New Roman" w:hAnsi="Times New Roman" w:cs="Times New Roman" w:eastAsia="Times New Roman" w:hint="default"/>
                <w:sz w:val="13"/>
                <w:szCs w:val="13"/>
              </w:rPr>
            </w:pPr>
            <w:r>
              <w:rPr>
                <w:rFonts w:ascii="Times New Roman"/>
                <w:w w:val="95"/>
                <w:sz w:val="13"/>
              </w:rPr>
              <w:t>13,491,850</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7"/>
              <w:jc w:val="right"/>
              <w:rPr>
                <w:rFonts w:ascii="Times New Roman" w:hAnsi="Times New Roman" w:cs="Times New Roman" w:eastAsia="Times New Roman" w:hint="default"/>
                <w:sz w:val="13"/>
                <w:szCs w:val="13"/>
              </w:rPr>
            </w:pPr>
            <w:r>
              <w:rPr>
                <w:rFonts w:ascii="Times New Roman"/>
                <w:w w:val="95"/>
                <w:sz w:val="13"/>
              </w:rPr>
              <w:t>69.00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83"/>
              <w:jc w:val="right"/>
              <w:rPr>
                <w:rFonts w:ascii="Times New Roman" w:hAnsi="Times New Roman" w:cs="Times New Roman" w:eastAsia="Times New Roman" w:hint="default"/>
                <w:sz w:val="13"/>
                <w:szCs w:val="13"/>
              </w:rPr>
            </w:pPr>
            <w:r>
              <w:rPr>
                <w:rFonts w:ascii="Times New Roman"/>
                <w:w w:val="95"/>
                <w:sz w:val="13"/>
              </w:rPr>
              <w:t>69.00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沈阳东软博安软件有限公司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70"/>
              <w:jc w:val="right"/>
              <w:rPr>
                <w:rFonts w:ascii="Times New Roman" w:hAnsi="Times New Roman" w:cs="Times New Roman" w:eastAsia="Times New Roman" w:hint="default"/>
                <w:sz w:val="13"/>
                <w:szCs w:val="13"/>
              </w:rPr>
            </w:pPr>
            <w:r>
              <w:rPr>
                <w:rFonts w:ascii="Times New Roman"/>
                <w:w w:val="95"/>
                <w:sz w:val="13"/>
              </w:rPr>
              <w:t>12,416,895</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2"/>
              <w:jc w:val="right"/>
              <w:rPr>
                <w:rFonts w:ascii="Times New Roman" w:hAnsi="Times New Roman" w:cs="Times New Roman" w:eastAsia="Times New Roman" w:hint="default"/>
                <w:sz w:val="13"/>
                <w:szCs w:val="13"/>
              </w:rPr>
            </w:pPr>
            <w:r>
              <w:rPr>
                <w:rFonts w:ascii="Times New Roman"/>
                <w:w w:val="95"/>
                <w:sz w:val="13"/>
              </w:rPr>
              <w:t>12,416,895</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8"/>
              <w:jc w:val="right"/>
              <w:rPr>
                <w:rFonts w:ascii="Times New Roman" w:hAnsi="Times New Roman" w:cs="Times New Roman" w:eastAsia="Times New Roman" w:hint="default"/>
                <w:sz w:val="13"/>
                <w:szCs w:val="13"/>
              </w:rPr>
            </w:pPr>
            <w:r>
              <w:rPr>
                <w:rFonts w:ascii="Times New Roman"/>
                <w:w w:val="95"/>
                <w:sz w:val="13"/>
              </w:rPr>
              <w:t>12,416,895</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7"/>
              <w:jc w:val="right"/>
              <w:rPr>
                <w:rFonts w:ascii="Times New Roman" w:hAnsi="Times New Roman" w:cs="Times New Roman" w:eastAsia="Times New Roman" w:hint="default"/>
                <w:sz w:val="13"/>
                <w:szCs w:val="13"/>
              </w:rPr>
            </w:pPr>
            <w:r>
              <w:rPr>
                <w:rFonts w:ascii="Times New Roman"/>
                <w:w w:val="95"/>
                <w:sz w:val="13"/>
              </w:rPr>
              <w:t>60.00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3"/>
              <w:jc w:val="right"/>
              <w:rPr>
                <w:rFonts w:ascii="Times New Roman" w:hAnsi="Times New Roman" w:cs="Times New Roman" w:eastAsia="Times New Roman" w:hint="default"/>
                <w:sz w:val="13"/>
                <w:szCs w:val="13"/>
              </w:rPr>
            </w:pPr>
            <w:r>
              <w:rPr>
                <w:rFonts w:ascii="Times New Roman"/>
                <w:w w:val="95"/>
                <w:sz w:val="13"/>
              </w:rPr>
              <w:t>60.00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南京东软系统集成有限公司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70"/>
              <w:jc w:val="right"/>
              <w:rPr>
                <w:rFonts w:ascii="Times New Roman" w:hAnsi="Times New Roman" w:cs="Times New Roman" w:eastAsia="Times New Roman" w:hint="default"/>
                <w:sz w:val="13"/>
                <w:szCs w:val="13"/>
              </w:rPr>
            </w:pPr>
            <w:r>
              <w:rPr>
                <w:rFonts w:ascii="Times New Roman"/>
                <w:w w:val="95"/>
                <w:sz w:val="13"/>
              </w:rPr>
              <w:t>12,000,000</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2"/>
              <w:jc w:val="right"/>
              <w:rPr>
                <w:rFonts w:ascii="Times New Roman" w:hAnsi="Times New Roman" w:cs="Times New Roman" w:eastAsia="Times New Roman" w:hint="default"/>
                <w:sz w:val="13"/>
                <w:szCs w:val="13"/>
              </w:rPr>
            </w:pPr>
            <w:r>
              <w:rPr>
                <w:rFonts w:ascii="Times New Roman"/>
                <w:w w:val="95"/>
                <w:sz w:val="13"/>
              </w:rPr>
              <w:t>12,000,000</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8"/>
              <w:jc w:val="right"/>
              <w:rPr>
                <w:rFonts w:ascii="Times New Roman" w:hAnsi="Times New Roman" w:cs="Times New Roman" w:eastAsia="Times New Roman" w:hint="default"/>
                <w:sz w:val="13"/>
                <w:szCs w:val="13"/>
              </w:rPr>
            </w:pPr>
            <w:r>
              <w:rPr>
                <w:rFonts w:ascii="Times New Roman"/>
                <w:w w:val="95"/>
                <w:sz w:val="13"/>
              </w:rPr>
              <w:t>12,000,000</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东软（香港）有限公司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0"/>
              <w:jc w:val="right"/>
              <w:rPr>
                <w:rFonts w:ascii="Times New Roman" w:hAnsi="Times New Roman" w:cs="Times New Roman" w:eastAsia="Times New Roman" w:hint="default"/>
                <w:sz w:val="13"/>
                <w:szCs w:val="13"/>
              </w:rPr>
            </w:pPr>
            <w:r>
              <w:rPr>
                <w:rFonts w:ascii="Times New Roman"/>
                <w:w w:val="95"/>
                <w:sz w:val="13"/>
              </w:rPr>
              <w:t>7,037,915</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2"/>
              <w:jc w:val="right"/>
              <w:rPr>
                <w:rFonts w:ascii="Times New Roman" w:hAnsi="Times New Roman" w:cs="Times New Roman" w:eastAsia="Times New Roman" w:hint="default"/>
                <w:sz w:val="13"/>
                <w:szCs w:val="13"/>
              </w:rPr>
            </w:pPr>
            <w:r>
              <w:rPr>
                <w:rFonts w:ascii="Times New Roman"/>
                <w:w w:val="95"/>
                <w:sz w:val="13"/>
              </w:rPr>
              <w:t>7,037,915</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8"/>
              <w:jc w:val="right"/>
              <w:rPr>
                <w:rFonts w:ascii="Times New Roman" w:hAnsi="Times New Roman" w:cs="Times New Roman" w:eastAsia="Times New Roman" w:hint="default"/>
                <w:sz w:val="13"/>
                <w:szCs w:val="13"/>
              </w:rPr>
            </w:pPr>
            <w:r>
              <w:rPr>
                <w:rFonts w:ascii="Times New Roman"/>
                <w:w w:val="95"/>
                <w:sz w:val="13"/>
              </w:rPr>
              <w:t>7,037,915</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成都东软系统集成有限公司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70"/>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2"/>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8"/>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秦皇岛东软软件有限公司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70"/>
              <w:jc w:val="right"/>
              <w:rPr>
                <w:rFonts w:ascii="Times New Roman" w:hAnsi="Times New Roman" w:cs="Times New Roman" w:eastAsia="Times New Roman" w:hint="default"/>
                <w:sz w:val="13"/>
                <w:szCs w:val="13"/>
              </w:rPr>
            </w:pPr>
            <w:r>
              <w:rPr>
                <w:rFonts w:ascii="Times New Roman"/>
                <w:w w:val="95"/>
                <w:sz w:val="13"/>
              </w:rPr>
              <w:t>8,500,000</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2"/>
              <w:jc w:val="right"/>
              <w:rPr>
                <w:rFonts w:ascii="Times New Roman" w:hAnsi="Times New Roman" w:cs="Times New Roman" w:eastAsia="Times New Roman" w:hint="default"/>
                <w:sz w:val="13"/>
                <w:szCs w:val="13"/>
              </w:rPr>
            </w:pPr>
            <w:r>
              <w:rPr>
                <w:rFonts w:ascii="Times New Roman"/>
                <w:w w:val="95"/>
                <w:sz w:val="13"/>
              </w:rPr>
              <w:t>8,500,000</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8"/>
              <w:jc w:val="right"/>
              <w:rPr>
                <w:rFonts w:ascii="Times New Roman" w:hAnsi="Times New Roman" w:cs="Times New Roman" w:eastAsia="Times New Roman" w:hint="default"/>
                <w:sz w:val="13"/>
                <w:szCs w:val="13"/>
              </w:rPr>
            </w:pPr>
            <w:r>
              <w:rPr>
                <w:rFonts w:ascii="Times New Roman"/>
                <w:w w:val="95"/>
                <w:sz w:val="13"/>
              </w:rPr>
              <w:t>8,500,000</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7"/>
              <w:jc w:val="right"/>
              <w:rPr>
                <w:rFonts w:ascii="Times New Roman" w:hAnsi="Times New Roman" w:cs="Times New Roman" w:eastAsia="Times New Roman" w:hint="default"/>
                <w:sz w:val="13"/>
                <w:szCs w:val="13"/>
              </w:rPr>
            </w:pPr>
            <w:r>
              <w:rPr>
                <w:rFonts w:ascii="Times New Roman"/>
                <w:w w:val="95"/>
                <w:sz w:val="13"/>
              </w:rPr>
              <w:t>85.00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3"/>
              <w:jc w:val="right"/>
              <w:rPr>
                <w:rFonts w:ascii="Times New Roman" w:hAnsi="Times New Roman" w:cs="Times New Roman" w:eastAsia="Times New Roman" w:hint="default"/>
                <w:sz w:val="13"/>
                <w:szCs w:val="13"/>
              </w:rPr>
            </w:pPr>
            <w:r>
              <w:rPr>
                <w:rFonts w:ascii="Times New Roman"/>
                <w:w w:val="95"/>
                <w:sz w:val="13"/>
              </w:rPr>
              <w:t>85.00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上海东软时代数码技术有限公司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9"/>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2"/>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8"/>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东软（日本）有限公司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70"/>
              <w:jc w:val="right"/>
              <w:rPr>
                <w:rFonts w:ascii="Times New Roman" w:hAnsi="Times New Roman" w:cs="Times New Roman" w:eastAsia="Times New Roman" w:hint="default"/>
                <w:sz w:val="13"/>
                <w:szCs w:val="13"/>
              </w:rPr>
            </w:pPr>
            <w:r>
              <w:rPr>
                <w:rFonts w:ascii="Times New Roman"/>
                <w:spacing w:val="-1"/>
                <w:sz w:val="13"/>
              </w:rPr>
              <w:t>11,826,901</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2"/>
              <w:jc w:val="right"/>
              <w:rPr>
                <w:rFonts w:ascii="Times New Roman" w:hAnsi="Times New Roman" w:cs="Times New Roman" w:eastAsia="Times New Roman" w:hint="default"/>
                <w:sz w:val="13"/>
                <w:szCs w:val="13"/>
              </w:rPr>
            </w:pPr>
            <w:r>
              <w:rPr>
                <w:rFonts w:ascii="Times New Roman"/>
                <w:spacing w:val="-1"/>
                <w:sz w:val="13"/>
              </w:rPr>
              <w:t>11,826,901</w:t>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8"/>
              <w:jc w:val="right"/>
              <w:rPr>
                <w:rFonts w:ascii="Times New Roman" w:hAnsi="Times New Roman" w:cs="Times New Roman" w:eastAsia="Times New Roman" w:hint="default"/>
                <w:sz w:val="13"/>
                <w:szCs w:val="13"/>
              </w:rPr>
            </w:pPr>
            <w:r>
              <w:rPr>
                <w:rFonts w:ascii="Times New Roman"/>
                <w:spacing w:val="-1"/>
                <w:sz w:val="13"/>
              </w:rPr>
              <w:t>11,826,901</w:t>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1"/>
              <w:jc w:val="right"/>
              <w:rPr>
                <w:rFonts w:ascii="Times New Roman" w:hAnsi="Times New Roman" w:cs="Times New Roman" w:eastAsia="Times New Roman" w:hint="default"/>
                <w:sz w:val="13"/>
                <w:szCs w:val="13"/>
              </w:rPr>
            </w:pPr>
            <w:r>
              <w:rPr>
                <w:rFonts w:ascii="Times New Roman"/>
                <w:w w:val="95"/>
                <w:sz w:val="13"/>
              </w:rPr>
              <w:t>1,307,303</w:t>
            </w:r>
            <w:r>
              <w:rPr>
                <w:rFonts w:ascii="Times New Roman"/>
                <w:sz w:val="13"/>
              </w:rPr>
            </w: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广东东软软件有限公司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70"/>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2"/>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8"/>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西安东软系统集成有限公司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70"/>
              <w:jc w:val="right"/>
              <w:rPr>
                <w:rFonts w:ascii="Times New Roman" w:hAnsi="Times New Roman" w:cs="Times New Roman" w:eastAsia="Times New Roman" w:hint="default"/>
                <w:sz w:val="13"/>
                <w:szCs w:val="13"/>
              </w:rPr>
            </w:pPr>
            <w:r>
              <w:rPr>
                <w:rFonts w:ascii="Times New Roman"/>
                <w:w w:val="95"/>
                <w:sz w:val="13"/>
              </w:rPr>
              <w:t>22,502,469</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2"/>
              <w:jc w:val="right"/>
              <w:rPr>
                <w:rFonts w:ascii="Times New Roman" w:hAnsi="Times New Roman" w:cs="Times New Roman" w:eastAsia="Times New Roman" w:hint="default"/>
                <w:sz w:val="13"/>
                <w:szCs w:val="13"/>
              </w:rPr>
            </w:pPr>
            <w:r>
              <w:rPr>
                <w:rFonts w:ascii="Times New Roman"/>
                <w:w w:val="95"/>
                <w:sz w:val="13"/>
              </w:rPr>
              <w:t>22,502,469</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8"/>
              <w:jc w:val="right"/>
              <w:rPr>
                <w:rFonts w:ascii="Times New Roman" w:hAnsi="Times New Roman" w:cs="Times New Roman" w:eastAsia="Times New Roman" w:hint="default"/>
                <w:sz w:val="13"/>
                <w:szCs w:val="13"/>
              </w:rPr>
            </w:pPr>
            <w:r>
              <w:rPr>
                <w:rFonts w:ascii="Times New Roman"/>
                <w:w w:val="95"/>
                <w:sz w:val="13"/>
              </w:rPr>
              <w:t>22,502,469</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武汉东软信息技术有限公司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70"/>
              <w:jc w:val="right"/>
              <w:rPr>
                <w:rFonts w:ascii="Times New Roman" w:hAnsi="Times New Roman" w:cs="Times New Roman" w:eastAsia="Times New Roman" w:hint="default"/>
                <w:sz w:val="13"/>
                <w:szCs w:val="13"/>
              </w:rPr>
            </w:pPr>
            <w:r>
              <w:rPr>
                <w:rFonts w:ascii="Times New Roman"/>
                <w:w w:val="95"/>
                <w:sz w:val="13"/>
              </w:rPr>
              <w:t>15,000,000</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2"/>
              <w:jc w:val="right"/>
              <w:rPr>
                <w:rFonts w:ascii="Times New Roman" w:hAnsi="Times New Roman" w:cs="Times New Roman" w:eastAsia="Times New Roman" w:hint="default"/>
                <w:sz w:val="13"/>
                <w:szCs w:val="13"/>
              </w:rPr>
            </w:pPr>
            <w:r>
              <w:rPr>
                <w:rFonts w:ascii="Times New Roman"/>
                <w:w w:val="95"/>
                <w:sz w:val="13"/>
              </w:rPr>
              <w:t>15,000,000</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8"/>
              <w:jc w:val="right"/>
              <w:rPr>
                <w:rFonts w:ascii="Times New Roman" w:hAnsi="Times New Roman" w:cs="Times New Roman" w:eastAsia="Times New Roman" w:hint="default"/>
                <w:sz w:val="13"/>
                <w:szCs w:val="13"/>
              </w:rPr>
            </w:pPr>
            <w:r>
              <w:rPr>
                <w:rFonts w:ascii="Times New Roman"/>
                <w:w w:val="95"/>
                <w:sz w:val="13"/>
              </w:rPr>
              <w:t>15,000,000</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北京兰瑞科创信息技术有限公司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9"/>
              <w:jc w:val="right"/>
              <w:rPr>
                <w:rFonts w:ascii="Times New Roman" w:hAnsi="Times New Roman" w:cs="Times New Roman" w:eastAsia="Times New Roman" w:hint="default"/>
                <w:sz w:val="13"/>
                <w:szCs w:val="13"/>
              </w:rPr>
            </w:pPr>
            <w:r>
              <w:rPr>
                <w:rFonts w:ascii="Times New Roman"/>
                <w:w w:val="95"/>
                <w:sz w:val="13"/>
              </w:rPr>
              <w:t>9,454,820</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2"/>
              <w:jc w:val="right"/>
              <w:rPr>
                <w:rFonts w:ascii="Times New Roman" w:hAnsi="Times New Roman" w:cs="Times New Roman" w:eastAsia="Times New Roman" w:hint="default"/>
                <w:sz w:val="13"/>
                <w:szCs w:val="13"/>
              </w:rPr>
            </w:pPr>
            <w:r>
              <w:rPr>
                <w:rFonts w:ascii="Times New Roman"/>
                <w:w w:val="95"/>
                <w:sz w:val="13"/>
              </w:rPr>
              <w:t>9,454,820</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8"/>
              <w:jc w:val="right"/>
              <w:rPr>
                <w:rFonts w:ascii="Times New Roman" w:hAnsi="Times New Roman" w:cs="Times New Roman" w:eastAsia="Times New Roman" w:hint="default"/>
                <w:sz w:val="13"/>
                <w:szCs w:val="13"/>
              </w:rPr>
            </w:pPr>
            <w:r>
              <w:rPr>
                <w:rFonts w:ascii="Times New Roman"/>
                <w:w w:val="95"/>
                <w:sz w:val="13"/>
              </w:rPr>
              <w:t>9,454,820</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1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北京东软超越软件技术有限公司</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9"/>
              <w:jc w:val="right"/>
              <w:rPr>
                <w:rFonts w:ascii="Times New Roman" w:hAnsi="Times New Roman" w:cs="Times New Roman" w:eastAsia="Times New Roman" w:hint="default"/>
                <w:sz w:val="13"/>
                <w:szCs w:val="13"/>
              </w:rPr>
            </w:pPr>
            <w:r>
              <w:rPr>
                <w:rFonts w:ascii="Times New Roman"/>
                <w:w w:val="95"/>
                <w:sz w:val="13"/>
              </w:rPr>
              <w:t>64,396,361</w:t>
            </w:r>
            <w:r>
              <w:rPr>
                <w:rFonts w:ascii="Times New Roman"/>
                <w:sz w:val="13"/>
              </w:rPr>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2"/>
              <w:jc w:val="right"/>
              <w:rPr>
                <w:rFonts w:ascii="Times New Roman" w:hAnsi="Times New Roman" w:cs="Times New Roman" w:eastAsia="Times New Roman" w:hint="default"/>
                <w:sz w:val="13"/>
                <w:szCs w:val="13"/>
              </w:rPr>
            </w:pPr>
            <w:r>
              <w:rPr>
                <w:rFonts w:ascii="Times New Roman"/>
                <w:w w:val="95"/>
                <w:sz w:val="13"/>
              </w:rPr>
              <w:t>64,396,361</w:t>
            </w:r>
            <w:r>
              <w:rPr>
                <w:rFonts w:ascii="Times New Roman"/>
                <w:sz w:val="13"/>
              </w:rPr>
            </w:r>
          </w:p>
        </w:tc>
        <w:tc>
          <w:tcPr>
            <w:tcW w:w="995" w:type="dxa"/>
            <w:tcBorders>
              <w:top w:val="nil" w:sz="6" w:space="0" w:color="auto"/>
              <w:left w:val="nil" w:sz="6" w:space="0" w:color="auto"/>
              <w:bottom w:val="nil" w:sz="6" w:space="0" w:color="auto"/>
              <w:right w:val="nil" w:sz="6" w:space="0" w:color="auto"/>
            </w:tcBorders>
          </w:tcPr>
          <w:p>
            <w:pP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8"/>
              <w:jc w:val="right"/>
              <w:rPr>
                <w:rFonts w:ascii="Times New Roman" w:hAnsi="Times New Roman" w:cs="Times New Roman" w:eastAsia="Times New Roman" w:hint="default"/>
                <w:sz w:val="13"/>
                <w:szCs w:val="13"/>
              </w:rPr>
            </w:pPr>
            <w:r>
              <w:rPr>
                <w:rFonts w:ascii="Times New Roman"/>
                <w:w w:val="95"/>
                <w:sz w:val="13"/>
              </w:rPr>
              <w:t>64,396,361</w:t>
            </w:r>
            <w:r>
              <w:rPr>
                <w:rFonts w:ascii="Times New Roman"/>
                <w:sz w:val="13"/>
              </w:rPr>
            </w:r>
          </w:p>
        </w:tc>
        <w:tc>
          <w:tcPr>
            <w:tcW w:w="94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7"/>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83"/>
              <w:jc w:val="right"/>
              <w:rPr>
                <w:rFonts w:ascii="Times New Roman" w:hAnsi="Times New Roman" w:cs="Times New Roman" w:eastAsia="Times New Roman" w:hint="default"/>
                <w:sz w:val="13"/>
                <w:szCs w:val="13"/>
              </w:rPr>
            </w:pPr>
            <w:r>
              <w:rPr>
                <w:rFonts w:ascii="Times New Roman"/>
                <w:w w:val="95"/>
                <w:sz w:val="13"/>
              </w:rPr>
              <w:t>100.00</w:t>
            </w:r>
            <w:r>
              <w:rPr>
                <w:rFonts w:ascii="Times New Roman"/>
                <w:sz w:val="13"/>
              </w:rPr>
            </w:r>
          </w:p>
        </w:tc>
        <w:tc>
          <w:tcPr>
            <w:tcW w:w="159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269" w:hRule="exact"/>
        </w:trPr>
        <w:tc>
          <w:tcPr>
            <w:tcW w:w="2291" w:type="dxa"/>
            <w:tcBorders>
              <w:top w:val="nil" w:sz="6" w:space="0" w:color="auto"/>
              <w:left w:val="nil" w:sz="6" w:space="0" w:color="auto"/>
              <w:bottom w:val="single" w:sz="8" w:space="0" w:color="000000"/>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东软（美国）有限公司</w:t>
            </w:r>
          </w:p>
        </w:tc>
        <w:tc>
          <w:tcPr>
            <w:tcW w:w="843" w:type="dxa"/>
            <w:tcBorders>
              <w:top w:val="nil" w:sz="6" w:space="0" w:color="auto"/>
              <w:left w:val="nil" w:sz="6" w:space="0" w:color="auto"/>
              <w:bottom w:val="single" w:sz="8" w:space="0" w:color="000000"/>
              <w:right w:val="nil" w:sz="6" w:space="0" w:color="auto"/>
            </w:tcBorders>
          </w:tcPr>
          <w:p>
            <w:pPr>
              <w:pStyle w:val="TableParagraph"/>
              <w:spacing w:line="240" w:lineRule="auto" w:before="46"/>
              <w:ind w:left="145" w:right="0"/>
              <w:jc w:val="left"/>
              <w:rPr>
                <w:rFonts w:ascii="宋体" w:hAnsi="宋体" w:cs="宋体" w:eastAsia="宋体" w:hint="default"/>
                <w:sz w:val="13"/>
                <w:szCs w:val="13"/>
              </w:rPr>
            </w:pPr>
            <w:r>
              <w:rPr>
                <w:rFonts w:ascii="宋体" w:hAnsi="宋体" w:cs="宋体" w:eastAsia="宋体" w:hint="default"/>
                <w:sz w:val="13"/>
                <w:szCs w:val="13"/>
              </w:rPr>
              <w:t>成本法</w:t>
            </w:r>
          </w:p>
        </w:tc>
        <w:tc>
          <w:tcPr>
            <w:tcW w:w="1058"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170"/>
              <w:jc w:val="right"/>
              <w:rPr>
                <w:rFonts w:ascii="Times New Roman" w:hAnsi="Times New Roman" w:cs="Times New Roman" w:eastAsia="Times New Roman" w:hint="default"/>
                <w:sz w:val="13"/>
                <w:szCs w:val="13"/>
              </w:rPr>
            </w:pPr>
            <w:r>
              <w:rPr>
                <w:rFonts w:ascii="Times New Roman"/>
                <w:w w:val="95"/>
                <w:sz w:val="13"/>
              </w:rPr>
              <w:t>7,364,681</w:t>
            </w:r>
            <w:r>
              <w:rPr>
                <w:rFonts w:ascii="Times New Roman"/>
                <w:sz w:val="13"/>
              </w:rPr>
            </w:r>
          </w:p>
        </w:tc>
        <w:tc>
          <w:tcPr>
            <w:tcW w:w="1051"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142"/>
              <w:jc w:val="right"/>
              <w:rPr>
                <w:rFonts w:ascii="Times New Roman" w:hAnsi="Times New Roman" w:cs="Times New Roman" w:eastAsia="Times New Roman" w:hint="default"/>
                <w:sz w:val="13"/>
                <w:szCs w:val="13"/>
              </w:rPr>
            </w:pPr>
            <w:r>
              <w:rPr>
                <w:rFonts w:ascii="Times New Roman"/>
                <w:w w:val="95"/>
                <w:sz w:val="13"/>
              </w:rPr>
              <w:t>7,364,681</w:t>
            </w:r>
            <w:r>
              <w:rPr>
                <w:rFonts w:ascii="Times New Roman"/>
                <w:sz w:val="13"/>
              </w:rPr>
            </w:r>
          </w:p>
        </w:tc>
        <w:tc>
          <w:tcPr>
            <w:tcW w:w="995"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168"/>
              <w:jc w:val="right"/>
              <w:rPr>
                <w:rFonts w:ascii="Times New Roman" w:hAnsi="Times New Roman" w:cs="Times New Roman" w:eastAsia="Times New Roman" w:hint="default"/>
                <w:sz w:val="13"/>
                <w:szCs w:val="13"/>
              </w:rPr>
            </w:pPr>
            <w:r>
              <w:rPr>
                <w:rFonts w:ascii="Times New Roman"/>
                <w:w w:val="95"/>
                <w:sz w:val="13"/>
              </w:rPr>
              <w:t>-7,364,681</w:t>
            </w:r>
            <w:r>
              <w:rPr>
                <w:rFonts w:ascii="Times New Roman"/>
                <w:sz w:val="13"/>
              </w:rPr>
            </w:r>
          </w:p>
        </w:tc>
        <w:tc>
          <w:tcPr>
            <w:tcW w:w="984" w:type="dxa"/>
            <w:tcBorders>
              <w:top w:val="nil" w:sz="6" w:space="0" w:color="auto"/>
              <w:left w:val="nil" w:sz="6" w:space="0" w:color="auto"/>
              <w:bottom w:val="single" w:sz="8" w:space="0" w:color="000000"/>
              <w:right w:val="nil" w:sz="6" w:space="0" w:color="auto"/>
            </w:tcBorders>
          </w:tcPr>
          <w:p>
            <w:pPr/>
          </w:p>
        </w:tc>
        <w:tc>
          <w:tcPr>
            <w:tcW w:w="943" w:type="dxa"/>
            <w:tcBorders>
              <w:top w:val="nil" w:sz="6" w:space="0" w:color="auto"/>
              <w:left w:val="nil" w:sz="6" w:space="0" w:color="auto"/>
              <w:bottom w:val="single" w:sz="8" w:space="0" w:color="000000"/>
              <w:right w:val="nil" w:sz="6" w:space="0" w:color="auto"/>
            </w:tcBorders>
          </w:tcPr>
          <w:p>
            <w:pPr/>
          </w:p>
        </w:tc>
        <w:tc>
          <w:tcPr>
            <w:tcW w:w="944" w:type="dxa"/>
            <w:tcBorders>
              <w:top w:val="nil" w:sz="6" w:space="0" w:color="auto"/>
              <w:left w:val="nil" w:sz="6" w:space="0" w:color="auto"/>
              <w:bottom w:val="single" w:sz="8" w:space="0" w:color="000000"/>
              <w:right w:val="nil" w:sz="6" w:space="0" w:color="auto"/>
            </w:tcBorders>
          </w:tcPr>
          <w:p>
            <w:pPr/>
          </w:p>
        </w:tc>
        <w:tc>
          <w:tcPr>
            <w:tcW w:w="1594" w:type="dxa"/>
            <w:tcBorders>
              <w:top w:val="nil" w:sz="6" w:space="0" w:color="auto"/>
              <w:left w:val="nil" w:sz="6" w:space="0" w:color="auto"/>
              <w:bottom w:val="single" w:sz="8" w:space="0" w:color="000000"/>
              <w:right w:val="nil" w:sz="6" w:space="0" w:color="auto"/>
            </w:tcBorders>
          </w:tcPr>
          <w:p>
            <w:pPr/>
          </w:p>
        </w:tc>
        <w:tc>
          <w:tcPr>
            <w:tcW w:w="749" w:type="dxa"/>
            <w:tcBorders>
              <w:top w:val="nil" w:sz="6" w:space="0" w:color="auto"/>
              <w:left w:val="nil" w:sz="6" w:space="0" w:color="auto"/>
              <w:bottom w:val="single" w:sz="8" w:space="0" w:color="000000"/>
              <w:right w:val="nil" w:sz="6" w:space="0" w:color="auto"/>
            </w:tcBorders>
          </w:tcPr>
          <w:p>
            <w:pPr/>
          </w:p>
        </w:tc>
        <w:tc>
          <w:tcPr>
            <w:tcW w:w="884" w:type="dxa"/>
            <w:tcBorders>
              <w:top w:val="nil" w:sz="6" w:space="0" w:color="auto"/>
              <w:left w:val="nil" w:sz="6" w:space="0" w:color="auto"/>
              <w:bottom w:val="single" w:sz="8" w:space="0" w:color="000000"/>
              <w:right w:val="nil" w:sz="6" w:space="0" w:color="auto"/>
            </w:tcBorders>
          </w:tcPr>
          <w:p>
            <w:pPr/>
          </w:p>
        </w:tc>
        <w:tc>
          <w:tcPr>
            <w:tcW w:w="1053" w:type="dxa"/>
            <w:tcBorders>
              <w:top w:val="nil" w:sz="6" w:space="0" w:color="auto"/>
              <w:left w:val="nil" w:sz="6" w:space="0" w:color="auto"/>
              <w:bottom w:val="single" w:sz="8" w:space="0" w:color="000000"/>
              <w:right w:val="nil" w:sz="6" w:space="0" w:color="auto"/>
            </w:tcBorders>
          </w:tcPr>
          <w:p>
            <w:pPr/>
          </w:p>
        </w:tc>
      </w:tr>
    </w:tbl>
    <w:p>
      <w:pPr>
        <w:spacing w:after="0"/>
        <w:sectPr>
          <w:headerReference w:type="default" r:id="rId170"/>
          <w:footerReference w:type="default" r:id="rId171"/>
          <w:pgSz w:w="16840" w:h="11900" w:orient="landscape"/>
          <w:pgMar w:header="883" w:footer="995" w:top="1600" w:bottom="1180" w:left="1300" w:right="1300"/>
          <w:pgNumType w:start="77"/>
        </w:sectPr>
      </w:pPr>
    </w:p>
    <w:p>
      <w:pPr>
        <w:spacing w:line="240" w:lineRule="auto" w:before="0"/>
        <w:rPr>
          <w:rFonts w:ascii="Times New Roman" w:hAnsi="Times New Roman" w:cs="Times New Roman" w:eastAsia="Times New Roman" w:hint="default"/>
          <w:sz w:val="20"/>
          <w:szCs w:val="20"/>
        </w:rPr>
      </w:pPr>
      <w:r>
        <w:rPr/>
        <w:pict>
          <v:group style="position:absolute;margin-left:101.991005pt;margin-top:89.879997pt;width:669.4pt;height:356.55pt;mso-position-horizontal-relative:page;mso-position-vertical-relative:page;z-index:-974824" coordorigin="2040,1798" coordsize="13388,7131">
            <v:group style="position:absolute;left:2049;top:1807;width:2364;height:2" coordorigin="2049,1807" coordsize="2364,2">
              <v:shape style="position:absolute;left:2049;top:1807;width:2364;height:2" coordorigin="2049,1807" coordsize="2364,0" path="m2049,1807l4413,1807e" filled="false" stroked="true" strokeweight=".95999pt" strokecolor="#000000">
                <v:path arrowok="t"/>
              </v:shape>
            </v:group>
            <v:group style="position:absolute;left:4413;top:1807;width:792;height:2" coordorigin="4413,1807" coordsize="792,2">
              <v:shape style="position:absolute;left:4413;top:1807;width:792;height:2" coordorigin="4413,1807" coordsize="792,0" path="m4413,1807l5205,1807e" filled="false" stroked="true" strokeweight=".95999pt" strokecolor="#000000">
                <v:path arrowok="t"/>
              </v:shape>
            </v:group>
            <v:group style="position:absolute;left:5205;top:1807;width:920;height:2" coordorigin="5205,1807" coordsize="920,2">
              <v:shape style="position:absolute;left:5205;top:1807;width:920;height:2" coordorigin="5205,1807" coordsize="920,0" path="m5205,1807l6125,1807e" filled="false" stroked="true" strokeweight=".95999pt" strokecolor="#000000">
                <v:path arrowok="t"/>
              </v:shape>
            </v:group>
            <v:group style="position:absolute;left:6125;top:1807;width:1079;height:2" coordorigin="6125,1807" coordsize="1079,2">
              <v:shape style="position:absolute;left:6125;top:1807;width:1079;height:2" coordorigin="6125,1807" coordsize="1079,0" path="m6125,1807l7203,1807e" filled="false" stroked="true" strokeweight=".95999pt" strokecolor="#000000">
                <v:path arrowok="t"/>
              </v:shape>
            </v:group>
            <v:group style="position:absolute;left:7203;top:1807;width:968;height:2" coordorigin="7203,1807" coordsize="968,2">
              <v:shape style="position:absolute;left:7203;top:1807;width:968;height:2" coordorigin="7203,1807" coordsize="968,0" path="m7203,1807l8171,1807e" filled="false" stroked="true" strokeweight=".95999pt" strokecolor="#000000">
                <v:path arrowok="t"/>
              </v:shape>
            </v:group>
            <v:group style="position:absolute;left:8171;top:1807;width:1076;height:2" coordorigin="8171,1807" coordsize="1076,2">
              <v:shape style="position:absolute;left:8171;top:1807;width:1076;height:2" coordorigin="8171,1807" coordsize="1076,0" path="m8171,1807l9246,1807e" filled="false" stroked="true" strokeweight=".95999pt" strokecolor="#000000">
                <v:path arrowok="t"/>
              </v:shape>
            </v:group>
            <v:group style="position:absolute;left:9246;top:1807;width:20;height:2" coordorigin="9246,1807" coordsize="20,2">
              <v:shape style="position:absolute;left:9246;top:1807;width:20;height:2" coordorigin="9246,1807" coordsize="20,0" path="m9246,1807l9265,1807e" filled="false" stroked="true" strokeweight=".95999pt" strokecolor="#000000">
                <v:path arrowok="t"/>
              </v:shape>
            </v:group>
            <v:group style="position:absolute;left:9265;top:1807;width:956;height:2" coordorigin="9265,1807" coordsize="956,2">
              <v:shape style="position:absolute;left:9265;top:1807;width:956;height:2" coordorigin="9265,1807" coordsize="956,0" path="m9265,1807l10220,1807e" filled="false" stroked="true" strokeweight=".96pt" strokecolor="#000000">
                <v:path arrowok="t"/>
              </v:shape>
            </v:group>
            <v:group style="position:absolute;left:10220;top:1807;width:908;height:2" coordorigin="10220,1807" coordsize="908,2">
              <v:shape style="position:absolute;left:10220;top:1807;width:908;height:2" coordorigin="10220,1807" coordsize="908,0" path="m10220,1807l11127,1807e" filled="false" stroked="true" strokeweight=".95999pt" strokecolor="#000000">
                <v:path arrowok="t"/>
              </v:shape>
            </v:group>
            <v:group style="position:absolute;left:11127;top:1807;width:1578;height:2" coordorigin="11127,1807" coordsize="1578,2">
              <v:shape style="position:absolute;left:11127;top:1807;width:1578;height:2" coordorigin="11127,1807" coordsize="1578,0" path="m11127,1807l12705,1807e" filled="false" stroked="true" strokeweight=".95999pt" strokecolor="#000000">
                <v:path arrowok="t"/>
              </v:shape>
            </v:group>
            <v:group style="position:absolute;left:12705;top:1807;width:821;height:2" coordorigin="12705,1807" coordsize="821,2">
              <v:shape style="position:absolute;left:12705;top:1807;width:821;height:2" coordorigin="12705,1807" coordsize="821,0" path="m12705,1807l13526,1807e" filled="false" stroked="true" strokeweight=".95999pt" strokecolor="#000000">
                <v:path arrowok="t"/>
              </v:shape>
            </v:group>
            <v:group style="position:absolute;left:13526;top:1807;width:821;height:2" coordorigin="13526,1807" coordsize="821,2">
              <v:shape style="position:absolute;left:13526;top:1807;width:821;height:2" coordorigin="13526,1807" coordsize="821,0" path="m13526,1807l14347,1807e" filled="false" stroked="true" strokeweight=".95999pt" strokecolor="#000000">
                <v:path arrowok="t"/>
              </v:shape>
            </v:group>
            <v:group style="position:absolute;left:14347;top:1807;width:1071;height:2" coordorigin="14347,1807" coordsize="1071,2">
              <v:shape style="position:absolute;left:14347;top:1807;width:1071;height:2" coordorigin="14347,1807" coordsize="1071,0" path="m14347,1807l15417,1807e" filled="false" stroked="true" strokeweight=".95999pt" strokecolor="#000000">
                <v:path arrowok="t"/>
              </v:shape>
              <v:shape style="position:absolute;left:2049;top:1817;width:13378;height:7111" type="#_x0000_t75" stroked="false">
                <v:imagedata r:id="rId173" o:title=""/>
              </v:shape>
              <v:shape style="position:absolute;left:9337;top:1947;width:3287;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在被投资单位   在被投资单位</w:t>
                      </w:r>
                      <w:r>
                        <w:rPr>
                          <w:rFonts w:ascii="宋体" w:hAnsi="宋体" w:cs="宋体" w:eastAsia="宋体" w:hint="default"/>
                          <w:spacing w:val="34"/>
                          <w:sz w:val="13"/>
                          <w:szCs w:val="13"/>
                        </w:rPr>
                        <w:t> </w:t>
                      </w:r>
                      <w:r>
                        <w:rPr>
                          <w:rFonts w:ascii="宋体" w:hAnsi="宋体" w:cs="宋体" w:eastAsia="宋体" w:hint="default"/>
                          <w:sz w:val="13"/>
                          <w:szCs w:val="13"/>
                        </w:rPr>
                        <w:t>在被投资单位持股比例与</w:t>
                      </w:r>
                    </w:p>
                  </w:txbxContent>
                </v:textbox>
                <w10:wrap type="none"/>
              </v:shape>
              <v:shape style="position:absolute;left:13605;top:1947;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本期计提减</w:t>
                      </w:r>
                      <w:r>
                        <w:rPr>
                          <w:rFonts w:ascii="宋体" w:hAnsi="宋体" w:cs="宋体" w:eastAsia="宋体" w:hint="default"/>
                          <w:sz w:val="13"/>
                          <w:szCs w:val="13"/>
                        </w:rPr>
                      </w:r>
                    </w:p>
                  </w:txbxContent>
                </v:textbox>
                <w10:wrap type="none"/>
              </v:shape>
              <v:shape style="position:absolute;left:2898;top:2097;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被投资单位</w:t>
                      </w:r>
                      <w:r>
                        <w:rPr>
                          <w:rFonts w:ascii="宋体" w:hAnsi="宋体" w:cs="宋体" w:eastAsia="宋体" w:hint="default"/>
                          <w:sz w:val="13"/>
                          <w:szCs w:val="13"/>
                        </w:rPr>
                      </w:r>
                    </w:p>
                  </w:txbxContent>
                </v:textbox>
                <w10:wrap type="none"/>
              </v:shape>
              <v:shape style="position:absolute;left:4549;top:2097;width:1500;height:130" type="#_x0000_t202" filled="false" stroked="false">
                <v:textbox inset="0,0,0,0">
                  <w:txbxContent>
                    <w:p>
                      <w:pPr>
                        <w:tabs>
                          <w:tab w:pos="721"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核算方法</w:t>
                        <w:tab/>
                        <w:t>初始投资成本</w:t>
                      </w:r>
                      <w:r>
                        <w:rPr>
                          <w:rFonts w:ascii="宋体" w:hAnsi="宋体" w:cs="宋体" w:eastAsia="宋体" w:hint="default"/>
                          <w:sz w:val="13"/>
                          <w:szCs w:val="13"/>
                        </w:rPr>
                      </w:r>
                    </w:p>
                  </w:txbxContent>
                </v:textbox>
                <w10:wrap type="none"/>
              </v:shape>
              <v:shape style="position:absolute;left:6398;top:2097;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期初金额</w:t>
                      </w:r>
                      <w:r>
                        <w:rPr>
                          <w:rFonts w:ascii="宋体" w:hAnsi="宋体" w:cs="宋体" w:eastAsia="宋体" w:hint="default"/>
                          <w:sz w:val="13"/>
                          <w:szCs w:val="13"/>
                        </w:rPr>
                      </w:r>
                    </w:p>
                  </w:txbxContent>
                </v:textbox>
                <w10:wrap type="none"/>
              </v:shape>
              <v:shape style="position:absolute;left:7422;top:2097;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增减变动</w:t>
                      </w:r>
                      <w:r>
                        <w:rPr>
                          <w:rFonts w:ascii="宋体" w:hAnsi="宋体" w:cs="宋体" w:eastAsia="宋体" w:hint="default"/>
                          <w:sz w:val="13"/>
                          <w:szCs w:val="13"/>
                        </w:rPr>
                      </w:r>
                    </w:p>
                  </w:txbxContent>
                </v:textbox>
                <w10:wrap type="none"/>
              </v:shape>
              <v:shape style="position:absolute;left:8443;top:2097;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期末金额</w:t>
                      </w:r>
                      <w:r>
                        <w:rPr>
                          <w:rFonts w:ascii="宋体" w:hAnsi="宋体" w:cs="宋体" w:eastAsia="宋体" w:hint="default"/>
                          <w:sz w:val="13"/>
                          <w:szCs w:val="13"/>
                        </w:rPr>
                      </w:r>
                    </w:p>
                  </w:txbxContent>
                </v:textbox>
                <w10:wrap type="none"/>
              </v:shape>
              <v:shape style="position:absolute;left:12851;top:2097;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减值准备</w:t>
                      </w:r>
                      <w:r>
                        <w:rPr>
                          <w:rFonts w:ascii="宋体" w:hAnsi="宋体" w:cs="宋体" w:eastAsia="宋体" w:hint="default"/>
                          <w:sz w:val="13"/>
                          <w:szCs w:val="13"/>
                        </w:rPr>
                      </w:r>
                    </w:p>
                  </w:txbxContent>
                </v:textbox>
                <w10:wrap type="none"/>
              </v:shape>
              <v:shape style="position:absolute;left:14489;top:2097;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本期现金红利</w:t>
                      </w:r>
                      <w:r>
                        <w:rPr>
                          <w:rFonts w:ascii="宋体" w:hAnsi="宋体" w:cs="宋体" w:eastAsia="宋体" w:hint="default"/>
                          <w:sz w:val="13"/>
                          <w:szCs w:val="13"/>
                        </w:rPr>
                      </w:r>
                    </w:p>
                  </w:txbxContent>
                </v:textbox>
                <w10:wrap type="none"/>
              </v:shape>
              <v:shape style="position:absolute;left:9369;top:2247;width:4756;height:137" type="#_x0000_t202" filled="false" stroked="false">
                <v:textbox inset="0,0,0,0">
                  <w:txbxContent>
                    <w:p>
                      <w:pPr>
                        <w:tabs>
                          <w:tab w:pos="4366" w:val="left" w:leader="none"/>
                        </w:tabs>
                        <w:spacing w:line="137"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持股比例</w:t>
                      </w:r>
                      <w:r>
                        <w:rPr>
                          <w:rFonts w:ascii="Times New Roman" w:hAnsi="Times New Roman" w:cs="Times New Roman" w:eastAsia="Times New Roman" w:hint="default"/>
                          <w:sz w:val="13"/>
                          <w:szCs w:val="13"/>
                        </w:rPr>
                        <w:t>(%)     </w:t>
                      </w:r>
                      <w:r>
                        <w:rPr>
                          <w:rFonts w:ascii="宋体" w:hAnsi="宋体" w:cs="宋体" w:eastAsia="宋体" w:hint="default"/>
                          <w:sz w:val="13"/>
                          <w:szCs w:val="13"/>
                        </w:rPr>
                        <w:t>表决权比例</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表决权比例不一致的说明</w:t>
                        <w:tab/>
                      </w:r>
                      <w:r>
                        <w:rPr>
                          <w:rFonts w:ascii="宋体" w:hAnsi="宋体" w:cs="宋体" w:eastAsia="宋体" w:hint="default"/>
                          <w:w w:val="95"/>
                          <w:sz w:val="13"/>
                          <w:szCs w:val="13"/>
                        </w:rPr>
                        <w:t>值准备</w:t>
                      </w:r>
                      <w:r>
                        <w:rPr>
                          <w:rFonts w:ascii="宋体" w:hAnsi="宋体" w:cs="宋体" w:eastAsia="宋体" w:hint="default"/>
                          <w:sz w:val="13"/>
                          <w:szCs w:val="13"/>
                        </w:rPr>
                      </w:r>
                    </w:p>
                  </w:txbxContent>
                </v:textbox>
                <w10:wrap type="none"/>
              </v:shape>
            </v:group>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4"/>
          <w:szCs w:val="14"/>
        </w:rPr>
      </w:pPr>
    </w:p>
    <w:tbl>
      <w:tblPr>
        <w:tblW w:w="0" w:type="auto"/>
        <w:jc w:val="left"/>
        <w:tblInd w:w="735" w:type="dxa"/>
        <w:tblLayout w:type="fixed"/>
        <w:tblCellMar>
          <w:top w:w="0" w:type="dxa"/>
          <w:left w:w="0" w:type="dxa"/>
          <w:bottom w:w="0" w:type="dxa"/>
          <w:right w:w="0" w:type="dxa"/>
        </w:tblCellMar>
        <w:tblLook w:val="01E0"/>
      </w:tblPr>
      <w:tblGrid>
        <w:gridCol w:w="2161"/>
        <w:gridCol w:w="889"/>
        <w:gridCol w:w="1137"/>
        <w:gridCol w:w="1072"/>
        <w:gridCol w:w="973"/>
        <w:gridCol w:w="1219"/>
        <w:gridCol w:w="941"/>
        <w:gridCol w:w="1572"/>
        <w:gridCol w:w="1610"/>
        <w:gridCol w:w="915"/>
        <w:gridCol w:w="902"/>
      </w:tblGrid>
      <w:tr>
        <w:trPr>
          <w:trHeight w:val="324"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67" w:right="0"/>
              <w:jc w:val="left"/>
              <w:rPr>
                <w:rFonts w:ascii="宋体" w:hAnsi="宋体" w:cs="宋体" w:eastAsia="宋体" w:hint="default"/>
                <w:sz w:val="13"/>
                <w:szCs w:val="13"/>
              </w:rPr>
            </w:pPr>
            <w:r>
              <w:rPr>
                <w:rFonts w:ascii="宋体" w:hAnsi="宋体" w:cs="宋体" w:eastAsia="宋体" w:hint="default"/>
                <w:sz w:val="13"/>
                <w:szCs w:val="13"/>
              </w:rPr>
              <w:t>沈阳东软物业管理有限公司</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22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63"/>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57"/>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08"/>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3" w:right="0"/>
              <w:jc w:val="center"/>
              <w:rPr>
                <w:rFonts w:ascii="Times New Roman" w:hAnsi="Times New Roman" w:cs="Times New Roman" w:eastAsia="Times New Roman" w:hint="default"/>
                <w:sz w:val="13"/>
                <w:szCs w:val="13"/>
              </w:rPr>
            </w:pPr>
            <w:r>
              <w:rPr>
                <w:rFonts w:ascii="Times New Roman"/>
                <w:sz w:val="13"/>
              </w:rPr>
              <w:t>100.00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275" w:right="0"/>
              <w:jc w:val="left"/>
              <w:rPr>
                <w:rFonts w:ascii="Times New Roman" w:hAnsi="Times New Roman" w:cs="Times New Roman" w:eastAsia="Times New Roman" w:hint="default"/>
                <w:sz w:val="13"/>
                <w:szCs w:val="13"/>
              </w:rPr>
            </w:pPr>
            <w:r>
              <w:rPr>
                <w:rFonts w:ascii="Times New Roman"/>
                <w:sz w:val="13"/>
              </w:rPr>
              <w:t>100.00</w:t>
            </w:r>
          </w:p>
        </w:tc>
        <w:tc>
          <w:tcPr>
            <w:tcW w:w="3427" w:type="dxa"/>
            <w:gridSpan w:val="3"/>
            <w:vMerge w:val="restart"/>
            <w:tcBorders>
              <w:top w:val="nil" w:sz="6" w:space="0" w:color="auto"/>
              <w:left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东软集团（成都）有限公司</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3"/>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57"/>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08"/>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3" w:right="0"/>
              <w:jc w:val="center"/>
              <w:rPr>
                <w:rFonts w:ascii="Times New Roman" w:hAnsi="Times New Roman" w:cs="Times New Roman" w:eastAsia="Times New Roman" w:hint="default"/>
                <w:sz w:val="13"/>
                <w:szCs w:val="13"/>
              </w:rPr>
            </w:pPr>
            <w:r>
              <w:rPr>
                <w:rFonts w:ascii="Times New Roman"/>
                <w:sz w:val="13"/>
              </w:rPr>
              <w:t>100.00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5" w:right="0"/>
              <w:jc w:val="left"/>
              <w:rPr>
                <w:rFonts w:ascii="Times New Roman" w:hAnsi="Times New Roman" w:cs="Times New Roman" w:eastAsia="Times New Roman" w:hint="default"/>
                <w:sz w:val="13"/>
                <w:szCs w:val="13"/>
              </w:rPr>
            </w:pPr>
            <w:r>
              <w:rPr>
                <w:rFonts w:ascii="Times New Roman"/>
                <w:sz w:val="13"/>
              </w:rPr>
              <w:t>100.00</w:t>
            </w:r>
          </w:p>
        </w:tc>
        <w:tc>
          <w:tcPr>
            <w:tcW w:w="3427" w:type="dxa"/>
            <w:gridSpan w:val="3"/>
            <w:vMerge/>
            <w:tcBorders>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沈阳东软信息技术服务有限公司</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3"/>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3"/>
              <w:jc w:val="right"/>
              <w:rPr>
                <w:rFonts w:ascii="Times New Roman" w:hAnsi="Times New Roman" w:cs="Times New Roman" w:eastAsia="Times New Roman" w:hint="default"/>
                <w:sz w:val="13"/>
                <w:szCs w:val="13"/>
              </w:rPr>
            </w:pPr>
            <w:r>
              <w:rPr>
                <w:rFonts w:ascii="Times New Roman"/>
                <w:w w:val="95"/>
                <w:sz w:val="13"/>
              </w:rPr>
              <w:t>310,000,000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57"/>
              <w:jc w:val="right"/>
              <w:rPr>
                <w:rFonts w:ascii="Times New Roman" w:hAnsi="Times New Roman" w:cs="Times New Roman" w:eastAsia="Times New Roman" w:hint="default"/>
                <w:sz w:val="13"/>
                <w:szCs w:val="13"/>
              </w:rPr>
            </w:pPr>
            <w:r>
              <w:rPr>
                <w:rFonts w:ascii="Times New Roman"/>
                <w:w w:val="95"/>
                <w:sz w:val="13"/>
              </w:rPr>
              <w:t>310,000,000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8"/>
              <w:jc w:val="right"/>
              <w:rPr>
                <w:rFonts w:ascii="Times New Roman" w:hAnsi="Times New Roman" w:cs="Times New Roman" w:eastAsia="Times New Roman" w:hint="default"/>
                <w:sz w:val="13"/>
                <w:szCs w:val="13"/>
              </w:rPr>
            </w:pPr>
            <w:r>
              <w:rPr>
                <w:rFonts w:ascii="Times New Roman"/>
                <w:w w:val="95"/>
                <w:sz w:val="13"/>
              </w:rPr>
              <w:t>310,000,000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3" w:right="0"/>
              <w:jc w:val="center"/>
              <w:rPr>
                <w:rFonts w:ascii="Times New Roman" w:hAnsi="Times New Roman" w:cs="Times New Roman" w:eastAsia="Times New Roman" w:hint="default"/>
                <w:sz w:val="13"/>
                <w:szCs w:val="13"/>
              </w:rPr>
            </w:pPr>
            <w:r>
              <w:rPr>
                <w:rFonts w:ascii="Times New Roman"/>
                <w:sz w:val="13"/>
              </w:rPr>
              <w:t>100.00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5" w:right="0"/>
              <w:jc w:val="left"/>
              <w:rPr>
                <w:rFonts w:ascii="Times New Roman" w:hAnsi="Times New Roman" w:cs="Times New Roman" w:eastAsia="Times New Roman" w:hint="default"/>
                <w:sz w:val="13"/>
                <w:szCs w:val="13"/>
              </w:rPr>
            </w:pPr>
            <w:r>
              <w:rPr>
                <w:rFonts w:ascii="Times New Roman"/>
                <w:sz w:val="13"/>
              </w:rPr>
              <w:t>100.00</w:t>
            </w:r>
          </w:p>
        </w:tc>
        <w:tc>
          <w:tcPr>
            <w:tcW w:w="1610"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1"/>
              <w:jc w:val="right"/>
              <w:rPr>
                <w:rFonts w:ascii="Times New Roman" w:hAnsi="Times New Roman" w:cs="Times New Roman" w:eastAsia="Times New Roman" w:hint="default"/>
                <w:sz w:val="13"/>
                <w:szCs w:val="13"/>
              </w:rPr>
            </w:pPr>
            <w:r>
              <w:rPr>
                <w:rFonts w:ascii="Times New Roman"/>
                <w:w w:val="95"/>
                <w:sz w:val="13"/>
              </w:rPr>
              <w:t>21,700,000</w:t>
            </w:r>
            <w:r>
              <w:rPr>
                <w:rFonts w:ascii="Times New Roman"/>
                <w:sz w:val="13"/>
              </w:rPr>
            </w: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东软集团（大连）有限公司</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3"/>
              <w:jc w:val="right"/>
              <w:rPr>
                <w:rFonts w:ascii="Times New Roman" w:hAnsi="Times New Roman" w:cs="Times New Roman" w:eastAsia="Times New Roman" w:hint="default"/>
                <w:sz w:val="13"/>
                <w:szCs w:val="13"/>
              </w:rPr>
            </w:pPr>
            <w:r>
              <w:rPr>
                <w:rFonts w:ascii="Times New Roman"/>
                <w:w w:val="95"/>
                <w:sz w:val="13"/>
              </w:rPr>
              <w:t>100,000,000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57"/>
              <w:jc w:val="right"/>
              <w:rPr>
                <w:rFonts w:ascii="Times New Roman" w:hAnsi="Times New Roman" w:cs="Times New Roman" w:eastAsia="Times New Roman" w:hint="default"/>
                <w:sz w:val="13"/>
                <w:szCs w:val="13"/>
              </w:rPr>
            </w:pPr>
            <w:r>
              <w:rPr>
                <w:rFonts w:ascii="Times New Roman"/>
                <w:w w:val="95"/>
                <w:sz w:val="13"/>
              </w:rPr>
              <w:t>100,000,000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8"/>
              <w:jc w:val="right"/>
              <w:rPr>
                <w:rFonts w:ascii="Times New Roman" w:hAnsi="Times New Roman" w:cs="Times New Roman" w:eastAsia="Times New Roman" w:hint="default"/>
                <w:sz w:val="13"/>
                <w:szCs w:val="13"/>
              </w:rPr>
            </w:pPr>
            <w:r>
              <w:rPr>
                <w:rFonts w:ascii="Times New Roman"/>
                <w:w w:val="95"/>
                <w:sz w:val="13"/>
              </w:rPr>
              <w:t>100,000,000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3" w:right="0"/>
              <w:jc w:val="center"/>
              <w:rPr>
                <w:rFonts w:ascii="Times New Roman" w:hAnsi="Times New Roman" w:cs="Times New Roman" w:eastAsia="Times New Roman" w:hint="default"/>
                <w:sz w:val="13"/>
                <w:szCs w:val="13"/>
              </w:rPr>
            </w:pPr>
            <w:r>
              <w:rPr>
                <w:rFonts w:ascii="Times New Roman"/>
                <w:sz w:val="13"/>
              </w:rPr>
              <w:t>100.00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5" w:right="0"/>
              <w:jc w:val="left"/>
              <w:rPr>
                <w:rFonts w:ascii="Times New Roman" w:hAnsi="Times New Roman" w:cs="Times New Roman" w:eastAsia="Times New Roman" w:hint="default"/>
                <w:sz w:val="13"/>
                <w:szCs w:val="13"/>
              </w:rPr>
            </w:pPr>
            <w:r>
              <w:rPr>
                <w:rFonts w:ascii="Times New Roman"/>
                <w:sz w:val="13"/>
              </w:rPr>
              <w:t>100.00</w:t>
            </w:r>
          </w:p>
        </w:tc>
        <w:tc>
          <w:tcPr>
            <w:tcW w:w="1610"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东软集团（上海）有限公司</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3"/>
              <w:jc w:val="right"/>
              <w:rPr>
                <w:rFonts w:ascii="Times New Roman" w:hAnsi="Times New Roman" w:cs="Times New Roman" w:eastAsia="Times New Roman" w:hint="default"/>
                <w:sz w:val="13"/>
                <w:szCs w:val="13"/>
              </w:rPr>
            </w:pPr>
            <w:r>
              <w:rPr>
                <w:rFonts w:ascii="Times New Roman"/>
                <w:w w:val="95"/>
                <w:sz w:val="13"/>
              </w:rPr>
              <w:t>100,000,000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57"/>
              <w:jc w:val="right"/>
              <w:rPr>
                <w:rFonts w:ascii="Times New Roman" w:hAnsi="Times New Roman" w:cs="Times New Roman" w:eastAsia="Times New Roman" w:hint="default"/>
                <w:sz w:val="13"/>
                <w:szCs w:val="13"/>
              </w:rPr>
            </w:pPr>
            <w:r>
              <w:rPr>
                <w:rFonts w:ascii="Times New Roman"/>
                <w:w w:val="95"/>
                <w:sz w:val="13"/>
              </w:rPr>
              <w:t>100,000,000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08"/>
              <w:jc w:val="right"/>
              <w:rPr>
                <w:rFonts w:ascii="Times New Roman" w:hAnsi="Times New Roman" w:cs="Times New Roman" w:eastAsia="Times New Roman" w:hint="default"/>
                <w:sz w:val="13"/>
                <w:szCs w:val="13"/>
              </w:rPr>
            </w:pPr>
            <w:r>
              <w:rPr>
                <w:rFonts w:ascii="Times New Roman"/>
                <w:w w:val="95"/>
                <w:sz w:val="13"/>
              </w:rPr>
              <w:t>100,000,000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3" w:right="0"/>
              <w:jc w:val="center"/>
              <w:rPr>
                <w:rFonts w:ascii="Times New Roman" w:hAnsi="Times New Roman" w:cs="Times New Roman" w:eastAsia="Times New Roman" w:hint="default"/>
                <w:sz w:val="13"/>
                <w:szCs w:val="13"/>
              </w:rPr>
            </w:pPr>
            <w:r>
              <w:rPr>
                <w:rFonts w:ascii="Times New Roman"/>
                <w:sz w:val="13"/>
              </w:rPr>
              <w:t>100.00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5" w:right="0"/>
              <w:jc w:val="left"/>
              <w:rPr>
                <w:rFonts w:ascii="Times New Roman" w:hAnsi="Times New Roman" w:cs="Times New Roman" w:eastAsia="Times New Roman" w:hint="default"/>
                <w:sz w:val="13"/>
                <w:szCs w:val="13"/>
              </w:rPr>
            </w:pPr>
            <w:r>
              <w:rPr>
                <w:rFonts w:ascii="Times New Roman"/>
                <w:sz w:val="13"/>
              </w:rPr>
              <w:t>100.00</w:t>
            </w:r>
          </w:p>
        </w:tc>
        <w:tc>
          <w:tcPr>
            <w:tcW w:w="1610"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东软集团（广州）有限公司</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3"/>
              <w:jc w:val="right"/>
              <w:rPr>
                <w:rFonts w:ascii="Times New Roman" w:hAnsi="Times New Roman" w:cs="Times New Roman" w:eastAsia="Times New Roman" w:hint="default"/>
                <w:sz w:val="13"/>
                <w:szCs w:val="13"/>
              </w:rPr>
            </w:pPr>
            <w:r>
              <w:rPr>
                <w:rFonts w:ascii="Times New Roman"/>
                <w:w w:val="95"/>
                <w:sz w:val="13"/>
              </w:rPr>
              <w:t>100,000,000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57"/>
              <w:jc w:val="right"/>
              <w:rPr>
                <w:rFonts w:ascii="Times New Roman" w:hAnsi="Times New Roman" w:cs="Times New Roman" w:eastAsia="Times New Roman" w:hint="default"/>
                <w:sz w:val="13"/>
                <w:szCs w:val="13"/>
              </w:rPr>
            </w:pPr>
            <w:r>
              <w:rPr>
                <w:rFonts w:ascii="Times New Roman"/>
                <w:w w:val="95"/>
                <w:sz w:val="13"/>
              </w:rPr>
              <w:t>100,000,000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8"/>
              <w:jc w:val="right"/>
              <w:rPr>
                <w:rFonts w:ascii="Times New Roman" w:hAnsi="Times New Roman" w:cs="Times New Roman" w:eastAsia="Times New Roman" w:hint="default"/>
                <w:sz w:val="13"/>
                <w:szCs w:val="13"/>
              </w:rPr>
            </w:pPr>
            <w:r>
              <w:rPr>
                <w:rFonts w:ascii="Times New Roman"/>
                <w:w w:val="95"/>
                <w:sz w:val="13"/>
              </w:rPr>
              <w:t>100,000,000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3" w:right="0"/>
              <w:jc w:val="center"/>
              <w:rPr>
                <w:rFonts w:ascii="Times New Roman" w:hAnsi="Times New Roman" w:cs="Times New Roman" w:eastAsia="Times New Roman" w:hint="default"/>
                <w:sz w:val="13"/>
                <w:szCs w:val="13"/>
              </w:rPr>
            </w:pPr>
            <w:r>
              <w:rPr>
                <w:rFonts w:ascii="Times New Roman"/>
                <w:sz w:val="13"/>
              </w:rPr>
              <w:t>100.00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5" w:right="0"/>
              <w:jc w:val="left"/>
              <w:rPr>
                <w:rFonts w:ascii="Times New Roman" w:hAnsi="Times New Roman" w:cs="Times New Roman" w:eastAsia="Times New Roman" w:hint="default"/>
                <w:sz w:val="13"/>
                <w:szCs w:val="13"/>
              </w:rPr>
            </w:pPr>
            <w:r>
              <w:rPr>
                <w:rFonts w:ascii="Times New Roman"/>
                <w:sz w:val="13"/>
              </w:rPr>
              <w:t>100.00</w:t>
            </w:r>
          </w:p>
        </w:tc>
        <w:tc>
          <w:tcPr>
            <w:tcW w:w="1610"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沈阳东软系统集成技术有限公司</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3"/>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3"/>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57"/>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7"/>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3" w:right="0"/>
              <w:jc w:val="center"/>
              <w:rPr>
                <w:rFonts w:ascii="Times New Roman" w:hAnsi="Times New Roman" w:cs="Times New Roman" w:eastAsia="Times New Roman" w:hint="default"/>
                <w:sz w:val="13"/>
                <w:szCs w:val="13"/>
              </w:rPr>
            </w:pPr>
            <w:r>
              <w:rPr>
                <w:rFonts w:ascii="Times New Roman"/>
                <w:sz w:val="13"/>
              </w:rPr>
              <w:t>100.00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5" w:right="0"/>
              <w:jc w:val="left"/>
              <w:rPr>
                <w:rFonts w:ascii="Times New Roman" w:hAnsi="Times New Roman" w:cs="Times New Roman" w:eastAsia="Times New Roman" w:hint="default"/>
                <w:sz w:val="13"/>
                <w:szCs w:val="13"/>
              </w:rPr>
            </w:pPr>
            <w:r>
              <w:rPr>
                <w:rFonts w:ascii="Times New Roman"/>
                <w:sz w:val="13"/>
              </w:rPr>
              <w:t>100.00</w:t>
            </w:r>
          </w:p>
        </w:tc>
        <w:tc>
          <w:tcPr>
            <w:tcW w:w="1610"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东软科技有限公司</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3"/>
              <w:jc w:val="right"/>
              <w:rPr>
                <w:rFonts w:ascii="Times New Roman" w:hAnsi="Times New Roman" w:cs="Times New Roman" w:eastAsia="Times New Roman" w:hint="default"/>
                <w:sz w:val="13"/>
                <w:szCs w:val="13"/>
              </w:rPr>
            </w:pPr>
            <w:r>
              <w:rPr>
                <w:rFonts w:ascii="Times New Roman"/>
                <w:w w:val="95"/>
                <w:sz w:val="13"/>
              </w:rPr>
              <w:t>3,936,450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57"/>
              <w:jc w:val="right"/>
              <w:rPr>
                <w:rFonts w:ascii="Times New Roman" w:hAnsi="Times New Roman" w:cs="Times New Roman" w:eastAsia="Times New Roman" w:hint="default"/>
                <w:sz w:val="13"/>
                <w:szCs w:val="13"/>
              </w:rPr>
            </w:pPr>
            <w:r>
              <w:rPr>
                <w:rFonts w:ascii="Times New Roman"/>
                <w:w w:val="95"/>
                <w:sz w:val="13"/>
              </w:rPr>
              <w:t>3,936,450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1"/>
              <w:jc w:val="right"/>
              <w:rPr>
                <w:rFonts w:ascii="Times New Roman" w:hAnsi="Times New Roman" w:cs="Times New Roman" w:eastAsia="Times New Roman" w:hint="default"/>
                <w:sz w:val="13"/>
                <w:szCs w:val="13"/>
              </w:rPr>
            </w:pPr>
            <w:r>
              <w:rPr>
                <w:rFonts w:ascii="Times New Roman"/>
                <w:w w:val="95"/>
                <w:sz w:val="13"/>
              </w:rPr>
              <w:t>59,393,160</w:t>
            </w:r>
            <w:r>
              <w:rPr>
                <w:rFonts w:ascii="Times New Roman"/>
                <w:sz w:val="13"/>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07"/>
              <w:jc w:val="right"/>
              <w:rPr>
                <w:rFonts w:ascii="Times New Roman" w:hAnsi="Times New Roman" w:cs="Times New Roman" w:eastAsia="Times New Roman" w:hint="default"/>
                <w:sz w:val="13"/>
                <w:szCs w:val="13"/>
              </w:rPr>
            </w:pPr>
            <w:r>
              <w:rPr>
                <w:rFonts w:ascii="Times New Roman"/>
                <w:w w:val="95"/>
                <w:sz w:val="13"/>
              </w:rPr>
              <w:t>63,329,610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3" w:right="0"/>
              <w:jc w:val="center"/>
              <w:rPr>
                <w:rFonts w:ascii="Times New Roman" w:hAnsi="Times New Roman" w:cs="Times New Roman" w:eastAsia="Times New Roman" w:hint="default"/>
                <w:sz w:val="13"/>
                <w:szCs w:val="13"/>
              </w:rPr>
            </w:pPr>
            <w:r>
              <w:rPr>
                <w:rFonts w:ascii="Times New Roman"/>
                <w:sz w:val="13"/>
              </w:rPr>
              <w:t>100.00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5" w:right="0"/>
              <w:jc w:val="left"/>
              <w:rPr>
                <w:rFonts w:ascii="Times New Roman" w:hAnsi="Times New Roman" w:cs="Times New Roman" w:eastAsia="Times New Roman" w:hint="default"/>
                <w:sz w:val="13"/>
                <w:szCs w:val="13"/>
              </w:rPr>
            </w:pPr>
            <w:r>
              <w:rPr>
                <w:rFonts w:ascii="Times New Roman"/>
                <w:sz w:val="13"/>
              </w:rPr>
              <w:t>100.00</w:t>
            </w:r>
          </w:p>
        </w:tc>
        <w:tc>
          <w:tcPr>
            <w:tcW w:w="1610"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辽宁东软创业投资有限公司</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3"/>
              <w:jc w:val="right"/>
              <w:rPr>
                <w:rFonts w:ascii="Times New Roman" w:hAnsi="Times New Roman" w:cs="Times New Roman" w:eastAsia="Times New Roman" w:hint="default"/>
                <w:sz w:val="13"/>
                <w:szCs w:val="13"/>
              </w:rPr>
            </w:pPr>
            <w:r>
              <w:rPr>
                <w:rFonts w:ascii="Times New Roman"/>
                <w:w w:val="95"/>
                <w:sz w:val="13"/>
              </w:rPr>
              <w:t>80,552,833</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57"/>
              <w:jc w:val="right"/>
              <w:rPr>
                <w:rFonts w:ascii="Times New Roman" w:hAnsi="Times New Roman" w:cs="Times New Roman" w:eastAsia="Times New Roman" w:hint="default"/>
                <w:sz w:val="13"/>
                <w:szCs w:val="13"/>
              </w:rPr>
            </w:pPr>
            <w:r>
              <w:rPr>
                <w:rFonts w:ascii="Times New Roman"/>
                <w:w w:val="95"/>
                <w:sz w:val="13"/>
              </w:rPr>
              <w:t>80,552,833</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8"/>
              <w:jc w:val="right"/>
              <w:rPr>
                <w:rFonts w:ascii="Times New Roman" w:hAnsi="Times New Roman" w:cs="Times New Roman" w:eastAsia="Times New Roman" w:hint="default"/>
                <w:sz w:val="13"/>
                <w:szCs w:val="13"/>
              </w:rPr>
            </w:pPr>
            <w:r>
              <w:rPr>
                <w:rFonts w:ascii="Times New Roman"/>
                <w:w w:val="95"/>
                <w:sz w:val="13"/>
              </w:rPr>
              <w:t>80,552,833</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98" w:right="0"/>
              <w:jc w:val="center"/>
              <w:rPr>
                <w:rFonts w:ascii="Times New Roman" w:hAnsi="Times New Roman" w:cs="Times New Roman" w:eastAsia="Times New Roman" w:hint="default"/>
                <w:sz w:val="13"/>
                <w:szCs w:val="13"/>
              </w:rPr>
            </w:pPr>
            <w:r>
              <w:rPr>
                <w:rFonts w:ascii="Times New Roman"/>
                <w:sz w:val="13"/>
              </w:rPr>
              <w:t>71.43</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40" w:right="0"/>
              <w:jc w:val="left"/>
              <w:rPr>
                <w:rFonts w:ascii="Times New Roman" w:hAnsi="Times New Roman" w:cs="Times New Roman" w:eastAsia="Times New Roman" w:hint="default"/>
                <w:sz w:val="13"/>
                <w:szCs w:val="13"/>
              </w:rPr>
            </w:pPr>
            <w:r>
              <w:rPr>
                <w:rFonts w:ascii="Times New Roman"/>
                <w:sz w:val="13"/>
              </w:rPr>
              <w:t>71.43</w:t>
            </w:r>
          </w:p>
        </w:tc>
        <w:tc>
          <w:tcPr>
            <w:tcW w:w="1610"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杭州东软软件有限公司</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3"/>
              <w:jc w:val="right"/>
              <w:rPr>
                <w:rFonts w:ascii="Times New Roman" w:hAnsi="Times New Roman" w:cs="Times New Roman" w:eastAsia="Times New Roman" w:hint="default"/>
                <w:sz w:val="13"/>
                <w:szCs w:val="13"/>
              </w:rPr>
            </w:pPr>
            <w:r>
              <w:rPr>
                <w:rFonts w:ascii="Times New Roman"/>
                <w:w w:val="95"/>
                <w:sz w:val="13"/>
              </w:rPr>
              <w:t>500,000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1"/>
              <w:jc w:val="right"/>
              <w:rPr>
                <w:rFonts w:ascii="Times New Roman" w:hAnsi="Times New Roman" w:cs="Times New Roman" w:eastAsia="Times New Roman" w:hint="default"/>
                <w:sz w:val="13"/>
                <w:szCs w:val="13"/>
              </w:rPr>
            </w:pPr>
            <w:r>
              <w:rPr>
                <w:rFonts w:ascii="Times New Roman"/>
                <w:w w:val="95"/>
                <w:sz w:val="13"/>
              </w:rPr>
              <w:t>500,000</w:t>
            </w:r>
            <w:r>
              <w:rPr>
                <w:rFonts w:ascii="Times New Roman"/>
                <w:sz w:val="13"/>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7"/>
              <w:jc w:val="right"/>
              <w:rPr>
                <w:rFonts w:ascii="Times New Roman" w:hAnsi="Times New Roman" w:cs="Times New Roman" w:eastAsia="Times New Roman" w:hint="default"/>
                <w:sz w:val="13"/>
                <w:szCs w:val="13"/>
              </w:rPr>
            </w:pPr>
            <w:r>
              <w:rPr>
                <w:rFonts w:ascii="Times New Roman"/>
                <w:w w:val="95"/>
                <w:sz w:val="13"/>
              </w:rPr>
              <w:t>500,000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3" w:right="0"/>
              <w:jc w:val="center"/>
              <w:rPr>
                <w:rFonts w:ascii="Times New Roman" w:hAnsi="Times New Roman" w:cs="Times New Roman" w:eastAsia="Times New Roman" w:hint="default"/>
                <w:sz w:val="13"/>
                <w:szCs w:val="13"/>
              </w:rPr>
            </w:pPr>
            <w:r>
              <w:rPr>
                <w:rFonts w:ascii="Times New Roman"/>
                <w:sz w:val="13"/>
              </w:rPr>
              <w:t>100.00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5" w:right="0"/>
              <w:jc w:val="left"/>
              <w:rPr>
                <w:rFonts w:ascii="Times New Roman" w:hAnsi="Times New Roman" w:cs="Times New Roman" w:eastAsia="Times New Roman" w:hint="default"/>
                <w:sz w:val="13"/>
                <w:szCs w:val="13"/>
              </w:rPr>
            </w:pPr>
            <w:r>
              <w:rPr>
                <w:rFonts w:ascii="Times New Roman"/>
                <w:sz w:val="13"/>
              </w:rPr>
              <w:t>100.00</w:t>
            </w:r>
          </w:p>
        </w:tc>
        <w:tc>
          <w:tcPr>
            <w:tcW w:w="1610"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东软（欧洲）有限公司</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3"/>
              <w:jc w:val="right"/>
              <w:rPr>
                <w:rFonts w:ascii="Times New Roman" w:hAnsi="Times New Roman" w:cs="Times New Roman" w:eastAsia="Times New Roman" w:hint="default"/>
                <w:sz w:val="13"/>
                <w:szCs w:val="13"/>
              </w:rPr>
            </w:pPr>
            <w:r>
              <w:rPr>
                <w:rFonts w:ascii="Times New Roman"/>
                <w:w w:val="95"/>
                <w:sz w:val="13"/>
              </w:rPr>
              <w:t>135,702,927</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1"/>
              <w:jc w:val="right"/>
              <w:rPr>
                <w:rFonts w:ascii="Times New Roman" w:hAnsi="Times New Roman" w:cs="Times New Roman" w:eastAsia="Times New Roman" w:hint="default"/>
                <w:sz w:val="13"/>
                <w:szCs w:val="13"/>
              </w:rPr>
            </w:pPr>
            <w:r>
              <w:rPr>
                <w:rFonts w:ascii="Times New Roman"/>
                <w:w w:val="95"/>
                <w:sz w:val="13"/>
              </w:rPr>
              <w:t>135,702,927</w:t>
            </w:r>
            <w:r>
              <w:rPr>
                <w:rFonts w:ascii="Times New Roman"/>
                <w:sz w:val="13"/>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08"/>
              <w:jc w:val="right"/>
              <w:rPr>
                <w:rFonts w:ascii="Times New Roman" w:hAnsi="Times New Roman" w:cs="Times New Roman" w:eastAsia="Times New Roman" w:hint="default"/>
                <w:sz w:val="13"/>
                <w:szCs w:val="13"/>
              </w:rPr>
            </w:pPr>
            <w:r>
              <w:rPr>
                <w:rFonts w:ascii="Times New Roman"/>
                <w:w w:val="95"/>
                <w:sz w:val="13"/>
              </w:rPr>
              <w:t>135,702,927</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3" w:right="0"/>
              <w:jc w:val="center"/>
              <w:rPr>
                <w:rFonts w:ascii="Times New Roman" w:hAnsi="Times New Roman" w:cs="Times New Roman" w:eastAsia="Times New Roman" w:hint="default"/>
                <w:sz w:val="13"/>
                <w:szCs w:val="13"/>
              </w:rPr>
            </w:pPr>
            <w:r>
              <w:rPr>
                <w:rFonts w:ascii="Times New Roman"/>
                <w:sz w:val="13"/>
              </w:rPr>
              <w:t>100.00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75" w:right="0"/>
              <w:jc w:val="left"/>
              <w:rPr>
                <w:rFonts w:ascii="Times New Roman" w:hAnsi="Times New Roman" w:cs="Times New Roman" w:eastAsia="Times New Roman" w:hint="default"/>
                <w:sz w:val="13"/>
                <w:szCs w:val="13"/>
              </w:rPr>
            </w:pPr>
            <w:r>
              <w:rPr>
                <w:rFonts w:ascii="Times New Roman"/>
                <w:sz w:val="13"/>
              </w:rPr>
              <w:t>100.00</w:t>
            </w:r>
          </w:p>
        </w:tc>
        <w:tc>
          <w:tcPr>
            <w:tcW w:w="1610"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天津东软信息技术服务有限公司</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3"/>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3"/>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1"/>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7"/>
              <w:jc w:val="right"/>
              <w:rPr>
                <w:rFonts w:ascii="Times New Roman" w:hAnsi="Times New Roman" w:cs="Times New Roman" w:eastAsia="Times New Roman" w:hint="default"/>
                <w:sz w:val="13"/>
                <w:szCs w:val="13"/>
              </w:rPr>
            </w:pPr>
            <w:r>
              <w:rPr>
                <w:rFonts w:ascii="Times New Roman"/>
                <w:w w:val="95"/>
                <w:sz w:val="13"/>
              </w:rPr>
              <w:t>20,000,000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3" w:right="0"/>
              <w:jc w:val="center"/>
              <w:rPr>
                <w:rFonts w:ascii="Times New Roman" w:hAnsi="Times New Roman" w:cs="Times New Roman" w:eastAsia="Times New Roman" w:hint="default"/>
                <w:sz w:val="13"/>
                <w:szCs w:val="13"/>
              </w:rPr>
            </w:pPr>
            <w:r>
              <w:rPr>
                <w:rFonts w:ascii="Times New Roman"/>
                <w:sz w:val="13"/>
              </w:rPr>
              <w:t>100.00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75" w:right="0"/>
              <w:jc w:val="left"/>
              <w:rPr>
                <w:rFonts w:ascii="Times New Roman" w:hAnsi="Times New Roman" w:cs="Times New Roman" w:eastAsia="Times New Roman" w:hint="default"/>
                <w:sz w:val="13"/>
                <w:szCs w:val="13"/>
              </w:rPr>
            </w:pPr>
            <w:r>
              <w:rPr>
                <w:rFonts w:ascii="Times New Roman"/>
                <w:sz w:val="13"/>
              </w:rPr>
              <w:t>100.00</w:t>
            </w:r>
          </w:p>
        </w:tc>
        <w:tc>
          <w:tcPr>
            <w:tcW w:w="1610"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东众通信技术有限公司</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3"/>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57"/>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8"/>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98" w:right="0"/>
              <w:jc w:val="center"/>
              <w:rPr>
                <w:rFonts w:ascii="Times New Roman" w:hAnsi="Times New Roman" w:cs="Times New Roman" w:eastAsia="Times New Roman" w:hint="default"/>
                <w:sz w:val="13"/>
                <w:szCs w:val="13"/>
              </w:rPr>
            </w:pPr>
            <w:r>
              <w:rPr>
                <w:rFonts w:ascii="Times New Roman"/>
                <w:sz w:val="13"/>
              </w:rPr>
              <w:t>10.00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40" w:right="0"/>
              <w:jc w:val="left"/>
              <w:rPr>
                <w:rFonts w:ascii="Times New Roman" w:hAnsi="Times New Roman" w:cs="Times New Roman" w:eastAsia="Times New Roman" w:hint="default"/>
                <w:sz w:val="13"/>
                <w:szCs w:val="13"/>
              </w:rPr>
            </w:pPr>
            <w:r>
              <w:rPr>
                <w:rFonts w:ascii="Times New Roman"/>
                <w:sz w:val="13"/>
              </w:rPr>
              <w:t>10.00</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9"/>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43"/>
              <w:jc w:val="right"/>
              <w:rPr>
                <w:rFonts w:ascii="Times New Roman" w:hAnsi="Times New Roman" w:cs="Times New Roman" w:eastAsia="Times New Roman" w:hint="default"/>
                <w:sz w:val="13"/>
                <w:szCs w:val="13"/>
              </w:rPr>
            </w:pPr>
            <w:r>
              <w:rPr>
                <w:rFonts w:ascii="Times New Roman"/>
                <w:w w:val="95"/>
                <w:sz w:val="13"/>
              </w:rPr>
              <w:t>1,000,000</w:t>
            </w:r>
            <w:r>
              <w:rPr>
                <w:rFonts w:ascii="Times New Roman"/>
                <w:sz w:val="13"/>
              </w:rPr>
            </w:r>
          </w:p>
        </w:tc>
        <w:tc>
          <w:tcPr>
            <w:tcW w:w="902" w:type="dxa"/>
            <w:tcBorders>
              <w:top w:val="nil" w:sz="6" w:space="0" w:color="auto"/>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沈阳火炬股份有限公司</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3"/>
              <w:jc w:val="right"/>
              <w:rPr>
                <w:rFonts w:ascii="Times New Roman" w:hAnsi="Times New Roman" w:cs="Times New Roman" w:eastAsia="Times New Roman" w:hint="default"/>
                <w:sz w:val="13"/>
                <w:szCs w:val="13"/>
              </w:rPr>
            </w:pPr>
            <w:r>
              <w:rPr>
                <w:rFonts w:ascii="Times New Roman"/>
                <w:w w:val="95"/>
                <w:sz w:val="13"/>
              </w:rPr>
              <w:t>100,000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57"/>
              <w:jc w:val="right"/>
              <w:rPr>
                <w:rFonts w:ascii="Times New Roman" w:hAnsi="Times New Roman" w:cs="Times New Roman" w:eastAsia="Times New Roman" w:hint="default"/>
                <w:sz w:val="13"/>
                <w:szCs w:val="13"/>
              </w:rPr>
            </w:pPr>
            <w:r>
              <w:rPr>
                <w:rFonts w:ascii="Times New Roman"/>
                <w:w w:val="95"/>
                <w:sz w:val="13"/>
              </w:rPr>
              <w:t>100,000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08"/>
              <w:jc w:val="right"/>
              <w:rPr>
                <w:rFonts w:ascii="Times New Roman" w:hAnsi="Times New Roman" w:cs="Times New Roman" w:eastAsia="Times New Roman" w:hint="default"/>
                <w:sz w:val="13"/>
                <w:szCs w:val="13"/>
              </w:rPr>
            </w:pPr>
            <w:r>
              <w:rPr>
                <w:rFonts w:ascii="Times New Roman"/>
                <w:w w:val="95"/>
                <w:sz w:val="13"/>
              </w:rPr>
              <w:t>100,000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
        </w:tc>
        <w:tc>
          <w:tcPr>
            <w:tcW w:w="1572" w:type="dxa"/>
            <w:tcBorders>
              <w:top w:val="nil" w:sz="6" w:space="0" w:color="auto"/>
              <w:left w:val="nil" w:sz="6" w:space="0" w:color="auto"/>
              <w:bottom w:val="nil" w:sz="6" w:space="0" w:color="auto"/>
              <w:right w:val="nil" w:sz="6" w:space="0" w:color="auto"/>
            </w:tcBorders>
          </w:tcPr>
          <w:p>
            <w:pP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9"/>
              <w:jc w:val="right"/>
              <w:rPr>
                <w:rFonts w:ascii="Times New Roman" w:hAnsi="Times New Roman" w:cs="Times New Roman" w:eastAsia="Times New Roman" w:hint="default"/>
                <w:sz w:val="13"/>
                <w:szCs w:val="13"/>
              </w:rPr>
            </w:pPr>
            <w:r>
              <w:rPr>
                <w:rFonts w:ascii="Times New Roman"/>
                <w:w w:val="95"/>
                <w:sz w:val="13"/>
              </w:rPr>
              <w:t>100,000</w:t>
            </w:r>
            <w:r>
              <w:rPr>
                <w:rFonts w:ascii="Times New Roman"/>
                <w:sz w:val="13"/>
              </w:rPr>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3"/>
              <w:jc w:val="right"/>
              <w:rPr>
                <w:rFonts w:ascii="Times New Roman" w:hAnsi="Times New Roman" w:cs="Times New Roman" w:eastAsia="Times New Roman" w:hint="default"/>
                <w:sz w:val="13"/>
                <w:szCs w:val="13"/>
              </w:rPr>
            </w:pPr>
            <w:r>
              <w:rPr>
                <w:rFonts w:ascii="Times New Roman"/>
                <w:w w:val="95"/>
                <w:sz w:val="13"/>
              </w:rPr>
              <w:t>100,000</w:t>
            </w:r>
            <w:r>
              <w:rPr>
                <w:rFonts w:ascii="Times New Roman"/>
                <w:sz w:val="13"/>
              </w:rPr>
            </w:r>
          </w:p>
        </w:tc>
        <w:tc>
          <w:tcPr>
            <w:tcW w:w="902" w:type="dxa"/>
            <w:tcBorders>
              <w:top w:val="nil" w:sz="6" w:space="0" w:color="auto"/>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天津神舟通用数据技术有限公司</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3"/>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3"/>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1"/>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7"/>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63" w:right="0"/>
              <w:jc w:val="center"/>
              <w:rPr>
                <w:rFonts w:ascii="Times New Roman" w:hAnsi="Times New Roman" w:cs="Times New Roman" w:eastAsia="Times New Roman" w:hint="default"/>
                <w:sz w:val="13"/>
                <w:szCs w:val="13"/>
              </w:rPr>
            </w:pPr>
            <w:r>
              <w:rPr>
                <w:rFonts w:ascii="Times New Roman"/>
                <w:sz w:val="13"/>
              </w:rPr>
              <w:t>5.00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404" w:right="0"/>
              <w:jc w:val="left"/>
              <w:rPr>
                <w:rFonts w:ascii="Times New Roman" w:hAnsi="Times New Roman" w:cs="Times New Roman" w:eastAsia="Times New Roman" w:hint="default"/>
                <w:sz w:val="13"/>
                <w:szCs w:val="13"/>
              </w:rPr>
            </w:pPr>
            <w:r>
              <w:rPr>
                <w:rFonts w:ascii="Times New Roman"/>
                <w:sz w:val="13"/>
              </w:rPr>
              <w:t>5.00</w:t>
            </w:r>
          </w:p>
        </w:tc>
        <w:tc>
          <w:tcPr>
            <w:tcW w:w="1610"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大连东软信息学院</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3"/>
              <w:jc w:val="right"/>
              <w:rPr>
                <w:rFonts w:ascii="Times New Roman" w:hAnsi="Times New Roman" w:cs="Times New Roman" w:eastAsia="Times New Roman" w:hint="default"/>
                <w:sz w:val="13"/>
                <w:szCs w:val="13"/>
              </w:rPr>
            </w:pPr>
            <w:r>
              <w:rPr>
                <w:rFonts w:ascii="Times New Roman"/>
                <w:w w:val="95"/>
                <w:sz w:val="13"/>
              </w:rPr>
              <w:t>6,000,000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57"/>
              <w:jc w:val="right"/>
              <w:rPr>
                <w:rFonts w:ascii="Times New Roman" w:hAnsi="Times New Roman" w:cs="Times New Roman" w:eastAsia="Times New Roman" w:hint="default"/>
                <w:sz w:val="13"/>
                <w:szCs w:val="13"/>
              </w:rPr>
            </w:pPr>
            <w:r>
              <w:rPr>
                <w:rFonts w:ascii="Times New Roman"/>
                <w:w w:val="95"/>
                <w:sz w:val="13"/>
              </w:rPr>
              <w:t>6,000,000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8"/>
              <w:jc w:val="right"/>
              <w:rPr>
                <w:rFonts w:ascii="Times New Roman" w:hAnsi="Times New Roman" w:cs="Times New Roman" w:eastAsia="Times New Roman" w:hint="default"/>
                <w:sz w:val="13"/>
                <w:szCs w:val="13"/>
              </w:rPr>
            </w:pPr>
            <w:r>
              <w:rPr>
                <w:rFonts w:ascii="Times New Roman"/>
                <w:w w:val="95"/>
                <w:sz w:val="13"/>
              </w:rPr>
              <w:t>6,000,000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63" w:right="0"/>
              <w:jc w:val="center"/>
              <w:rPr>
                <w:rFonts w:ascii="Times New Roman" w:hAnsi="Times New Roman" w:cs="Times New Roman" w:eastAsia="Times New Roman" w:hint="default"/>
                <w:sz w:val="13"/>
                <w:szCs w:val="13"/>
              </w:rPr>
            </w:pPr>
            <w:r>
              <w:rPr>
                <w:rFonts w:ascii="Times New Roman"/>
                <w:sz w:val="13"/>
              </w:rPr>
              <w:t>1.74</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405" w:right="0"/>
              <w:jc w:val="left"/>
              <w:rPr>
                <w:rFonts w:ascii="Times New Roman" w:hAnsi="Times New Roman" w:cs="Times New Roman" w:eastAsia="Times New Roman" w:hint="default"/>
                <w:sz w:val="13"/>
                <w:szCs w:val="13"/>
              </w:rPr>
            </w:pPr>
            <w:r>
              <w:rPr>
                <w:rFonts w:ascii="Times New Roman"/>
                <w:sz w:val="13"/>
              </w:rPr>
              <w:t>1.74</w:t>
            </w:r>
          </w:p>
        </w:tc>
        <w:tc>
          <w:tcPr>
            <w:tcW w:w="1610"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大连东软信息技术职业学院</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3"/>
              <w:jc w:val="right"/>
              <w:rPr>
                <w:rFonts w:ascii="Times New Roman" w:hAnsi="Times New Roman" w:cs="Times New Roman" w:eastAsia="Times New Roman" w:hint="default"/>
                <w:sz w:val="13"/>
                <w:szCs w:val="13"/>
              </w:rPr>
            </w:pPr>
            <w:r>
              <w:rPr>
                <w:rFonts w:ascii="Times New Roman"/>
                <w:w w:val="95"/>
                <w:sz w:val="13"/>
              </w:rPr>
              <w:t>3,600,000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57"/>
              <w:jc w:val="right"/>
              <w:rPr>
                <w:rFonts w:ascii="Times New Roman" w:hAnsi="Times New Roman" w:cs="Times New Roman" w:eastAsia="Times New Roman" w:hint="default"/>
                <w:sz w:val="13"/>
                <w:szCs w:val="13"/>
              </w:rPr>
            </w:pPr>
            <w:r>
              <w:rPr>
                <w:rFonts w:ascii="Times New Roman"/>
                <w:w w:val="95"/>
                <w:sz w:val="13"/>
              </w:rPr>
              <w:t>3,600,000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08"/>
              <w:jc w:val="right"/>
              <w:rPr>
                <w:rFonts w:ascii="Times New Roman" w:hAnsi="Times New Roman" w:cs="Times New Roman" w:eastAsia="Times New Roman" w:hint="default"/>
                <w:sz w:val="13"/>
                <w:szCs w:val="13"/>
              </w:rPr>
            </w:pPr>
            <w:r>
              <w:rPr>
                <w:rFonts w:ascii="Times New Roman"/>
                <w:w w:val="95"/>
                <w:sz w:val="13"/>
              </w:rPr>
              <w:t>3,600,000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98" w:right="0"/>
              <w:jc w:val="center"/>
              <w:rPr>
                <w:rFonts w:ascii="Times New Roman" w:hAnsi="Times New Roman" w:cs="Times New Roman" w:eastAsia="Times New Roman" w:hint="default"/>
                <w:sz w:val="13"/>
                <w:szCs w:val="13"/>
              </w:rPr>
            </w:pPr>
            <w:r>
              <w:rPr>
                <w:rFonts w:ascii="Times New Roman"/>
                <w:sz w:val="13"/>
              </w:rPr>
              <w:t>60.00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40" w:right="0"/>
              <w:jc w:val="left"/>
              <w:rPr>
                <w:rFonts w:ascii="Times New Roman" w:hAnsi="Times New Roman" w:cs="Times New Roman" w:eastAsia="Times New Roman" w:hint="default"/>
                <w:sz w:val="13"/>
                <w:szCs w:val="13"/>
              </w:rPr>
            </w:pPr>
            <w:r>
              <w:rPr>
                <w:rFonts w:ascii="Times New Roman"/>
                <w:sz w:val="13"/>
              </w:rPr>
              <w:t>60.00</w:t>
            </w:r>
          </w:p>
        </w:tc>
        <w:tc>
          <w:tcPr>
            <w:tcW w:w="1610"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成都东软信息技术职业学院</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3"/>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57"/>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8"/>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98" w:right="0"/>
              <w:jc w:val="center"/>
              <w:rPr>
                <w:rFonts w:ascii="Times New Roman" w:hAnsi="Times New Roman" w:cs="Times New Roman" w:eastAsia="Times New Roman" w:hint="default"/>
                <w:sz w:val="13"/>
                <w:szCs w:val="13"/>
              </w:rPr>
            </w:pPr>
            <w:r>
              <w:rPr>
                <w:rFonts w:ascii="Times New Roman"/>
                <w:sz w:val="13"/>
              </w:rPr>
              <w:t>17.47</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40" w:right="0"/>
              <w:jc w:val="left"/>
              <w:rPr>
                <w:rFonts w:ascii="Times New Roman" w:hAnsi="Times New Roman" w:cs="Times New Roman" w:eastAsia="Times New Roman" w:hint="default"/>
                <w:sz w:val="13"/>
                <w:szCs w:val="13"/>
              </w:rPr>
            </w:pPr>
            <w:r>
              <w:rPr>
                <w:rFonts w:ascii="Times New Roman"/>
                <w:sz w:val="13"/>
              </w:rPr>
              <w:t>17.47</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9"/>
              <w:jc w:val="right"/>
              <w:rPr>
                <w:rFonts w:ascii="Times New Roman" w:hAnsi="Times New Roman" w:cs="Times New Roman" w:eastAsia="Times New Roman" w:hint="default"/>
                <w:sz w:val="13"/>
                <w:szCs w:val="13"/>
              </w:rPr>
            </w:pPr>
            <w:r>
              <w:rPr>
                <w:rFonts w:ascii="Times New Roman"/>
                <w:w w:val="95"/>
                <w:sz w:val="13"/>
              </w:rPr>
              <w:t>1,200,000</w:t>
            </w:r>
            <w:r>
              <w:rPr>
                <w:rFonts w:ascii="Times New Roman"/>
                <w:sz w:val="13"/>
              </w:rPr>
            </w:r>
          </w:p>
        </w:tc>
        <w:tc>
          <w:tcPr>
            <w:tcW w:w="915"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南海东软信息技术职业学院</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24"/>
              <w:jc w:val="right"/>
              <w:rPr>
                <w:rFonts w:ascii="宋体" w:hAnsi="宋体" w:cs="宋体" w:eastAsia="宋体" w:hint="default"/>
                <w:sz w:val="13"/>
                <w:szCs w:val="13"/>
              </w:rPr>
            </w:pPr>
            <w:r>
              <w:rPr>
                <w:rFonts w:ascii="宋体" w:hAnsi="宋体" w:cs="宋体" w:eastAsia="宋体" w:hint="default"/>
                <w:w w:val="95"/>
                <w:sz w:val="13"/>
                <w:szCs w:val="13"/>
              </w:rPr>
              <w:t>成本法</w:t>
            </w:r>
            <w:r>
              <w:rPr>
                <w:rFonts w:ascii="宋体" w:hAnsi="宋体" w:cs="宋体" w:eastAsia="宋体" w:hint="default"/>
                <w:sz w:val="13"/>
                <w:szCs w:val="13"/>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3"/>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57"/>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8"/>
              <w:jc w:val="right"/>
              <w:rPr>
                <w:rFonts w:ascii="Times New Roman" w:hAnsi="Times New Roman" w:cs="Times New Roman" w:eastAsia="Times New Roman" w:hint="default"/>
                <w:sz w:val="13"/>
                <w:szCs w:val="13"/>
              </w:rPr>
            </w:pPr>
            <w:r>
              <w:rPr>
                <w:rFonts w:ascii="Times New Roman"/>
                <w:w w:val="95"/>
                <w:sz w:val="13"/>
              </w:rPr>
              <w:t>3,000,000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98" w:right="0"/>
              <w:jc w:val="center"/>
              <w:rPr>
                <w:rFonts w:ascii="Times New Roman" w:hAnsi="Times New Roman" w:cs="Times New Roman" w:eastAsia="Times New Roman" w:hint="default"/>
                <w:sz w:val="13"/>
                <w:szCs w:val="13"/>
              </w:rPr>
            </w:pPr>
            <w:r>
              <w:rPr>
                <w:rFonts w:ascii="Times New Roman"/>
                <w:sz w:val="13"/>
              </w:rPr>
              <w:t>12.82</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40" w:right="0"/>
              <w:jc w:val="left"/>
              <w:rPr>
                <w:rFonts w:ascii="Times New Roman" w:hAnsi="Times New Roman" w:cs="Times New Roman" w:eastAsia="Times New Roman" w:hint="default"/>
                <w:sz w:val="13"/>
                <w:szCs w:val="13"/>
              </w:rPr>
            </w:pPr>
            <w:r>
              <w:rPr>
                <w:rFonts w:ascii="Times New Roman"/>
                <w:sz w:val="13"/>
              </w:rPr>
              <w:t>12.82</w:t>
            </w:r>
          </w:p>
        </w:tc>
        <w:tc>
          <w:tcPr>
            <w:tcW w:w="1610"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
        </w:tc>
      </w:tr>
      <w:tr>
        <w:trPr>
          <w:trHeight w:val="31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7" w:right="0"/>
              <w:jc w:val="left"/>
              <w:rPr>
                <w:rFonts w:ascii="宋体" w:hAnsi="宋体" w:cs="宋体" w:eastAsia="宋体" w:hint="default"/>
                <w:sz w:val="13"/>
                <w:szCs w:val="13"/>
              </w:rPr>
            </w:pPr>
            <w:r>
              <w:rPr>
                <w:rFonts w:ascii="宋体" w:hAnsi="宋体" w:cs="宋体" w:eastAsia="宋体" w:hint="default"/>
                <w:sz w:val="13"/>
                <w:szCs w:val="13"/>
              </w:rPr>
              <w:t>成本法小计</w:t>
            </w:r>
          </w:p>
        </w:tc>
        <w:tc>
          <w:tcPr>
            <w:tcW w:w="889"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3"/>
              <w:jc w:val="right"/>
              <w:rPr>
                <w:rFonts w:ascii="Times New Roman" w:hAnsi="Times New Roman" w:cs="Times New Roman" w:eastAsia="Times New Roman" w:hint="default"/>
                <w:sz w:val="13"/>
                <w:szCs w:val="13"/>
              </w:rPr>
            </w:pPr>
            <w:r>
              <w:rPr>
                <w:rFonts w:ascii="Times New Roman"/>
                <w:w w:val="95"/>
                <w:sz w:val="13"/>
              </w:rPr>
              <w:t>1,285,466,641</w:t>
            </w:r>
            <w:r>
              <w:rPr>
                <w:rFonts w:ascii="Times New Roman"/>
                <w:sz w:val="13"/>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57"/>
              <w:jc w:val="right"/>
              <w:rPr>
                <w:rFonts w:ascii="Times New Roman" w:hAnsi="Times New Roman" w:cs="Times New Roman" w:eastAsia="Times New Roman" w:hint="default"/>
                <w:sz w:val="13"/>
                <w:szCs w:val="13"/>
              </w:rPr>
            </w:pPr>
            <w:r>
              <w:rPr>
                <w:rFonts w:ascii="Times New Roman"/>
                <w:w w:val="95"/>
                <w:sz w:val="13"/>
              </w:rPr>
              <w:t>1,126,263,714</w:t>
            </w:r>
            <w:r>
              <w:rPr>
                <w:rFonts w:ascii="Times New Roman"/>
                <w:sz w:val="13"/>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61"/>
              <w:jc w:val="right"/>
              <w:rPr>
                <w:rFonts w:ascii="Times New Roman" w:hAnsi="Times New Roman" w:cs="Times New Roman" w:eastAsia="Times New Roman" w:hint="default"/>
                <w:sz w:val="13"/>
                <w:szCs w:val="13"/>
              </w:rPr>
            </w:pPr>
            <w:r>
              <w:rPr>
                <w:rFonts w:ascii="Times New Roman"/>
                <w:spacing w:val="-1"/>
                <w:sz w:val="13"/>
              </w:rPr>
              <w:t>211,231,406</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06"/>
              <w:jc w:val="right"/>
              <w:rPr>
                <w:rFonts w:ascii="Times New Roman" w:hAnsi="Times New Roman" w:cs="Times New Roman" w:eastAsia="Times New Roman" w:hint="default"/>
                <w:sz w:val="13"/>
                <w:szCs w:val="13"/>
              </w:rPr>
            </w:pPr>
            <w:r>
              <w:rPr>
                <w:rFonts w:ascii="Times New Roman"/>
                <w:w w:val="95"/>
                <w:sz w:val="13"/>
              </w:rPr>
              <w:t>1,337,495,120</w:t>
            </w:r>
            <w:r>
              <w:rPr>
                <w:rFonts w:ascii="Times New Roman"/>
                <w:sz w:val="13"/>
              </w:rPr>
            </w:r>
          </w:p>
        </w:tc>
        <w:tc>
          <w:tcPr>
            <w:tcW w:w="941" w:type="dxa"/>
            <w:tcBorders>
              <w:top w:val="nil" w:sz="6" w:space="0" w:color="auto"/>
              <w:left w:val="nil" w:sz="6" w:space="0" w:color="auto"/>
              <w:bottom w:val="nil" w:sz="6" w:space="0" w:color="auto"/>
              <w:right w:val="nil" w:sz="6" w:space="0" w:color="auto"/>
            </w:tcBorders>
          </w:tcPr>
          <w:p>
            <w:pPr/>
          </w:p>
        </w:tc>
        <w:tc>
          <w:tcPr>
            <w:tcW w:w="1572" w:type="dxa"/>
            <w:tcBorders>
              <w:top w:val="nil" w:sz="6" w:space="0" w:color="auto"/>
              <w:left w:val="nil" w:sz="6" w:space="0" w:color="auto"/>
              <w:bottom w:val="nil" w:sz="6" w:space="0" w:color="auto"/>
              <w:right w:val="nil" w:sz="6" w:space="0" w:color="auto"/>
            </w:tcBorders>
          </w:tcPr>
          <w:p>
            <w:pP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9"/>
              <w:jc w:val="right"/>
              <w:rPr>
                <w:rFonts w:ascii="Times New Roman" w:hAnsi="Times New Roman" w:cs="Times New Roman" w:eastAsia="Times New Roman" w:hint="default"/>
                <w:sz w:val="13"/>
                <w:szCs w:val="13"/>
              </w:rPr>
            </w:pPr>
            <w:r>
              <w:rPr>
                <w:rFonts w:ascii="Times New Roman"/>
                <w:w w:val="95"/>
                <w:sz w:val="13"/>
              </w:rPr>
              <w:t>4,300,000</w:t>
            </w:r>
            <w:r>
              <w:rPr>
                <w:rFonts w:ascii="Times New Roman"/>
                <w:sz w:val="13"/>
              </w:rPr>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43"/>
              <w:jc w:val="right"/>
              <w:rPr>
                <w:rFonts w:ascii="Times New Roman" w:hAnsi="Times New Roman" w:cs="Times New Roman" w:eastAsia="Times New Roman" w:hint="default"/>
                <w:sz w:val="13"/>
                <w:szCs w:val="13"/>
              </w:rPr>
            </w:pPr>
            <w:r>
              <w:rPr>
                <w:rFonts w:ascii="Times New Roman"/>
                <w:w w:val="95"/>
                <w:sz w:val="13"/>
              </w:rPr>
              <w:t>1,100,000</w:t>
            </w:r>
            <w:r>
              <w:rPr>
                <w:rFonts w:ascii="Times New Roman"/>
                <w:sz w:val="13"/>
              </w:rPr>
            </w: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1"/>
              <w:jc w:val="right"/>
              <w:rPr>
                <w:rFonts w:ascii="Times New Roman" w:hAnsi="Times New Roman" w:cs="Times New Roman" w:eastAsia="Times New Roman" w:hint="default"/>
                <w:sz w:val="13"/>
                <w:szCs w:val="13"/>
              </w:rPr>
            </w:pPr>
            <w:r>
              <w:rPr>
                <w:rFonts w:ascii="Times New Roman"/>
                <w:w w:val="95"/>
                <w:sz w:val="13"/>
              </w:rPr>
              <w:t>23,007,303</w:t>
            </w:r>
            <w:r>
              <w:rPr>
                <w:rFonts w:ascii="Times New Roman"/>
                <w:sz w:val="13"/>
              </w:rPr>
            </w:r>
          </w:p>
        </w:tc>
      </w:tr>
      <w:tr>
        <w:trPr>
          <w:trHeight w:val="269" w:hRule="exact"/>
        </w:trPr>
        <w:tc>
          <w:tcPr>
            <w:tcW w:w="2161" w:type="dxa"/>
            <w:tcBorders>
              <w:top w:val="nil" w:sz="6" w:space="0" w:color="auto"/>
              <w:left w:val="nil" w:sz="6" w:space="0" w:color="auto"/>
              <w:bottom w:val="single" w:sz="8" w:space="0" w:color="000000"/>
              <w:right w:val="nil" w:sz="6" w:space="0" w:color="auto"/>
            </w:tcBorders>
          </w:tcPr>
          <w:p>
            <w:pPr>
              <w:pStyle w:val="TableParagraph"/>
              <w:spacing w:line="240" w:lineRule="auto" w:before="46"/>
              <w:ind w:left="928" w:right="0"/>
              <w:jc w:val="left"/>
              <w:rPr>
                <w:rFonts w:ascii="宋体" w:hAnsi="宋体" w:cs="宋体" w:eastAsia="宋体" w:hint="default"/>
                <w:sz w:val="13"/>
                <w:szCs w:val="13"/>
              </w:rPr>
            </w:pPr>
            <w:r>
              <w:rPr>
                <w:rFonts w:ascii="宋体" w:hAnsi="宋体" w:cs="宋体" w:eastAsia="宋体" w:hint="default"/>
                <w:sz w:val="13"/>
                <w:szCs w:val="13"/>
              </w:rPr>
              <w:t>合  </w:t>
            </w:r>
            <w:r>
              <w:rPr>
                <w:rFonts w:ascii="宋体" w:hAnsi="宋体" w:cs="宋体" w:eastAsia="宋体" w:hint="default"/>
                <w:spacing w:val="61"/>
                <w:sz w:val="13"/>
                <w:szCs w:val="13"/>
              </w:rPr>
              <w:t> </w:t>
            </w:r>
            <w:r>
              <w:rPr>
                <w:rFonts w:ascii="宋体" w:hAnsi="宋体" w:cs="宋体" w:eastAsia="宋体" w:hint="default"/>
                <w:sz w:val="13"/>
                <w:szCs w:val="13"/>
              </w:rPr>
              <w:t>计</w:t>
            </w:r>
            <w:r>
              <w:rPr>
                <w:rFonts w:ascii="宋体" w:hAnsi="宋体" w:cs="宋体" w:eastAsia="宋体" w:hint="default"/>
                <w:spacing w:val="-1"/>
                <w:sz w:val="13"/>
                <w:szCs w:val="13"/>
              </w:rPr>
              <w:t> </w:t>
            </w:r>
            <w:r>
              <w:rPr>
                <w:rFonts w:ascii="宋体" w:hAnsi="宋体" w:cs="宋体" w:eastAsia="宋体" w:hint="default"/>
                <w:sz w:val="13"/>
                <w:szCs w:val="13"/>
              </w:rPr>
            </w:r>
          </w:p>
        </w:tc>
        <w:tc>
          <w:tcPr>
            <w:tcW w:w="889" w:type="dxa"/>
            <w:tcBorders>
              <w:top w:val="nil" w:sz="6" w:space="0" w:color="auto"/>
              <w:left w:val="nil" w:sz="6" w:space="0" w:color="auto"/>
              <w:bottom w:val="single" w:sz="8" w:space="0" w:color="000000"/>
              <w:right w:val="nil" w:sz="6" w:space="0" w:color="auto"/>
            </w:tcBorders>
          </w:tcPr>
          <w:p>
            <w:pPr/>
          </w:p>
        </w:tc>
        <w:tc>
          <w:tcPr>
            <w:tcW w:w="1137"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163"/>
              <w:jc w:val="right"/>
              <w:rPr>
                <w:rFonts w:ascii="Times New Roman" w:hAnsi="Times New Roman" w:cs="Times New Roman" w:eastAsia="Times New Roman" w:hint="default"/>
                <w:sz w:val="13"/>
                <w:szCs w:val="13"/>
              </w:rPr>
            </w:pPr>
            <w:r>
              <w:rPr>
                <w:rFonts w:ascii="Times New Roman"/>
                <w:w w:val="95"/>
                <w:sz w:val="13"/>
              </w:rPr>
              <w:t>1,317,180,262</w:t>
            </w:r>
            <w:r>
              <w:rPr>
                <w:rFonts w:ascii="Times New Roman"/>
                <w:sz w:val="13"/>
              </w:rPr>
            </w:r>
          </w:p>
        </w:tc>
        <w:tc>
          <w:tcPr>
            <w:tcW w:w="1072"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157"/>
              <w:jc w:val="right"/>
              <w:rPr>
                <w:rFonts w:ascii="Times New Roman" w:hAnsi="Times New Roman" w:cs="Times New Roman" w:eastAsia="Times New Roman" w:hint="default"/>
                <w:sz w:val="13"/>
                <w:szCs w:val="13"/>
              </w:rPr>
            </w:pPr>
            <w:r>
              <w:rPr>
                <w:rFonts w:ascii="Times New Roman"/>
                <w:w w:val="95"/>
                <w:sz w:val="13"/>
              </w:rPr>
              <w:t>1,178,550,377</w:t>
            </w:r>
            <w:r>
              <w:rPr>
                <w:rFonts w:ascii="Times New Roman"/>
                <w:sz w:val="13"/>
              </w:rPr>
            </w:r>
          </w:p>
        </w:tc>
        <w:tc>
          <w:tcPr>
            <w:tcW w:w="973"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161"/>
              <w:jc w:val="right"/>
              <w:rPr>
                <w:rFonts w:ascii="Times New Roman" w:hAnsi="Times New Roman" w:cs="Times New Roman" w:eastAsia="Times New Roman" w:hint="default"/>
                <w:sz w:val="13"/>
                <w:szCs w:val="13"/>
              </w:rPr>
            </w:pPr>
            <w:r>
              <w:rPr>
                <w:rFonts w:ascii="Times New Roman"/>
                <w:spacing w:val="-1"/>
                <w:sz w:val="13"/>
              </w:rPr>
              <w:t>199,911,834</w:t>
            </w:r>
          </w:p>
        </w:tc>
        <w:tc>
          <w:tcPr>
            <w:tcW w:w="1219"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306"/>
              <w:jc w:val="right"/>
              <w:rPr>
                <w:rFonts w:ascii="Times New Roman" w:hAnsi="Times New Roman" w:cs="Times New Roman" w:eastAsia="Times New Roman" w:hint="default"/>
                <w:sz w:val="13"/>
                <w:szCs w:val="13"/>
              </w:rPr>
            </w:pPr>
            <w:r>
              <w:rPr>
                <w:rFonts w:ascii="Times New Roman"/>
                <w:spacing w:val="-1"/>
                <w:sz w:val="13"/>
              </w:rPr>
              <w:t>1,378,462,211</w:t>
            </w:r>
          </w:p>
        </w:tc>
        <w:tc>
          <w:tcPr>
            <w:tcW w:w="941" w:type="dxa"/>
            <w:tcBorders>
              <w:top w:val="nil" w:sz="6" w:space="0" w:color="auto"/>
              <w:left w:val="nil" w:sz="6" w:space="0" w:color="auto"/>
              <w:bottom w:val="single" w:sz="8" w:space="0" w:color="000000"/>
              <w:right w:val="nil" w:sz="6" w:space="0" w:color="auto"/>
            </w:tcBorders>
          </w:tcPr>
          <w:p>
            <w:pPr/>
          </w:p>
        </w:tc>
        <w:tc>
          <w:tcPr>
            <w:tcW w:w="1572" w:type="dxa"/>
            <w:tcBorders>
              <w:top w:val="nil" w:sz="6" w:space="0" w:color="auto"/>
              <w:left w:val="nil" w:sz="6" w:space="0" w:color="auto"/>
              <w:bottom w:val="single" w:sz="8" w:space="0" w:color="000000"/>
              <w:right w:val="nil" w:sz="6" w:space="0" w:color="auto"/>
            </w:tcBorders>
          </w:tcPr>
          <w:p>
            <w:pPr/>
          </w:p>
        </w:tc>
        <w:tc>
          <w:tcPr>
            <w:tcW w:w="1610"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149"/>
              <w:jc w:val="right"/>
              <w:rPr>
                <w:rFonts w:ascii="Times New Roman" w:hAnsi="Times New Roman" w:cs="Times New Roman" w:eastAsia="Times New Roman" w:hint="default"/>
                <w:sz w:val="13"/>
                <w:szCs w:val="13"/>
              </w:rPr>
            </w:pPr>
            <w:r>
              <w:rPr>
                <w:rFonts w:ascii="Times New Roman"/>
                <w:w w:val="95"/>
                <w:sz w:val="13"/>
              </w:rPr>
              <w:t>4,300,000</w:t>
            </w:r>
            <w:r>
              <w:rPr>
                <w:rFonts w:ascii="Times New Roman"/>
                <w:sz w:val="13"/>
              </w:rPr>
            </w:r>
          </w:p>
        </w:tc>
        <w:tc>
          <w:tcPr>
            <w:tcW w:w="915"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243"/>
              <w:jc w:val="right"/>
              <w:rPr>
                <w:rFonts w:ascii="Times New Roman" w:hAnsi="Times New Roman" w:cs="Times New Roman" w:eastAsia="Times New Roman" w:hint="default"/>
                <w:sz w:val="13"/>
                <w:szCs w:val="13"/>
              </w:rPr>
            </w:pPr>
            <w:r>
              <w:rPr>
                <w:rFonts w:ascii="Times New Roman"/>
                <w:w w:val="95"/>
                <w:sz w:val="13"/>
              </w:rPr>
              <w:t>1,100,000</w:t>
            </w:r>
            <w:r>
              <w:rPr>
                <w:rFonts w:ascii="Times New Roman"/>
                <w:sz w:val="13"/>
              </w:rPr>
            </w:r>
          </w:p>
        </w:tc>
        <w:tc>
          <w:tcPr>
            <w:tcW w:w="902" w:type="dxa"/>
            <w:tcBorders>
              <w:top w:val="nil" w:sz="6" w:space="0" w:color="auto"/>
              <w:left w:val="nil" w:sz="6" w:space="0" w:color="auto"/>
              <w:bottom w:val="single" w:sz="8" w:space="0" w:color="000000"/>
              <w:right w:val="nil" w:sz="6" w:space="0" w:color="auto"/>
            </w:tcBorders>
          </w:tcPr>
          <w:p>
            <w:pPr>
              <w:pStyle w:val="TableParagraph"/>
              <w:spacing w:line="240" w:lineRule="auto" w:before="76"/>
              <w:ind w:right="71"/>
              <w:jc w:val="right"/>
              <w:rPr>
                <w:rFonts w:ascii="Times New Roman" w:hAnsi="Times New Roman" w:cs="Times New Roman" w:eastAsia="Times New Roman" w:hint="default"/>
                <w:sz w:val="13"/>
                <w:szCs w:val="13"/>
              </w:rPr>
            </w:pPr>
            <w:r>
              <w:rPr>
                <w:rFonts w:ascii="Times New Roman"/>
                <w:w w:val="95"/>
                <w:sz w:val="13"/>
              </w:rPr>
              <w:t>33,892,576</w:t>
            </w:r>
            <w:r>
              <w:rPr>
                <w:rFonts w:ascii="Times New Roman"/>
                <w:sz w:val="13"/>
              </w:rPr>
            </w:r>
          </w:p>
        </w:tc>
      </w:tr>
    </w:tbl>
    <w:p>
      <w:pPr>
        <w:spacing w:after="0" w:line="240" w:lineRule="auto"/>
        <w:jc w:val="right"/>
        <w:rPr>
          <w:rFonts w:ascii="Times New Roman" w:hAnsi="Times New Roman" w:cs="Times New Roman" w:eastAsia="Times New Roman" w:hint="default"/>
          <w:sz w:val="13"/>
          <w:szCs w:val="13"/>
        </w:rPr>
        <w:sectPr>
          <w:pgSz w:w="16840" w:h="11900" w:orient="landscape"/>
          <w:pgMar w:header="883" w:footer="995" w:top="1600" w:bottom="1180" w:left="1300" w:right="1300"/>
        </w:sectPr>
      </w:pPr>
    </w:p>
    <w:p>
      <w:pPr>
        <w:spacing w:line="240" w:lineRule="auto" w:before="1"/>
        <w:rPr>
          <w:rFonts w:ascii="Times New Roman" w:hAnsi="Times New Roman" w:cs="Times New Roman" w:eastAsia="Times New Roman" w:hint="default"/>
          <w:sz w:val="4"/>
          <w:szCs w:val="4"/>
        </w:rPr>
      </w:pPr>
      <w:r>
        <w:rPr/>
        <w:pict>
          <v:group style="position:absolute;margin-left:120.000008pt;margin-top:407.040009pt;width:386.6pt;height:144.1pt;mso-position-horizontal-relative:page;mso-position-vertical-relative:page;z-index:-974416" coordorigin="2400,8141" coordsize="7732,2882">
            <v:group style="position:absolute;left:2410;top:8150;width:2650;height:2" coordorigin="2410,8150" coordsize="2650,2">
              <v:shape style="position:absolute;left:2410;top:8150;width:2650;height:2" coordorigin="2410,8150" coordsize="2650,0" path="m2410,8150l5059,8150e" filled="false" stroked="true" strokeweight=".95999pt" strokecolor="#000000">
                <v:path arrowok="t"/>
              </v:shape>
            </v:group>
            <v:group style="position:absolute;left:5059;top:8150;width:2014;height:2" coordorigin="5059,8150" coordsize="2014,2">
              <v:shape style="position:absolute;left:5059;top:8150;width:2014;height:2" coordorigin="5059,8150" coordsize="2014,0" path="m5059,8150l7073,8150e" filled="false" stroked="true" strokeweight=".95999pt" strokecolor="#000000">
                <v:path arrowok="t"/>
              </v:shape>
            </v:group>
            <v:group style="position:absolute;left:7073;top:8150;width:3050;height:2" coordorigin="7073,8150" coordsize="3050,2">
              <v:shape style="position:absolute;left:7073;top:8150;width:3050;height:2" coordorigin="7073,8150" coordsize="3050,0" path="m7073,8150l10122,8150e" filled="false" stroked="true" strokeweight=".95999pt" strokecolor="#000000">
                <v:path arrowok="t"/>
              </v:shape>
              <v:shape style="position:absolute;left:2410;top:8160;width:7721;height:2862" type="#_x0000_t75" stroked="false">
                <v:imagedata r:id="rId176" o:title=""/>
              </v:shape>
            </v:group>
            <w10:wrap type="none"/>
          </v:group>
        </w:pict>
      </w:r>
      <w:r>
        <w:rPr/>
        <w:pict>
          <v:shape style="position:absolute;margin-left:120.480003pt;margin-top:632.999634pt;width:386.519974pt;height:122.58pt;mso-position-horizontal-relative:page;mso-position-vertical-relative:page;z-index:-974392" type="#_x0000_t75" stroked="false">
            <v:imagedata r:id="rId177" o:title=""/>
          </v:shape>
        </w:pict>
      </w:r>
    </w:p>
    <w:p>
      <w:pPr>
        <w:spacing w:line="20" w:lineRule="exact"/>
        <w:ind w:left="1765"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8.8pt;height:.5pt;mso-position-horizontal-relative:char;mso-position-vertical-relative:line" coordorigin="0,0" coordsize="8376,10">
            <v:group style="position:absolute;left:5;top:5;width:8367;height:2" coordorigin="5,5" coordsize="8367,2">
              <v:shape style="position:absolute;left:5;top:5;width:8367;height:2" coordorigin="5,5" coordsize="8367,0" path="m5,5l8371,5e" filled="false" stroked="true" strokeweight=".47998pt" strokecolor="#000000">
                <v:path arrowok="t"/>
              </v:shape>
            </v:group>
          </v:group>
        </w:pict>
      </w:r>
      <w:r>
        <w:rPr>
          <w:rFonts w:ascii="Times New Roman" w:hAnsi="Times New Roman" w:cs="Times New Roman" w:eastAsia="Times New Roman" w:hint="default"/>
          <w:sz w:val="2"/>
          <w:szCs w:val="2"/>
        </w:rPr>
      </w:r>
    </w:p>
    <w:p>
      <w:pPr>
        <w:tabs>
          <w:tab w:pos="2513" w:val="left" w:leader="none"/>
        </w:tabs>
        <w:spacing w:before="82"/>
        <w:ind w:left="178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营业收入及营业成本</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3056" w:val="left" w:leader="none"/>
        </w:tabs>
        <w:spacing w:before="0"/>
        <w:ind w:left="2517"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营业收入</w:t>
      </w:r>
    </w:p>
    <w:p>
      <w:pPr>
        <w:spacing w:line="1260" w:lineRule="exact"/>
        <w:ind w:left="2385"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388.4pt;height:63pt;mso-position-horizontal-relative:char;mso-position-vertical-relative:line" coordorigin="0,0" coordsize="7768,1260">
            <v:group style="position:absolute;left:24;top:10;width:2969;height:2" coordorigin="24,10" coordsize="2969,2">
              <v:shape style="position:absolute;left:24;top:10;width:2969;height:2" coordorigin="24,10" coordsize="2969,0" path="m24,10l2993,10e" filled="false" stroked="true" strokeweight=".96002pt" strokecolor="#000000">
                <v:path arrowok="t"/>
              </v:shape>
            </v:group>
            <v:group style="position:absolute;left:2993;top:10;width:2465;height:2" coordorigin="2993,10" coordsize="2465,2">
              <v:shape style="position:absolute;left:2993;top:10;width:2465;height:2" coordorigin="2993,10" coordsize="2465,0" path="m2993,10l5458,10e" filled="false" stroked="true" strokeweight=".96002pt" strokecolor="#000000">
                <v:path arrowok="t"/>
              </v:shape>
            </v:group>
            <v:group style="position:absolute;left:5458;top:10;width:2294;height:2" coordorigin="5458,10" coordsize="2294,2">
              <v:shape style="position:absolute;left:5458;top:10;width:2294;height:2" coordorigin="5458,10" coordsize="2294,0" path="m5458,10l7751,10e" filled="false" stroked="true" strokeweight=".96002pt" strokecolor="#000000">
                <v:path arrowok="t"/>
              </v:shape>
            </v:group>
            <v:group style="position:absolute;left:10;top:1250;width:2984;height:2" coordorigin="10,1250" coordsize="2984,2">
              <v:shape style="position:absolute;left:10;top:1250;width:2984;height:2" coordorigin="10,1250" coordsize="2984,0" path="m10,1250l2993,1250e" filled="false" stroked="true" strokeweight=".95996pt" strokecolor="#000000">
                <v:path arrowok="t"/>
              </v:shape>
            </v:group>
            <v:group style="position:absolute;left:2993;top:1250;width:2465;height:2" coordorigin="2993,1250" coordsize="2465,2">
              <v:shape style="position:absolute;left:2993;top:1250;width:2465;height:2" coordorigin="2993,1250" coordsize="2465,0" path="m2993,1250l5458,1250e" filled="false" stroked="true" strokeweight=".95996pt" strokecolor="#000000">
                <v:path arrowok="t"/>
              </v:shape>
              <v:shape style="position:absolute;left:24;top:19;width:7738;height:1222" type="#_x0000_t75" stroked="false">
                <v:imagedata r:id="rId178" o:title=""/>
              </v:shape>
            </v:group>
            <v:group style="position:absolute;left:5458;top:1250;width:2301;height:2" coordorigin="5458,1250" coordsize="2301,2">
              <v:shape style="position:absolute;left:5458;top:1250;width:2301;height:2" coordorigin="5458,1250" coordsize="2301,0" path="m5458,1250l7758,1250e" filled="false" stroked="true" strokeweight=".95996pt" strokecolor="#000000">
                <v:path arrowok="t"/>
              </v:shape>
              <v:shape style="position:absolute;left:1091;top:17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    目</w:t>
                      </w:r>
                    </w:p>
                  </w:txbxContent>
                </v:textbox>
                <w10:wrap type="none"/>
              </v:shape>
              <v:shape style="position:absolute;left:3704;top:178;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本期发生额</w:t>
                      </w:r>
                    </w:p>
                  </w:txbxContent>
                </v:textbox>
                <w10:wrap type="none"/>
              </v:shape>
              <v:shape style="position:absolute;left:6084;top:178;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上期发生额</w:t>
                      </w:r>
                    </w:p>
                  </w:txbxContent>
                </v:textbox>
                <w10:wrap type="none"/>
              </v:shape>
              <v:shape style="position:absolute;left:132;top:588;width:840;height:62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营业收入</w:t>
                      </w:r>
                    </w:p>
                    <w:p>
                      <w:pPr>
                        <w:spacing w:before="135"/>
                        <w:ind w:left="0" w:right="0" w:firstLine="0"/>
                        <w:jc w:val="left"/>
                        <w:rPr>
                          <w:rFonts w:ascii="宋体" w:hAnsi="宋体" w:cs="宋体" w:eastAsia="宋体" w:hint="default"/>
                          <w:sz w:val="21"/>
                          <w:szCs w:val="21"/>
                        </w:rPr>
                      </w:pPr>
                      <w:r>
                        <w:rPr>
                          <w:rFonts w:ascii="宋体" w:hAnsi="宋体" w:cs="宋体" w:eastAsia="宋体" w:hint="default"/>
                          <w:sz w:val="21"/>
                          <w:szCs w:val="21"/>
                        </w:rPr>
                        <w:t>营业成本</w:t>
                      </w:r>
                    </w:p>
                  </w:txbxContent>
                </v:textbox>
                <w10:wrap type="none"/>
              </v:shape>
              <v:shape style="position:absolute;left:4147;top:613;width:1208;height:621"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2,722,818,174</w:t>
                      </w:r>
                    </w:p>
                    <w:p>
                      <w:pPr>
                        <w:spacing w:line="237" w:lineRule="exact" w:before="169"/>
                        <w:ind w:left="0" w:right="0" w:firstLine="0"/>
                        <w:jc w:val="left"/>
                        <w:rPr>
                          <w:rFonts w:ascii="Times New Roman" w:hAnsi="Times New Roman" w:cs="Times New Roman" w:eastAsia="Times New Roman" w:hint="default"/>
                          <w:sz w:val="21"/>
                          <w:szCs w:val="21"/>
                        </w:rPr>
                      </w:pPr>
                      <w:r>
                        <w:rPr>
                          <w:rFonts w:ascii="Times New Roman"/>
                          <w:spacing w:val="-1"/>
                          <w:sz w:val="21"/>
                        </w:rPr>
                        <w:t>1,885,383,988</w:t>
                      </w:r>
                    </w:p>
                  </w:txbxContent>
                </v:textbox>
                <w10:wrap type="none"/>
              </v:shape>
              <v:shape style="position:absolute;left:6441;top:613;width:1209;height:621"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2,350,046,780</w:t>
                      </w:r>
                    </w:p>
                    <w:p>
                      <w:pPr>
                        <w:spacing w:line="237" w:lineRule="exact" w:before="169"/>
                        <w:ind w:left="0" w:right="0" w:firstLine="0"/>
                        <w:jc w:val="left"/>
                        <w:rPr>
                          <w:rFonts w:ascii="Times New Roman" w:hAnsi="Times New Roman" w:cs="Times New Roman" w:eastAsia="Times New Roman" w:hint="default"/>
                          <w:sz w:val="21"/>
                          <w:szCs w:val="21"/>
                        </w:rPr>
                      </w:pPr>
                      <w:r>
                        <w:rPr>
                          <w:rFonts w:ascii="Times New Roman"/>
                          <w:spacing w:val="-1"/>
                          <w:sz w:val="21"/>
                        </w:rPr>
                        <w:t>1,606,717,287</w:t>
                      </w:r>
                    </w:p>
                  </w:txbxContent>
                </v:textbox>
                <w10:wrap type="none"/>
              </v:shape>
            </v:group>
          </v:group>
        </w:pict>
      </w:r>
      <w:r>
        <w:rPr>
          <w:rFonts w:ascii="宋体" w:hAnsi="宋体" w:cs="宋体" w:eastAsia="宋体" w:hint="default"/>
          <w:position w:val="-24"/>
          <w:sz w:val="20"/>
          <w:szCs w:val="20"/>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tabs>
          <w:tab w:pos="3056" w:val="left" w:leader="none"/>
        </w:tabs>
        <w:spacing w:before="35"/>
        <w:ind w:left="2517" w:right="0" w:firstLine="0"/>
        <w:jc w:val="left"/>
        <w:rPr>
          <w:rFonts w:ascii="宋体" w:hAnsi="宋体" w:cs="宋体" w:eastAsia="宋体" w:hint="default"/>
          <w:sz w:val="21"/>
          <w:szCs w:val="21"/>
        </w:rPr>
      </w:pPr>
      <w:r>
        <w:rPr/>
        <w:pict>
          <v:shape style="position:absolute;margin-left:119.760002pt;margin-top:63.679302pt;width:386.7pt;height:121.4pt;mso-position-horizontal-relative:page;mso-position-vertical-relative:paragraph;z-index:231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392"/>
                    <w:gridCol w:w="1323"/>
                    <w:gridCol w:w="1332"/>
                    <w:gridCol w:w="1356"/>
                    <w:gridCol w:w="1332"/>
                  </w:tblGrid>
                  <w:tr>
                    <w:trPr>
                      <w:trHeight w:val="500" w:hRule="exact"/>
                    </w:trPr>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系统集成、软件产品销售、</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61"/>
                          <w:jc w:val="right"/>
                          <w:rPr>
                            <w:rFonts w:ascii="Times New Roman" w:hAnsi="Times New Roman" w:cs="Times New Roman" w:eastAsia="Times New Roman" w:hint="default"/>
                            <w:sz w:val="18"/>
                            <w:szCs w:val="18"/>
                          </w:rPr>
                        </w:pPr>
                        <w:r>
                          <w:rPr>
                            <w:rFonts w:ascii="Times New Roman"/>
                            <w:spacing w:val="-1"/>
                            <w:sz w:val="18"/>
                          </w:rPr>
                          <w:t>2,663,712,845</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30"/>
                          <w:jc w:val="right"/>
                          <w:rPr>
                            <w:rFonts w:ascii="Times New Roman" w:hAnsi="Times New Roman" w:cs="Times New Roman" w:eastAsia="Times New Roman" w:hint="default"/>
                            <w:sz w:val="18"/>
                            <w:szCs w:val="18"/>
                          </w:rPr>
                        </w:pPr>
                        <w:r>
                          <w:rPr>
                            <w:rFonts w:ascii="Times New Roman"/>
                            <w:spacing w:val="-1"/>
                            <w:sz w:val="18"/>
                          </w:rPr>
                          <w:t>1,867,496,353</w:t>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85"/>
                          <w:jc w:val="right"/>
                          <w:rPr>
                            <w:rFonts w:ascii="Times New Roman" w:hAnsi="Times New Roman" w:cs="Times New Roman" w:eastAsia="Times New Roman" w:hint="default"/>
                            <w:sz w:val="18"/>
                            <w:szCs w:val="18"/>
                          </w:rPr>
                        </w:pPr>
                        <w:r>
                          <w:rPr>
                            <w:rFonts w:ascii="Times New Roman"/>
                            <w:spacing w:val="-1"/>
                            <w:sz w:val="18"/>
                          </w:rPr>
                          <w:t>2,292,647,633</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1,589,475,681</w:t>
                        </w:r>
                      </w:p>
                    </w:tc>
                  </w:tr>
                  <w:tr>
                    <w:trPr>
                      <w:trHeight w:val="295" w:hRule="exact"/>
                    </w:trPr>
                    <w:tc>
                      <w:tcPr>
                        <w:tcW w:w="2392"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软件定制及其他劳务</w:t>
                        </w:r>
                      </w:p>
                    </w:tc>
                    <w:tc>
                      <w:tcPr>
                        <w:tcW w:w="1323"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
                    </w:tc>
                  </w:tr>
                  <w:tr>
                    <w:trPr>
                      <w:trHeight w:val="420" w:hRule="exact"/>
                    </w:trPr>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物业服务及租金</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61"/>
                          <w:jc w:val="right"/>
                          <w:rPr>
                            <w:rFonts w:ascii="Times New Roman" w:hAnsi="Times New Roman" w:cs="Times New Roman" w:eastAsia="Times New Roman" w:hint="default"/>
                            <w:sz w:val="18"/>
                            <w:szCs w:val="18"/>
                          </w:rPr>
                        </w:pPr>
                        <w:r>
                          <w:rPr>
                            <w:rFonts w:ascii="Times New Roman"/>
                            <w:sz w:val="18"/>
                          </w:rPr>
                          <w:t>59,105,329</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30"/>
                          <w:jc w:val="right"/>
                          <w:rPr>
                            <w:rFonts w:ascii="Times New Roman" w:hAnsi="Times New Roman" w:cs="Times New Roman" w:eastAsia="Times New Roman" w:hint="default"/>
                            <w:sz w:val="18"/>
                            <w:szCs w:val="18"/>
                          </w:rPr>
                        </w:pPr>
                        <w:r>
                          <w:rPr>
                            <w:rFonts w:ascii="Times New Roman"/>
                            <w:sz w:val="18"/>
                          </w:rPr>
                          <w:t>17,887,635</w:t>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85"/>
                          <w:jc w:val="right"/>
                          <w:rPr>
                            <w:rFonts w:ascii="Times New Roman" w:hAnsi="Times New Roman" w:cs="Times New Roman" w:eastAsia="Times New Roman" w:hint="default"/>
                            <w:sz w:val="18"/>
                            <w:szCs w:val="18"/>
                          </w:rPr>
                        </w:pPr>
                        <w:r>
                          <w:rPr>
                            <w:rFonts w:ascii="Times New Roman"/>
                            <w:sz w:val="18"/>
                          </w:rPr>
                          <w:t>57,399,147</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6"/>
                          <w:jc w:val="right"/>
                          <w:rPr>
                            <w:rFonts w:ascii="Times New Roman" w:hAnsi="Times New Roman" w:cs="Times New Roman" w:eastAsia="Times New Roman" w:hint="default"/>
                            <w:sz w:val="18"/>
                            <w:szCs w:val="18"/>
                          </w:rPr>
                        </w:pPr>
                        <w:r>
                          <w:rPr>
                            <w:rFonts w:ascii="Times New Roman"/>
                            <w:sz w:val="18"/>
                          </w:rPr>
                          <w:t>17,241,606</w:t>
                        </w:r>
                      </w:p>
                    </w:tc>
                  </w:tr>
                  <w:tr>
                    <w:trPr>
                      <w:trHeight w:val="324" w:hRule="exact"/>
                    </w:trPr>
                    <w:tc>
                      <w:tcPr>
                        <w:tcW w:w="2392" w:type="dxa"/>
                        <w:tcBorders>
                          <w:top w:val="nil" w:sz="6" w:space="0" w:color="auto"/>
                          <w:left w:val="nil" w:sz="6" w:space="0" w:color="auto"/>
                          <w:bottom w:val="single" w:sz="8" w:space="0" w:color="000000"/>
                          <w:right w:val="nil" w:sz="6" w:space="0" w:color="auto"/>
                        </w:tcBorders>
                      </w:tcPr>
                      <w:p>
                        <w:pPr>
                          <w:pStyle w:val="TableParagraph"/>
                          <w:tabs>
                            <w:tab w:pos="449" w:val="left" w:leader="none"/>
                          </w:tabs>
                          <w:spacing w:line="240" w:lineRule="auto" w:before="49"/>
                          <w:ind w:right="89"/>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323"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61"/>
                          <w:jc w:val="right"/>
                          <w:rPr>
                            <w:rFonts w:ascii="Times New Roman" w:hAnsi="Times New Roman" w:cs="Times New Roman" w:eastAsia="Times New Roman" w:hint="default"/>
                            <w:sz w:val="18"/>
                            <w:szCs w:val="18"/>
                          </w:rPr>
                        </w:pPr>
                        <w:r>
                          <w:rPr>
                            <w:rFonts w:ascii="Times New Roman"/>
                            <w:spacing w:val="-1"/>
                            <w:sz w:val="18"/>
                          </w:rPr>
                          <w:t>2,722,818,174</w:t>
                        </w:r>
                      </w:p>
                    </w:tc>
                    <w:tc>
                      <w:tcPr>
                        <w:tcW w:w="1332"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30"/>
                          <w:jc w:val="right"/>
                          <w:rPr>
                            <w:rFonts w:ascii="Times New Roman" w:hAnsi="Times New Roman" w:cs="Times New Roman" w:eastAsia="Times New Roman" w:hint="default"/>
                            <w:sz w:val="18"/>
                            <w:szCs w:val="18"/>
                          </w:rPr>
                        </w:pPr>
                        <w:r>
                          <w:rPr>
                            <w:rFonts w:ascii="Times New Roman"/>
                            <w:spacing w:val="-1"/>
                            <w:sz w:val="18"/>
                          </w:rPr>
                          <w:t>1,885,383,988</w:t>
                        </w:r>
                      </w:p>
                    </w:tc>
                    <w:tc>
                      <w:tcPr>
                        <w:tcW w:w="1356"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pacing w:val="-1"/>
                            <w:sz w:val="18"/>
                          </w:rPr>
                          <w:t>2,350,046,780</w:t>
                        </w:r>
                      </w:p>
                    </w:tc>
                    <w:tc>
                      <w:tcPr>
                        <w:tcW w:w="1332"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1"/>
                            <w:sz w:val="18"/>
                          </w:rPr>
                          <w:t>1,606,717,287</w:t>
                        </w:r>
                      </w:p>
                    </w:tc>
                  </w:tr>
                  <w:tr>
                    <w:trPr>
                      <w:trHeight w:val="889" w:hRule="exact"/>
                    </w:trPr>
                    <w:tc>
                      <w:tcPr>
                        <w:tcW w:w="7734" w:type="dxa"/>
                        <w:gridSpan w:val="5"/>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5"/>
                          <w:ind w:right="0"/>
                          <w:jc w:val="left"/>
                          <w:rPr>
                            <w:rFonts w:ascii="宋体" w:hAnsi="宋体" w:cs="宋体" w:eastAsia="宋体" w:hint="default"/>
                            <w:sz w:val="16"/>
                            <w:szCs w:val="16"/>
                          </w:rPr>
                        </w:pPr>
                      </w:p>
                      <w:p>
                        <w:pPr>
                          <w:pStyle w:val="TableParagraph"/>
                          <w:tabs>
                            <w:tab w:pos="661" w:val="left" w:leader="none"/>
                          </w:tabs>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公司前五名客户的营业收入情况</w:t>
                        </w:r>
                      </w:p>
                    </w:tc>
                  </w:tr>
                </w:tbl>
                <w:p>
                  <w:pPr/>
                </w:p>
              </w:txbxContent>
            </v:textbox>
            <w10:wrap type="none"/>
          </v:shape>
        </w:pict>
      </w: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营业收入（分行业）</w:t>
      </w:r>
    </w:p>
    <w:p>
      <w:pPr>
        <w:spacing w:line="2461" w:lineRule="exact"/>
        <w:ind w:left="2407" w:right="0" w:firstLine="0"/>
        <w:rPr>
          <w:rFonts w:ascii="宋体" w:hAnsi="宋体" w:cs="宋体" w:eastAsia="宋体" w:hint="default"/>
          <w:sz w:val="20"/>
          <w:szCs w:val="20"/>
        </w:rPr>
      </w:pPr>
      <w:r>
        <w:rPr>
          <w:rFonts w:ascii="宋体" w:hAnsi="宋体" w:cs="宋体" w:eastAsia="宋体" w:hint="default"/>
          <w:position w:val="-48"/>
          <w:sz w:val="20"/>
          <w:szCs w:val="20"/>
        </w:rPr>
        <w:pict>
          <v:group style="width:386.35pt;height:123.1pt;mso-position-horizontal-relative:char;mso-position-vertical-relative:line" coordorigin="0,0" coordsize="7727,2462">
            <v:group style="position:absolute;left:10;top:10;width:2261;height:2" coordorigin="10,10" coordsize="2261,2">
              <v:shape style="position:absolute;left:10;top:10;width:2261;height:2" coordorigin="10,10" coordsize="2261,0" path="m10,10l2270,10e" filled="false" stroked="true" strokeweight=".95996pt" strokecolor="#000000">
                <v:path arrowok="t"/>
              </v:shape>
            </v:group>
            <v:group style="position:absolute;left:2270;top:10;width:2735;height:2" coordorigin="2270,10" coordsize="2735,2">
              <v:shape style="position:absolute;left:2270;top:10;width:2735;height:2" coordorigin="2270,10" coordsize="2735,0" path="m2270,10l5005,10e" filled="false" stroked="true" strokeweight=".95996pt" strokecolor="#000000">
                <v:path arrowok="t"/>
              </v:shape>
            </v:group>
            <v:group style="position:absolute;left:5005;top:10;width:2710;height:2" coordorigin="5005,10" coordsize="2710,2">
              <v:shape style="position:absolute;left:5005;top:10;width:2710;height:2" coordorigin="5005,10" coordsize="2710,0" path="m5005,10l7715,10e" filled="false" stroked="true" strokeweight=".95996pt" strokecolor="#000000">
                <v:path arrowok="t"/>
              </v:shape>
              <v:shape style="position:absolute;left:2;top:19;width:7724;height:2442" type="#_x0000_t75" stroked="false">
                <v:imagedata r:id="rId179" o:title=""/>
              </v:shape>
              <v:shape style="position:absolute;left:3192;top:21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本期发生额</w:t>
                      </w:r>
                    </w:p>
                  </w:txbxContent>
                </v:textbox>
                <w10:wrap type="none"/>
              </v:shape>
              <v:shape style="position:absolute;left:5916;top:21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上期发生额</w:t>
                      </w:r>
                    </w:p>
                  </w:txbxContent>
                </v:textbox>
                <w10:wrap type="none"/>
              </v:shape>
              <v:shape style="position:absolute;left:778;top:407;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 </w:t>
                      </w:r>
                    </w:p>
                  </w:txbxContent>
                </v:textbox>
                <w10:wrap type="none"/>
              </v:shape>
              <v:shape style="position:absolute;left:2600;top:6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3968;top:6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5300;top:6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6656;top:6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group>
          </v:group>
        </w:pict>
      </w:r>
      <w:r>
        <w:rPr>
          <w:rFonts w:ascii="宋体" w:hAnsi="宋体" w:cs="宋体" w:eastAsia="宋体" w:hint="default"/>
          <w:position w:val="-48"/>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9"/>
          <w:szCs w:val="29"/>
        </w:rPr>
      </w:pPr>
    </w:p>
    <w:tbl>
      <w:tblPr>
        <w:tblW w:w="0" w:type="auto"/>
        <w:jc w:val="left"/>
        <w:tblInd w:w="1750" w:type="dxa"/>
        <w:tblLayout w:type="fixed"/>
        <w:tblCellMar>
          <w:top w:w="0" w:type="dxa"/>
          <w:left w:w="0" w:type="dxa"/>
          <w:bottom w:w="0" w:type="dxa"/>
          <w:right w:w="0" w:type="dxa"/>
        </w:tblCellMar>
        <w:tblLook w:val="01E0"/>
      </w:tblPr>
      <w:tblGrid>
        <w:gridCol w:w="645"/>
        <w:gridCol w:w="1947"/>
        <w:gridCol w:w="965"/>
        <w:gridCol w:w="1770"/>
        <w:gridCol w:w="1827"/>
        <w:gridCol w:w="1239"/>
      </w:tblGrid>
      <w:tr>
        <w:trPr>
          <w:trHeight w:val="832" w:hRule="exact"/>
        </w:trPr>
        <w:tc>
          <w:tcPr>
            <w:tcW w:w="645" w:type="dxa"/>
            <w:vMerge w:val="restart"/>
            <w:tcBorders>
              <w:top w:val="nil" w:sz="6" w:space="0" w:color="auto"/>
              <w:left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21" w:right="0"/>
              <w:jc w:val="left"/>
              <w:rPr>
                <w:rFonts w:ascii="宋体" w:hAnsi="宋体" w:cs="宋体" w:eastAsia="宋体" w:hint="default"/>
                <w:sz w:val="21"/>
                <w:szCs w:val="21"/>
              </w:rPr>
            </w:pPr>
            <w:r>
              <w:rPr>
                <w:rFonts w:ascii="宋体" w:hAnsi="宋体" w:cs="宋体" w:eastAsia="宋体" w:hint="default"/>
                <w:sz w:val="21"/>
                <w:szCs w:val="21"/>
              </w:rPr>
              <w:t>客户排名</w:t>
            </w:r>
          </w:p>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965"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33" w:right="0"/>
              <w:jc w:val="left"/>
              <w:rPr>
                <w:rFonts w:ascii="宋体" w:hAnsi="宋体" w:cs="宋体" w:eastAsia="宋体" w:hint="default"/>
                <w:sz w:val="21"/>
                <w:szCs w:val="21"/>
              </w:rPr>
            </w:pPr>
            <w:r>
              <w:rPr>
                <w:rFonts w:ascii="宋体" w:hAnsi="宋体" w:cs="宋体" w:eastAsia="宋体" w:hint="default"/>
                <w:sz w:val="21"/>
                <w:szCs w:val="21"/>
              </w:rPr>
              <w:t>营业收入总额</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611" w:right="0"/>
              <w:jc w:val="left"/>
              <w:rPr>
                <w:rFonts w:ascii="Times New Roman" w:hAnsi="Times New Roman" w:cs="Times New Roman" w:eastAsia="Times New Roman" w:hint="default"/>
                <w:sz w:val="21"/>
                <w:szCs w:val="21"/>
              </w:rPr>
            </w:pPr>
            <w:r>
              <w:rPr>
                <w:rFonts w:ascii="Times New Roman"/>
                <w:sz w:val="21"/>
              </w:rPr>
              <w:t>219,573,280</w:t>
            </w:r>
          </w:p>
        </w:tc>
        <w:tc>
          <w:tcPr>
            <w:tcW w:w="306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5"/>
              <w:ind w:right="121"/>
              <w:jc w:val="right"/>
              <w:rPr>
                <w:rFonts w:ascii="Times New Roman" w:hAnsi="Times New Roman" w:cs="Times New Roman" w:eastAsia="Times New Roman" w:hint="default"/>
                <w:sz w:val="21"/>
                <w:szCs w:val="21"/>
              </w:rPr>
            </w:pPr>
            <w:r>
              <w:rPr>
                <w:rFonts w:ascii="宋体" w:hAnsi="宋体" w:cs="宋体" w:eastAsia="宋体" w:hint="default"/>
                <w:spacing w:val="-1"/>
                <w:sz w:val="21"/>
                <w:szCs w:val="21"/>
              </w:rPr>
              <w:t>占公司全部营业收入的比例</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r>
          </w:p>
          <w:p>
            <w:pPr>
              <w:pStyle w:val="TableParagraph"/>
              <w:spacing w:line="240" w:lineRule="auto" w:before="182"/>
              <w:ind w:right="121"/>
              <w:jc w:val="right"/>
              <w:rPr>
                <w:rFonts w:ascii="Times New Roman" w:hAnsi="Times New Roman" w:cs="Times New Roman" w:eastAsia="Times New Roman" w:hint="default"/>
                <w:sz w:val="21"/>
                <w:szCs w:val="21"/>
              </w:rPr>
            </w:pPr>
            <w:r>
              <w:rPr>
                <w:rFonts w:ascii="Times New Roman"/>
                <w:spacing w:val="-1"/>
                <w:sz w:val="21"/>
              </w:rPr>
              <w:t>8.06</w:t>
            </w:r>
            <w:r>
              <w:rPr>
                <w:rFonts w:ascii="Times New Roman"/>
                <w:sz w:val="21"/>
              </w:rPr>
            </w:r>
          </w:p>
        </w:tc>
      </w:tr>
      <w:tr>
        <w:trPr>
          <w:trHeight w:val="410" w:hRule="exact"/>
        </w:trPr>
        <w:tc>
          <w:tcPr>
            <w:tcW w:w="645" w:type="dxa"/>
            <w:vMerge/>
            <w:tcBorders>
              <w:left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965"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21"/>
                <w:szCs w:val="21"/>
              </w:rPr>
            </w:pPr>
            <w:r>
              <w:rPr>
                <w:rFonts w:ascii="Times New Roman"/>
                <w:spacing w:val="-1"/>
                <w:sz w:val="21"/>
              </w:rPr>
              <w:t>137,938,737</w:t>
            </w:r>
          </w:p>
        </w:tc>
        <w:tc>
          <w:tcPr>
            <w:tcW w:w="306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6"/>
              <w:ind w:right="121"/>
              <w:jc w:val="right"/>
              <w:rPr>
                <w:rFonts w:ascii="Times New Roman" w:hAnsi="Times New Roman" w:cs="Times New Roman" w:eastAsia="Times New Roman" w:hint="default"/>
                <w:sz w:val="21"/>
                <w:szCs w:val="21"/>
              </w:rPr>
            </w:pPr>
            <w:r>
              <w:rPr>
                <w:rFonts w:ascii="Times New Roman"/>
                <w:spacing w:val="-1"/>
                <w:sz w:val="21"/>
              </w:rPr>
              <w:t>5.07</w:t>
            </w:r>
            <w:r>
              <w:rPr>
                <w:rFonts w:ascii="Times New Roman"/>
                <w:sz w:val="21"/>
              </w:rPr>
            </w:r>
          </w:p>
        </w:tc>
      </w:tr>
      <w:tr>
        <w:trPr>
          <w:trHeight w:val="410" w:hRule="exact"/>
        </w:trPr>
        <w:tc>
          <w:tcPr>
            <w:tcW w:w="645" w:type="dxa"/>
            <w:vMerge/>
            <w:tcBorders>
              <w:left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965"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21"/>
                <w:szCs w:val="21"/>
              </w:rPr>
            </w:pPr>
            <w:r>
              <w:rPr>
                <w:rFonts w:ascii="Times New Roman"/>
                <w:spacing w:val="-2"/>
                <w:sz w:val="21"/>
              </w:rPr>
              <w:t>118,058,867</w:t>
            </w:r>
          </w:p>
        </w:tc>
        <w:tc>
          <w:tcPr>
            <w:tcW w:w="306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6"/>
              <w:ind w:right="121"/>
              <w:jc w:val="right"/>
              <w:rPr>
                <w:rFonts w:ascii="Times New Roman" w:hAnsi="Times New Roman" w:cs="Times New Roman" w:eastAsia="Times New Roman" w:hint="default"/>
                <w:sz w:val="21"/>
                <w:szCs w:val="21"/>
              </w:rPr>
            </w:pPr>
            <w:r>
              <w:rPr>
                <w:rFonts w:ascii="Times New Roman"/>
                <w:spacing w:val="-1"/>
                <w:sz w:val="21"/>
              </w:rPr>
              <w:t>4.34</w:t>
            </w:r>
          </w:p>
        </w:tc>
      </w:tr>
      <w:tr>
        <w:trPr>
          <w:trHeight w:val="410" w:hRule="exact"/>
        </w:trPr>
        <w:tc>
          <w:tcPr>
            <w:tcW w:w="645" w:type="dxa"/>
            <w:vMerge/>
            <w:tcBorders>
              <w:left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965"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7"/>
              <w:jc w:val="right"/>
              <w:rPr>
                <w:rFonts w:ascii="Times New Roman" w:hAnsi="Times New Roman" w:cs="Times New Roman" w:eastAsia="Times New Roman" w:hint="default"/>
                <w:sz w:val="21"/>
                <w:szCs w:val="21"/>
              </w:rPr>
            </w:pPr>
            <w:r>
              <w:rPr>
                <w:rFonts w:ascii="Times New Roman"/>
                <w:spacing w:val="-2"/>
                <w:sz w:val="21"/>
              </w:rPr>
              <w:t>113,479,143</w:t>
            </w:r>
          </w:p>
        </w:tc>
        <w:tc>
          <w:tcPr>
            <w:tcW w:w="306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5"/>
              <w:ind w:right="121"/>
              <w:jc w:val="right"/>
              <w:rPr>
                <w:rFonts w:ascii="Times New Roman" w:hAnsi="Times New Roman" w:cs="Times New Roman" w:eastAsia="Times New Roman" w:hint="default"/>
                <w:sz w:val="21"/>
                <w:szCs w:val="21"/>
              </w:rPr>
            </w:pPr>
            <w:r>
              <w:rPr>
                <w:rFonts w:ascii="Times New Roman"/>
                <w:spacing w:val="-1"/>
                <w:sz w:val="21"/>
              </w:rPr>
              <w:t>4.17</w:t>
            </w:r>
          </w:p>
        </w:tc>
      </w:tr>
      <w:tr>
        <w:trPr>
          <w:trHeight w:val="410" w:hRule="exact"/>
        </w:trPr>
        <w:tc>
          <w:tcPr>
            <w:tcW w:w="645" w:type="dxa"/>
            <w:vMerge/>
            <w:tcBorders>
              <w:left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965"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21"/>
                <w:szCs w:val="21"/>
              </w:rPr>
            </w:pPr>
            <w:r>
              <w:rPr>
                <w:rFonts w:ascii="Times New Roman"/>
                <w:spacing w:val="-1"/>
                <w:sz w:val="21"/>
              </w:rPr>
              <w:t>100,352,575</w:t>
            </w:r>
          </w:p>
        </w:tc>
        <w:tc>
          <w:tcPr>
            <w:tcW w:w="306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6"/>
              <w:ind w:right="121"/>
              <w:jc w:val="right"/>
              <w:rPr>
                <w:rFonts w:ascii="Times New Roman" w:hAnsi="Times New Roman" w:cs="Times New Roman" w:eastAsia="Times New Roman" w:hint="default"/>
                <w:sz w:val="21"/>
                <w:szCs w:val="21"/>
              </w:rPr>
            </w:pPr>
            <w:r>
              <w:rPr>
                <w:rFonts w:ascii="Times New Roman"/>
                <w:spacing w:val="-1"/>
                <w:sz w:val="21"/>
              </w:rPr>
              <w:t>3.69</w:t>
            </w:r>
            <w:r>
              <w:rPr>
                <w:rFonts w:ascii="Times New Roman"/>
                <w:sz w:val="21"/>
              </w:rPr>
            </w:r>
          </w:p>
        </w:tc>
      </w:tr>
      <w:tr>
        <w:trPr>
          <w:trHeight w:val="340" w:hRule="exact"/>
        </w:trPr>
        <w:tc>
          <w:tcPr>
            <w:tcW w:w="645" w:type="dxa"/>
            <w:vMerge/>
            <w:tcBorders>
              <w:left w:val="nil" w:sz="6" w:space="0" w:color="auto"/>
              <w:bottom w:val="nil" w:sz="6" w:space="0" w:color="auto"/>
              <w:right w:val="nil" w:sz="6" w:space="0" w:color="auto"/>
            </w:tcBorders>
          </w:tcPr>
          <w:p>
            <w:pPr/>
          </w:p>
        </w:tc>
        <w:tc>
          <w:tcPr>
            <w:tcW w:w="1947" w:type="dxa"/>
            <w:tcBorders>
              <w:top w:val="nil" w:sz="6" w:space="0" w:color="auto"/>
              <w:left w:val="nil" w:sz="6" w:space="0" w:color="auto"/>
              <w:bottom w:val="single" w:sz="8" w:space="0" w:color="000000"/>
              <w:right w:val="nil" w:sz="6" w:space="0" w:color="auto"/>
            </w:tcBorders>
          </w:tcPr>
          <w:p>
            <w:pPr>
              <w:pStyle w:val="TableParagraph"/>
              <w:spacing w:line="240" w:lineRule="auto" w:before="22"/>
              <w:ind w:left="1026" w:right="0"/>
              <w:jc w:val="left"/>
              <w:rPr>
                <w:rFonts w:ascii="宋体" w:hAnsi="宋体" w:cs="宋体" w:eastAsia="宋体" w:hint="default"/>
                <w:sz w:val="21"/>
                <w:szCs w:val="21"/>
              </w:rPr>
            </w:pPr>
            <w:r>
              <w:rPr>
                <w:rFonts w:ascii="宋体" w:hAnsi="宋体" w:cs="宋体" w:eastAsia="宋体" w:hint="default"/>
                <w:sz w:val="21"/>
                <w:szCs w:val="21"/>
              </w:rPr>
              <w:t>合  计</w:t>
            </w:r>
          </w:p>
        </w:tc>
        <w:tc>
          <w:tcPr>
            <w:tcW w:w="965" w:type="dxa"/>
            <w:tcBorders>
              <w:top w:val="nil" w:sz="6" w:space="0" w:color="auto"/>
              <w:left w:val="nil" w:sz="6" w:space="0" w:color="auto"/>
              <w:bottom w:val="single" w:sz="8" w:space="0" w:color="000000"/>
              <w:right w:val="nil" w:sz="6" w:space="0" w:color="auto"/>
            </w:tcBorders>
          </w:tcPr>
          <w:p>
            <w:pPr/>
          </w:p>
        </w:tc>
        <w:tc>
          <w:tcPr>
            <w:tcW w:w="1770" w:type="dxa"/>
            <w:tcBorders>
              <w:top w:val="nil" w:sz="6" w:space="0" w:color="auto"/>
              <w:left w:val="nil" w:sz="6" w:space="0" w:color="auto"/>
              <w:bottom w:val="single" w:sz="8"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21"/>
                <w:szCs w:val="21"/>
              </w:rPr>
            </w:pPr>
            <w:r>
              <w:rPr>
                <w:rFonts w:ascii="Times New Roman"/>
                <w:spacing w:val="-1"/>
                <w:sz w:val="21"/>
              </w:rPr>
              <w:t>689,402,602</w:t>
            </w:r>
          </w:p>
        </w:tc>
        <w:tc>
          <w:tcPr>
            <w:tcW w:w="3066" w:type="dxa"/>
            <w:gridSpan w:val="2"/>
            <w:tcBorders>
              <w:top w:val="nil" w:sz="6" w:space="0" w:color="auto"/>
              <w:left w:val="nil" w:sz="6" w:space="0" w:color="auto"/>
              <w:bottom w:val="single" w:sz="8" w:space="0" w:color="000000"/>
              <w:right w:val="nil" w:sz="6" w:space="0" w:color="auto"/>
            </w:tcBorders>
          </w:tcPr>
          <w:p>
            <w:pPr>
              <w:pStyle w:val="TableParagraph"/>
              <w:spacing w:line="240" w:lineRule="auto" w:before="86"/>
              <w:ind w:right="120"/>
              <w:jc w:val="right"/>
              <w:rPr>
                <w:rFonts w:ascii="Times New Roman" w:hAnsi="Times New Roman" w:cs="Times New Roman" w:eastAsia="Times New Roman" w:hint="default"/>
                <w:sz w:val="21"/>
                <w:szCs w:val="21"/>
              </w:rPr>
            </w:pPr>
            <w:r>
              <w:rPr>
                <w:rFonts w:ascii="Times New Roman"/>
                <w:spacing w:val="-1"/>
                <w:sz w:val="21"/>
              </w:rPr>
              <w:t>25.33</w:t>
            </w:r>
          </w:p>
        </w:tc>
      </w:tr>
      <w:tr>
        <w:trPr>
          <w:trHeight w:val="1078" w:hRule="exact"/>
        </w:trPr>
        <w:tc>
          <w:tcPr>
            <w:tcW w:w="6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947" w:type="dxa"/>
            <w:tcBorders>
              <w:top w:val="single" w:sz="8"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18"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965" w:type="dxa"/>
            <w:tcBorders>
              <w:top w:val="single" w:sz="8" w:space="0" w:color="000000"/>
              <w:left w:val="nil" w:sz="6" w:space="0" w:color="auto"/>
              <w:bottom w:val="nil" w:sz="6" w:space="0" w:color="auto"/>
              <w:right w:val="nil" w:sz="6" w:space="0" w:color="auto"/>
            </w:tcBorders>
          </w:tcPr>
          <w:p>
            <w:pPr/>
          </w:p>
        </w:tc>
        <w:tc>
          <w:tcPr>
            <w:tcW w:w="1770" w:type="dxa"/>
            <w:tcBorders>
              <w:top w:val="single" w:sz="8" w:space="0" w:color="000000"/>
              <w:left w:val="nil" w:sz="6" w:space="0" w:color="auto"/>
              <w:bottom w:val="nil" w:sz="6" w:space="0" w:color="auto"/>
              <w:right w:val="nil" w:sz="6" w:space="0" w:color="auto"/>
            </w:tcBorders>
          </w:tcPr>
          <w:p>
            <w:pPr/>
          </w:p>
        </w:tc>
        <w:tc>
          <w:tcPr>
            <w:tcW w:w="3066" w:type="dxa"/>
            <w:gridSpan w:val="2"/>
            <w:tcBorders>
              <w:top w:val="single" w:sz="8" w:space="0" w:color="000000"/>
              <w:left w:val="nil" w:sz="6" w:space="0" w:color="auto"/>
              <w:bottom w:val="nil" w:sz="6" w:space="0" w:color="auto"/>
              <w:right w:val="nil" w:sz="6" w:space="0" w:color="auto"/>
            </w:tcBorders>
          </w:tcPr>
          <w:p>
            <w:pPr/>
          </w:p>
        </w:tc>
      </w:tr>
      <w:tr>
        <w:trPr>
          <w:trHeight w:val="541" w:hRule="exact"/>
        </w:trPr>
        <w:tc>
          <w:tcPr>
            <w:tcW w:w="645"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single" w:sz="8" w:space="0" w:color="000000"/>
              <w:right w:val="nil" w:sz="6" w:space="0" w:color="auto"/>
            </w:tcBorders>
          </w:tcPr>
          <w:p>
            <w:pPr>
              <w:pStyle w:val="TableParagraph"/>
              <w:spacing w:line="240" w:lineRule="auto" w:before="2"/>
              <w:ind w:right="0"/>
              <w:jc w:val="left"/>
              <w:rPr>
                <w:rFonts w:ascii="宋体" w:hAnsi="宋体" w:cs="宋体" w:eastAsia="宋体" w:hint="default"/>
                <w:sz w:val="17"/>
                <w:szCs w:val="17"/>
              </w:rPr>
            </w:pPr>
          </w:p>
          <w:p>
            <w:pPr>
              <w:pStyle w:val="TableParagraph"/>
              <w:tabs>
                <w:tab w:pos="661" w:val="left" w:leader="none"/>
              </w:tabs>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sz w:val="21"/>
                <w:szCs w:val="21"/>
              </w:rPr>
              <w:t>、</w:t>
              <w:tab/>
              <w:t>投资收益明细</w:t>
            </w:r>
          </w:p>
        </w:tc>
        <w:tc>
          <w:tcPr>
            <w:tcW w:w="965" w:type="dxa"/>
            <w:tcBorders>
              <w:top w:val="nil" w:sz="6" w:space="0" w:color="auto"/>
              <w:left w:val="nil" w:sz="6" w:space="0" w:color="auto"/>
              <w:bottom w:val="single" w:sz="8" w:space="0" w:color="000000"/>
              <w:right w:val="nil" w:sz="6" w:space="0" w:color="auto"/>
            </w:tcBorders>
          </w:tcPr>
          <w:p>
            <w:pPr/>
          </w:p>
        </w:tc>
        <w:tc>
          <w:tcPr>
            <w:tcW w:w="1770" w:type="dxa"/>
            <w:tcBorders>
              <w:top w:val="nil" w:sz="6" w:space="0" w:color="auto"/>
              <w:left w:val="nil" w:sz="6" w:space="0" w:color="auto"/>
              <w:bottom w:val="single" w:sz="8" w:space="0" w:color="000000"/>
              <w:right w:val="nil" w:sz="6" w:space="0" w:color="auto"/>
            </w:tcBorders>
          </w:tcPr>
          <w:p>
            <w:pPr/>
          </w:p>
        </w:tc>
        <w:tc>
          <w:tcPr>
            <w:tcW w:w="3066" w:type="dxa"/>
            <w:gridSpan w:val="2"/>
            <w:tcBorders>
              <w:top w:val="nil" w:sz="6" w:space="0" w:color="auto"/>
              <w:left w:val="nil" w:sz="6" w:space="0" w:color="auto"/>
              <w:bottom w:val="single" w:sz="8" w:space="0" w:color="000000"/>
              <w:right w:val="nil" w:sz="6" w:space="0" w:color="auto"/>
            </w:tcBorders>
          </w:tcPr>
          <w:p>
            <w:pPr/>
          </w:p>
        </w:tc>
      </w:tr>
      <w:tr>
        <w:trPr>
          <w:trHeight w:val="498" w:hRule="exact"/>
        </w:trPr>
        <w:tc>
          <w:tcPr>
            <w:tcW w:w="645" w:type="dxa"/>
            <w:tcBorders>
              <w:top w:val="nil" w:sz="6" w:space="0" w:color="auto"/>
              <w:left w:val="nil" w:sz="6" w:space="0" w:color="auto"/>
              <w:bottom w:val="nil" w:sz="6" w:space="0" w:color="auto"/>
              <w:right w:val="nil" w:sz="6" w:space="0" w:color="auto"/>
            </w:tcBorders>
          </w:tcPr>
          <w:p>
            <w:pPr/>
          </w:p>
        </w:tc>
        <w:tc>
          <w:tcPr>
            <w:tcW w:w="1947" w:type="dxa"/>
            <w:tcBorders>
              <w:top w:val="single" w:sz="8" w:space="0" w:color="000000"/>
              <w:left w:val="nil" w:sz="6" w:space="0" w:color="auto"/>
              <w:bottom w:val="nil" w:sz="6" w:space="0" w:color="auto"/>
              <w:right w:val="nil" w:sz="6" w:space="0" w:color="auto"/>
            </w:tcBorders>
          </w:tcPr>
          <w:p>
            <w:pPr/>
          </w:p>
        </w:tc>
        <w:tc>
          <w:tcPr>
            <w:tcW w:w="965"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left="22" w:right="0"/>
              <w:jc w:val="left"/>
              <w:rPr>
                <w:rFonts w:ascii="宋体" w:hAnsi="宋体" w:cs="宋体" w:eastAsia="宋体" w:hint="default"/>
                <w:sz w:val="18"/>
                <w:szCs w:val="18"/>
              </w:rPr>
            </w:pPr>
            <w:r>
              <w:rPr>
                <w:rFonts w:ascii="宋体" w:hAnsi="宋体" w:cs="宋体" w:eastAsia="宋体" w:hint="default"/>
                <w:sz w:val="18"/>
                <w:szCs w:val="18"/>
              </w:rPr>
              <w:t>项    目 </w:t>
            </w:r>
          </w:p>
        </w:tc>
        <w:tc>
          <w:tcPr>
            <w:tcW w:w="1770" w:type="dxa"/>
            <w:tcBorders>
              <w:top w:val="single" w:sz="8" w:space="0" w:color="000000"/>
              <w:left w:val="nil" w:sz="6" w:space="0" w:color="auto"/>
              <w:bottom w:val="nil" w:sz="6" w:space="0" w:color="auto"/>
              <w:right w:val="nil" w:sz="6" w:space="0" w:color="auto"/>
            </w:tcBorders>
          </w:tcPr>
          <w:p>
            <w:pPr/>
          </w:p>
        </w:tc>
        <w:tc>
          <w:tcPr>
            <w:tcW w:w="3066" w:type="dxa"/>
            <w:gridSpan w:val="2"/>
            <w:tcBorders>
              <w:top w:val="single" w:sz="8" w:space="0" w:color="000000"/>
              <w:left w:val="nil" w:sz="6" w:space="0" w:color="auto"/>
              <w:bottom w:val="nil" w:sz="6" w:space="0" w:color="auto"/>
              <w:right w:val="nil" w:sz="6" w:space="0" w:color="auto"/>
            </w:tcBorders>
          </w:tcPr>
          <w:p>
            <w:pPr>
              <w:pStyle w:val="TableParagraph"/>
              <w:tabs>
                <w:tab w:pos="1845" w:val="left" w:leader="none"/>
              </w:tabs>
              <w:spacing w:line="240" w:lineRule="auto" w:before="137"/>
              <w:ind w:left="293" w:right="0"/>
              <w:jc w:val="left"/>
              <w:rPr>
                <w:rFonts w:ascii="宋体" w:hAnsi="宋体" w:cs="宋体" w:eastAsia="宋体" w:hint="default"/>
                <w:sz w:val="18"/>
                <w:szCs w:val="18"/>
              </w:rPr>
            </w:pPr>
            <w:r>
              <w:rPr>
                <w:rFonts w:ascii="宋体" w:hAnsi="宋体" w:cs="宋体" w:eastAsia="宋体" w:hint="default"/>
                <w:sz w:val="18"/>
                <w:szCs w:val="18"/>
              </w:rPr>
              <w:t>本期发生额</w:t>
              <w:tab/>
              <w:t>上期发生额</w:t>
            </w:r>
          </w:p>
        </w:tc>
      </w:tr>
      <w:tr>
        <w:trPr>
          <w:trHeight w:val="420" w:hRule="exact"/>
        </w:trPr>
        <w:tc>
          <w:tcPr>
            <w:tcW w:w="5327"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59"/>
              <w:ind w:left="766"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406"/>
              <w:jc w:val="right"/>
              <w:rPr>
                <w:rFonts w:ascii="Times New Roman" w:hAnsi="Times New Roman" w:cs="Times New Roman" w:eastAsia="Times New Roman" w:hint="default"/>
                <w:sz w:val="18"/>
                <w:szCs w:val="18"/>
              </w:rPr>
            </w:pPr>
            <w:r>
              <w:rPr>
                <w:rFonts w:ascii="Times New Roman"/>
                <w:sz w:val="18"/>
              </w:rPr>
              <w:t>23,007,303</w:t>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7"/>
              <w:jc w:val="right"/>
              <w:rPr>
                <w:rFonts w:ascii="Times New Roman" w:hAnsi="Times New Roman" w:cs="Times New Roman" w:eastAsia="Times New Roman" w:hint="default"/>
                <w:sz w:val="18"/>
                <w:szCs w:val="18"/>
              </w:rPr>
            </w:pPr>
            <w:r>
              <w:rPr>
                <w:rFonts w:ascii="Times New Roman"/>
                <w:sz w:val="18"/>
              </w:rPr>
              <w:t>1,318,080</w:t>
            </w:r>
          </w:p>
        </w:tc>
      </w:tr>
      <w:tr>
        <w:trPr>
          <w:trHeight w:val="410" w:hRule="exact"/>
        </w:trPr>
        <w:tc>
          <w:tcPr>
            <w:tcW w:w="5327"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50"/>
              <w:ind w:left="766"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06"/>
              <w:jc w:val="right"/>
              <w:rPr>
                <w:rFonts w:ascii="Times New Roman" w:hAnsi="Times New Roman" w:cs="Times New Roman" w:eastAsia="Times New Roman" w:hint="default"/>
                <w:sz w:val="18"/>
                <w:szCs w:val="18"/>
              </w:rPr>
            </w:pPr>
            <w:r>
              <w:rPr>
                <w:rFonts w:ascii="Times New Roman"/>
                <w:w w:val="95"/>
                <w:sz w:val="18"/>
              </w:rPr>
              <w:t>-434,299</w:t>
            </w:r>
            <w:r>
              <w:rPr>
                <w:rFonts w:ascii="Times New Roman"/>
                <w:sz w:val="18"/>
              </w:rPr>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3,981,763</w:t>
            </w:r>
          </w:p>
        </w:tc>
      </w:tr>
      <w:tr>
        <w:trPr>
          <w:trHeight w:val="410" w:hRule="exact"/>
        </w:trPr>
        <w:tc>
          <w:tcPr>
            <w:tcW w:w="5327"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50"/>
              <w:ind w:left="766"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06"/>
              <w:jc w:val="right"/>
              <w:rPr>
                <w:rFonts w:ascii="Times New Roman" w:hAnsi="Times New Roman" w:cs="Times New Roman" w:eastAsia="Times New Roman" w:hint="default"/>
                <w:sz w:val="18"/>
                <w:szCs w:val="18"/>
              </w:rPr>
            </w:pPr>
            <w:r>
              <w:rPr>
                <w:rFonts w:ascii="Times New Roman"/>
                <w:w w:val="95"/>
                <w:sz w:val="18"/>
              </w:rPr>
              <w:t>-7,280,146</w:t>
            </w:r>
            <w:r>
              <w:rPr>
                <w:rFonts w:ascii="Times New Roman"/>
                <w:sz w:val="18"/>
              </w:rPr>
            </w:r>
          </w:p>
        </w:tc>
        <w:tc>
          <w:tcPr>
            <w:tcW w:w="123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4,604</w:t>
            </w:r>
          </w:p>
        </w:tc>
      </w:tr>
      <w:tr>
        <w:trPr>
          <w:trHeight w:val="400" w:hRule="exact"/>
        </w:trPr>
        <w:tc>
          <w:tcPr>
            <w:tcW w:w="5327"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49"/>
              <w:ind w:left="766" w:right="0"/>
              <w:jc w:val="left"/>
              <w:rPr>
                <w:rFonts w:ascii="宋体" w:hAnsi="宋体" w:cs="宋体" w:eastAsia="宋体" w:hint="default"/>
                <w:sz w:val="18"/>
                <w:szCs w:val="18"/>
              </w:rPr>
            </w:pPr>
            <w:r>
              <w:rPr>
                <w:rFonts w:ascii="宋体" w:hAnsi="宋体" w:cs="宋体" w:eastAsia="宋体" w:hint="default"/>
                <w:sz w:val="18"/>
                <w:szCs w:val="18"/>
              </w:rPr>
              <w:t>持有交易性金融资产期间取得的投资收益</w:t>
            </w:r>
          </w:p>
        </w:tc>
        <w:tc>
          <w:tcPr>
            <w:tcW w:w="1827" w:type="dxa"/>
            <w:tcBorders>
              <w:top w:val="nil" w:sz="6" w:space="0" w:color="auto"/>
              <w:left w:val="nil" w:sz="6" w:space="0" w:color="auto"/>
              <w:bottom w:val="nil" w:sz="6" w:space="0" w:color="auto"/>
              <w:right w:val="nil" w:sz="6" w:space="0" w:color="auto"/>
            </w:tcBorders>
          </w:tcPr>
          <w:p>
            <w:pPr/>
          </w:p>
        </w:tc>
        <w:tc>
          <w:tcPr>
            <w:tcW w:w="1239" w:type="dxa"/>
            <w:tcBorders>
              <w:top w:val="nil" w:sz="6" w:space="0" w:color="auto"/>
              <w:left w:val="nil" w:sz="6" w:space="0" w:color="auto"/>
              <w:bottom w:val="nil" w:sz="6" w:space="0" w:color="auto"/>
              <w:right w:val="nil" w:sz="6" w:space="0" w:color="auto"/>
            </w:tcBorders>
          </w:tcPr>
          <w:p>
            <w:pPr/>
          </w:p>
        </w:tc>
      </w:tr>
      <w:tr>
        <w:trPr>
          <w:trHeight w:val="333" w:hRule="exact"/>
        </w:trPr>
        <w:tc>
          <w:tcPr>
            <w:tcW w:w="5327"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59"/>
              <w:ind w:left="766" w:right="0"/>
              <w:jc w:val="left"/>
              <w:rPr>
                <w:rFonts w:ascii="宋体" w:hAnsi="宋体" w:cs="宋体" w:eastAsia="宋体" w:hint="default"/>
                <w:sz w:val="18"/>
                <w:szCs w:val="18"/>
              </w:rPr>
            </w:pPr>
            <w:r>
              <w:rPr>
                <w:rFonts w:ascii="宋体" w:hAnsi="宋体" w:cs="宋体" w:eastAsia="宋体" w:hint="default"/>
                <w:sz w:val="18"/>
                <w:szCs w:val="18"/>
              </w:rPr>
              <w:t>持有可供出售金融资产等期间取得的投资收益</w:t>
            </w:r>
          </w:p>
        </w:tc>
        <w:tc>
          <w:tcPr>
            <w:tcW w:w="1827"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right="406"/>
              <w:jc w:val="right"/>
              <w:rPr>
                <w:rFonts w:ascii="Times New Roman" w:hAnsi="Times New Roman" w:cs="Times New Roman" w:eastAsia="Times New Roman" w:hint="default"/>
                <w:sz w:val="18"/>
                <w:szCs w:val="18"/>
              </w:rPr>
            </w:pPr>
            <w:r>
              <w:rPr>
                <w:rFonts w:ascii="Times New Roman"/>
                <w:sz w:val="18"/>
              </w:rPr>
              <w:t>428,308</w:t>
            </w:r>
          </w:p>
        </w:tc>
        <w:tc>
          <w:tcPr>
            <w:tcW w:w="1239"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right="107"/>
              <w:jc w:val="right"/>
              <w:rPr>
                <w:rFonts w:ascii="Times New Roman" w:hAnsi="Times New Roman" w:cs="Times New Roman" w:eastAsia="Times New Roman" w:hint="default"/>
                <w:sz w:val="18"/>
                <w:szCs w:val="18"/>
              </w:rPr>
            </w:pPr>
            <w:r>
              <w:rPr>
                <w:rFonts w:ascii="Times New Roman"/>
                <w:sz w:val="18"/>
              </w:rPr>
              <w:t>1,070,770</w:t>
            </w:r>
          </w:p>
        </w:tc>
      </w:tr>
    </w:tbl>
    <w:p>
      <w:pPr>
        <w:spacing w:after="0" w:line="240" w:lineRule="auto"/>
        <w:jc w:val="right"/>
        <w:rPr>
          <w:rFonts w:ascii="Times New Roman" w:hAnsi="Times New Roman" w:cs="Times New Roman" w:eastAsia="Times New Roman" w:hint="default"/>
          <w:sz w:val="18"/>
          <w:szCs w:val="18"/>
        </w:rPr>
        <w:sectPr>
          <w:headerReference w:type="default" r:id="rId174"/>
          <w:footerReference w:type="default" r:id="rId175"/>
          <w:pgSz w:w="11900" w:h="16840"/>
          <w:pgMar w:header="883" w:footer="1003" w:top="1540" w:bottom="1200" w:left="0" w:right="1640"/>
          <w:pgNumType w:start="79"/>
        </w:sectPr>
      </w:pPr>
    </w:p>
    <w:p>
      <w:pPr>
        <w:spacing w:line="240" w:lineRule="auto" w:before="12"/>
        <w:rPr>
          <w:rFonts w:ascii="宋体" w:hAnsi="宋体" w:cs="宋体" w:eastAsia="宋体" w:hint="default"/>
          <w:sz w:val="12"/>
          <w:szCs w:val="12"/>
        </w:rPr>
      </w:pPr>
      <w:r>
        <w:rPr/>
        <w:pict>
          <v:shape style="position:absolute;margin-left:120.480003pt;margin-top:512.519653pt;width:386.459943pt;height:245.1pt;mso-position-horizontal-relative:page;mso-position-vertical-relative:page;z-index:-974272" type="#_x0000_t75" stroked="false">
            <v:imagedata r:id="rId180" o:title=""/>
          </v:shape>
        </w:pict>
      </w:r>
    </w:p>
    <w:tbl>
      <w:tblPr>
        <w:tblW w:w="0" w:type="auto"/>
        <w:jc w:val="left"/>
        <w:tblInd w:w="755" w:type="dxa"/>
        <w:tblLayout w:type="fixed"/>
        <w:tblCellMar>
          <w:top w:w="0" w:type="dxa"/>
          <w:left w:w="0" w:type="dxa"/>
          <w:bottom w:w="0" w:type="dxa"/>
          <w:right w:w="0" w:type="dxa"/>
        </w:tblCellMar>
        <w:tblLook w:val="01E0"/>
      </w:tblPr>
      <w:tblGrid>
        <w:gridCol w:w="4169"/>
        <w:gridCol w:w="2145"/>
        <w:gridCol w:w="1434"/>
      </w:tblGrid>
      <w:tr>
        <w:trPr>
          <w:trHeight w:val="1225" w:hRule="exact"/>
        </w:trPr>
        <w:tc>
          <w:tcPr>
            <w:tcW w:w="4169"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805" w:firstLine="1846"/>
              <w:jc w:val="left"/>
              <w:rPr>
                <w:rFonts w:ascii="宋体" w:hAnsi="宋体" w:cs="宋体" w:eastAsia="宋体" w:hint="default"/>
                <w:sz w:val="18"/>
                <w:szCs w:val="18"/>
              </w:rPr>
            </w:pPr>
            <w:r>
              <w:rPr>
                <w:rFonts w:ascii="宋体" w:hAnsi="宋体" w:cs="宋体" w:eastAsia="宋体" w:hint="default"/>
                <w:sz w:val="18"/>
                <w:szCs w:val="18"/>
              </w:rPr>
              <w:t>项 目 处置交易性金融资产取得的投资收益 处置可供出售金融资产等取得的投资收益</w:t>
            </w:r>
          </w:p>
        </w:tc>
        <w:tc>
          <w:tcPr>
            <w:tcW w:w="214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07" w:right="0"/>
              <w:jc w:val="left"/>
              <w:rPr>
                <w:rFonts w:ascii="宋体" w:hAnsi="宋体" w:cs="宋体" w:eastAsia="宋体" w:hint="default"/>
                <w:sz w:val="18"/>
                <w:szCs w:val="18"/>
              </w:rPr>
            </w:pPr>
            <w:r>
              <w:rPr>
                <w:rFonts w:ascii="宋体" w:hAnsi="宋体" w:cs="宋体" w:eastAsia="宋体" w:hint="default"/>
                <w:sz w:val="18"/>
                <w:szCs w:val="18"/>
              </w:rPr>
              <w:t>本期发生额</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120" w:right="0"/>
              <w:jc w:val="left"/>
              <w:rPr>
                <w:rFonts w:ascii="Times New Roman" w:hAnsi="Times New Roman" w:cs="Times New Roman" w:eastAsia="Times New Roman" w:hint="default"/>
                <w:sz w:val="18"/>
                <w:szCs w:val="18"/>
              </w:rPr>
            </w:pPr>
            <w:r>
              <w:rPr>
                <w:rFonts w:ascii="Times New Roman"/>
                <w:sz w:val="18"/>
              </w:rPr>
              <w:t>74,373,988</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3" w:right="0"/>
              <w:jc w:val="left"/>
              <w:rPr>
                <w:rFonts w:ascii="宋体" w:hAnsi="宋体" w:cs="宋体" w:eastAsia="宋体" w:hint="default"/>
                <w:sz w:val="18"/>
                <w:szCs w:val="18"/>
              </w:rPr>
            </w:pPr>
            <w:r>
              <w:rPr>
                <w:rFonts w:ascii="宋体" w:hAnsi="宋体" w:cs="宋体" w:eastAsia="宋体" w:hint="default"/>
                <w:sz w:val="18"/>
                <w:szCs w:val="18"/>
              </w:rPr>
              <w:t>上期发生额</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739" w:right="0"/>
              <w:jc w:val="left"/>
              <w:rPr>
                <w:rFonts w:ascii="Times New Roman" w:hAnsi="Times New Roman" w:cs="Times New Roman" w:eastAsia="Times New Roman" w:hint="default"/>
                <w:sz w:val="18"/>
                <w:szCs w:val="18"/>
              </w:rPr>
            </w:pPr>
            <w:r>
              <w:rPr>
                <w:rFonts w:ascii="Times New Roman"/>
                <w:sz w:val="18"/>
              </w:rPr>
              <w:t>108,020</w:t>
            </w:r>
          </w:p>
        </w:tc>
      </w:tr>
      <w:tr>
        <w:trPr>
          <w:trHeight w:val="400" w:hRule="exact"/>
        </w:trPr>
        <w:tc>
          <w:tcPr>
            <w:tcW w:w="416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其    他 </w:t>
            </w:r>
          </w:p>
        </w:tc>
        <w:tc>
          <w:tcPr>
            <w:tcW w:w="2145" w:type="dxa"/>
            <w:tcBorders>
              <w:top w:val="nil" w:sz="6" w:space="0" w:color="auto"/>
              <w:left w:val="nil" w:sz="6" w:space="0" w:color="auto"/>
              <w:bottom w:val="nil" w:sz="6" w:space="0" w:color="auto"/>
              <w:right w:val="nil" w:sz="6" w:space="0" w:color="auto"/>
            </w:tcBorders>
          </w:tcPr>
          <w:p>
            <w:pPr/>
          </w:p>
        </w:tc>
        <w:tc>
          <w:tcPr>
            <w:tcW w:w="1434" w:type="dxa"/>
            <w:tcBorders>
              <w:top w:val="nil" w:sz="6" w:space="0" w:color="auto"/>
              <w:left w:val="nil" w:sz="6" w:space="0" w:color="auto"/>
              <w:bottom w:val="nil" w:sz="6" w:space="0" w:color="auto"/>
              <w:right w:val="nil" w:sz="6" w:space="0" w:color="auto"/>
            </w:tcBorders>
          </w:tcPr>
          <w:p>
            <w:pPr/>
          </w:p>
        </w:tc>
      </w:tr>
      <w:tr>
        <w:trPr>
          <w:trHeight w:val="334" w:hRule="exact"/>
        </w:trPr>
        <w:tc>
          <w:tcPr>
            <w:tcW w:w="4169" w:type="dxa"/>
            <w:tcBorders>
              <w:top w:val="nil" w:sz="6" w:space="0" w:color="auto"/>
              <w:left w:val="nil" w:sz="6" w:space="0" w:color="auto"/>
              <w:bottom w:val="single" w:sz="8" w:space="0" w:color="000000"/>
              <w:right w:val="nil" w:sz="6" w:space="0" w:color="auto"/>
            </w:tcBorders>
          </w:tcPr>
          <w:p>
            <w:pPr>
              <w:pStyle w:val="TableParagraph"/>
              <w:spacing w:line="240" w:lineRule="auto" w:before="59"/>
              <w:ind w:left="578" w:right="0"/>
              <w:jc w:val="center"/>
              <w:rPr>
                <w:rFonts w:ascii="宋体" w:hAnsi="宋体" w:cs="宋体" w:eastAsia="宋体" w:hint="default"/>
                <w:sz w:val="18"/>
                <w:szCs w:val="18"/>
              </w:rPr>
            </w:pPr>
            <w:r>
              <w:rPr>
                <w:rFonts w:ascii="宋体" w:hAnsi="宋体" w:cs="宋体" w:eastAsia="宋体" w:hint="default"/>
                <w:sz w:val="18"/>
                <w:szCs w:val="18"/>
              </w:rPr>
              <w:t>合    计 </w:t>
            </w:r>
          </w:p>
        </w:tc>
        <w:tc>
          <w:tcPr>
            <w:tcW w:w="2145"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left="1120" w:right="0"/>
              <w:jc w:val="left"/>
              <w:rPr>
                <w:rFonts w:ascii="Times New Roman" w:hAnsi="Times New Roman" w:cs="Times New Roman" w:eastAsia="Times New Roman" w:hint="default"/>
                <w:sz w:val="18"/>
                <w:szCs w:val="18"/>
              </w:rPr>
            </w:pPr>
            <w:r>
              <w:rPr>
                <w:rFonts w:ascii="Times New Roman"/>
                <w:sz w:val="18"/>
              </w:rPr>
              <w:t>90,095,154</w:t>
            </w:r>
          </w:p>
        </w:tc>
        <w:tc>
          <w:tcPr>
            <w:tcW w:w="1434"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left="603" w:right="0"/>
              <w:jc w:val="left"/>
              <w:rPr>
                <w:rFonts w:ascii="Times New Roman" w:hAnsi="Times New Roman" w:cs="Times New Roman" w:eastAsia="Times New Roman" w:hint="default"/>
                <w:sz w:val="18"/>
                <w:szCs w:val="18"/>
              </w:rPr>
            </w:pPr>
            <w:r>
              <w:rPr>
                <w:rFonts w:ascii="Times New Roman"/>
                <w:sz w:val="18"/>
              </w:rPr>
              <w:t>6,483,237</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1416" w:val="left" w:leader="none"/>
        </w:tabs>
        <w:spacing w:before="35"/>
        <w:ind w:left="877" w:right="0" w:firstLine="0"/>
        <w:jc w:val="left"/>
        <w:rPr>
          <w:rFonts w:ascii="宋体" w:hAnsi="宋体" w:cs="宋体" w:eastAsia="宋体" w:hint="default"/>
          <w:sz w:val="21"/>
          <w:szCs w:val="21"/>
        </w:rPr>
      </w:pPr>
      <w:r>
        <w:rPr/>
        <w:pict>
          <v:group style="position:absolute;margin-left:88.26001pt;margin-top:-127.406288pt;width:419.05pt;height:103.6pt;mso-position-horizontal-relative:page;mso-position-vertical-relative:paragraph;z-index:-974344" coordorigin="1765,-2548" coordsize="8381,2072">
            <v:group style="position:absolute;left:1770;top:-2543;width:8367;height:2" coordorigin="1770,-2543" coordsize="8367,2">
              <v:shape style="position:absolute;left:1770;top:-2543;width:8367;height:2" coordorigin="1770,-2543" coordsize="8367,0" path="m1770,-2543l10136,-2543e" filled="false" stroked="true" strokeweight=".47998pt" strokecolor="#000000">
                <v:path arrowok="t"/>
              </v:shape>
            </v:group>
            <v:group style="position:absolute;left:2410;top:-2529;width:4626;height:2" coordorigin="2410,-2529" coordsize="4626,2">
              <v:shape style="position:absolute;left:2410;top:-2529;width:4626;height:2" coordorigin="2410,-2529" coordsize="4626,0" path="m2410,-2529l7036,-2529e" filled="false" stroked="true" strokeweight=".96002pt" strokecolor="#000000">
                <v:path arrowok="t"/>
              </v:shape>
            </v:group>
            <v:group style="position:absolute;left:7036;top:-2529;width:1564;height:2" coordorigin="7036,-2529" coordsize="1564,2">
              <v:shape style="position:absolute;left:7036;top:-2529;width:1564;height:2" coordorigin="7036,-2529" coordsize="1564,0" path="m7036,-2529l8599,-2529e" filled="false" stroked="true" strokeweight=".96002pt" strokecolor="#000000">
                <v:path arrowok="t"/>
              </v:shape>
            </v:group>
            <v:group style="position:absolute;left:8599;top:-2529;width:1538;height:2" coordorigin="8599,-2529" coordsize="1538,2">
              <v:shape style="position:absolute;left:8599;top:-2529;width:1538;height:2" coordorigin="8599,-2529" coordsize="1538,0" path="m8599,-2529l10136,-2529e" filled="false" stroked="true" strokeweight=".96002pt" strokecolor="#000000">
                <v:path arrowok="t"/>
              </v:shape>
              <v:shape style="position:absolute;left:2410;top:-2519;width:7730;height:2042" type="#_x0000_t75" stroked="false">
                <v:imagedata r:id="rId181" o:title=""/>
              </v:shape>
            </v:group>
            <w10:wrap type="none"/>
          </v:group>
        </w:pict>
      </w:r>
      <w:r>
        <w:rPr/>
        <w:pict>
          <v:group style="position:absolute;margin-left:119.999992pt;margin-top:17.073671pt;width:388pt;height:82.6pt;mso-position-horizontal-relative:page;mso-position-vertical-relative:paragraph;z-index:-974320" coordorigin="2400,341" coordsize="7760,1652">
            <v:group style="position:absolute;left:2410;top:351;width:2774;height:2" coordorigin="2410,351" coordsize="2774,2">
              <v:shape style="position:absolute;left:2410;top:351;width:2774;height:2" coordorigin="2410,351" coordsize="2774,0" path="m2410,351l5183,351e" filled="false" stroked="true" strokeweight=".96002pt" strokecolor="#000000">
                <v:path arrowok="t"/>
              </v:shape>
            </v:group>
            <v:group style="position:absolute;left:5183;top:351;width:1247;height:2" coordorigin="5183,351" coordsize="1247,2">
              <v:shape style="position:absolute;left:5183;top:351;width:1247;height:2" coordorigin="5183,351" coordsize="1247,0" path="m5183,351l6430,351e" filled="false" stroked="true" strokeweight=".96002pt" strokecolor="#000000">
                <v:path arrowok="t"/>
              </v:shape>
            </v:group>
            <v:group style="position:absolute;left:6430;top:351;width:1268;height:2" coordorigin="6430,351" coordsize="1268,2">
              <v:shape style="position:absolute;left:6430;top:351;width:1268;height:2" coordorigin="6430,351" coordsize="1268,0" path="m6430,351l7697,351e" filled="false" stroked="true" strokeweight=".96002pt" strokecolor="#000000">
                <v:path arrowok="t"/>
              </v:shape>
            </v:group>
            <v:group style="position:absolute;left:7697;top:351;width:2452;height:2" coordorigin="7697,351" coordsize="2452,2">
              <v:shape style="position:absolute;left:7697;top:351;width:2452;height:2" coordorigin="7697,351" coordsize="2452,0" path="m7697,351l10148,351e" filled="false" stroked="true" strokeweight=".96002pt" strokecolor="#000000">
                <v:path arrowok="t"/>
              </v:shape>
              <v:shape style="position:absolute;left:2410;top:361;width:7750;height:1632" type="#_x0000_t75" stroked="false">
                <v:imagedata r:id="rId182" o:title=""/>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sz w:val="21"/>
          <w:szCs w:val="21"/>
        </w:rPr>
        <w:t>、</w:t>
        <w:tab/>
        <w:t>按成本法核算的长期股权投资收益</w:t>
      </w:r>
    </w:p>
    <w:p>
      <w:pPr>
        <w:spacing w:line="240" w:lineRule="auto" w:before="11"/>
        <w:rPr>
          <w:rFonts w:ascii="宋体" w:hAnsi="宋体" w:cs="宋体" w:eastAsia="宋体" w:hint="default"/>
          <w:sz w:val="9"/>
          <w:szCs w:val="9"/>
        </w:rPr>
      </w:pPr>
    </w:p>
    <w:tbl>
      <w:tblPr>
        <w:tblW w:w="0" w:type="auto"/>
        <w:jc w:val="left"/>
        <w:tblInd w:w="755" w:type="dxa"/>
        <w:tblLayout w:type="fixed"/>
        <w:tblCellMar>
          <w:top w:w="0" w:type="dxa"/>
          <w:left w:w="0" w:type="dxa"/>
          <w:bottom w:w="0" w:type="dxa"/>
          <w:right w:w="0" w:type="dxa"/>
        </w:tblCellMar>
        <w:tblLook w:val="01E0"/>
      </w:tblPr>
      <w:tblGrid>
        <w:gridCol w:w="2804"/>
        <w:gridCol w:w="1273"/>
        <w:gridCol w:w="1250"/>
        <w:gridCol w:w="2434"/>
      </w:tblGrid>
      <w:tr>
        <w:trPr>
          <w:trHeight w:val="814"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52" w:right="0"/>
              <w:jc w:val="left"/>
              <w:rPr>
                <w:rFonts w:ascii="宋体" w:hAnsi="宋体" w:cs="宋体" w:eastAsia="宋体" w:hint="default"/>
                <w:sz w:val="18"/>
                <w:szCs w:val="18"/>
              </w:rPr>
            </w:pPr>
            <w:r>
              <w:rPr>
                <w:rFonts w:ascii="宋体" w:hAnsi="宋体" w:cs="宋体" w:eastAsia="宋体" w:hint="default"/>
                <w:sz w:val="18"/>
                <w:szCs w:val="18"/>
              </w:rPr>
              <w:t>被投资单位</w:t>
            </w: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东软</w:t>
            </w:r>
            <w:r>
              <w:rPr>
                <w:rFonts w:ascii="Times New Roman" w:hAnsi="Times New Roman" w:cs="Times New Roman" w:eastAsia="Times New Roman" w:hint="default"/>
                <w:sz w:val="18"/>
                <w:szCs w:val="18"/>
              </w:rPr>
              <w:t>(</w:t>
            </w:r>
            <w:r>
              <w:rPr>
                <w:rFonts w:ascii="宋体" w:hAnsi="宋体" w:cs="宋体" w:eastAsia="宋体" w:hint="default"/>
                <w:sz w:val="18"/>
                <w:szCs w:val="18"/>
              </w:rPr>
              <w:t>日本</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61" w:right="0"/>
              <w:jc w:val="left"/>
              <w:rPr>
                <w:rFonts w:ascii="宋体" w:hAnsi="宋体" w:cs="宋体" w:eastAsia="宋体" w:hint="default"/>
                <w:sz w:val="18"/>
                <w:szCs w:val="18"/>
              </w:rPr>
            </w:pPr>
            <w:r>
              <w:rPr>
                <w:rFonts w:ascii="宋体" w:hAnsi="宋体" w:cs="宋体" w:eastAsia="宋体" w:hint="default"/>
                <w:sz w:val="18"/>
                <w:szCs w:val="18"/>
              </w:rPr>
              <w:t>本期发生额</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404" w:right="0"/>
              <w:jc w:val="left"/>
              <w:rPr>
                <w:rFonts w:ascii="Times New Roman" w:hAnsi="Times New Roman" w:cs="Times New Roman" w:eastAsia="Times New Roman" w:hint="default"/>
                <w:sz w:val="18"/>
                <w:szCs w:val="18"/>
              </w:rPr>
            </w:pPr>
            <w:r>
              <w:rPr>
                <w:rFonts w:ascii="Times New Roman"/>
                <w:sz w:val="18"/>
              </w:rPr>
              <w:t>1,307,303</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6" w:right="0"/>
              <w:jc w:val="left"/>
              <w:rPr>
                <w:rFonts w:ascii="宋体" w:hAnsi="宋体" w:cs="宋体" w:eastAsia="宋体" w:hint="default"/>
                <w:sz w:val="18"/>
                <w:szCs w:val="18"/>
              </w:rPr>
            </w:pPr>
            <w:r>
              <w:rPr>
                <w:rFonts w:ascii="宋体" w:hAnsi="宋体" w:cs="宋体" w:eastAsia="宋体" w:hint="default"/>
                <w:sz w:val="18"/>
                <w:szCs w:val="18"/>
              </w:rPr>
              <w:t>上期发生额</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400" w:right="0"/>
              <w:jc w:val="left"/>
              <w:rPr>
                <w:rFonts w:ascii="Times New Roman" w:hAnsi="Times New Roman" w:cs="Times New Roman" w:eastAsia="Times New Roman" w:hint="default"/>
                <w:sz w:val="18"/>
                <w:szCs w:val="18"/>
              </w:rPr>
            </w:pPr>
            <w:r>
              <w:rPr>
                <w:rFonts w:ascii="Times New Roman"/>
                <w:sz w:val="18"/>
              </w:rPr>
              <w:t>1,318,080</w:t>
            </w:r>
          </w:p>
        </w:tc>
        <w:tc>
          <w:tcPr>
            <w:tcW w:w="2434"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7" w:right="144"/>
              <w:jc w:val="left"/>
              <w:rPr>
                <w:rFonts w:ascii="宋体" w:hAnsi="宋体" w:cs="宋体" w:eastAsia="宋体" w:hint="default"/>
                <w:sz w:val="18"/>
                <w:szCs w:val="18"/>
              </w:rPr>
            </w:pPr>
            <w:r>
              <w:rPr>
                <w:rFonts w:ascii="宋体" w:hAnsi="宋体" w:cs="宋体" w:eastAsia="宋体" w:hint="default"/>
                <w:sz w:val="18"/>
                <w:szCs w:val="18"/>
              </w:rPr>
              <w:t>本期比上期增减变动的原因 本公司收到分配的现金股利</w:t>
            </w:r>
          </w:p>
        </w:tc>
      </w:tr>
      <w:tr>
        <w:trPr>
          <w:trHeight w:val="410"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沈阳东软信息技术服务有限公司</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21,700,000</w:t>
            </w:r>
          </w:p>
        </w:tc>
        <w:tc>
          <w:tcPr>
            <w:tcW w:w="1250" w:type="dxa"/>
            <w:tcBorders>
              <w:top w:val="nil" w:sz="6" w:space="0" w:color="auto"/>
              <w:left w:val="nil" w:sz="6" w:space="0" w:color="auto"/>
              <w:bottom w:val="nil" w:sz="6" w:space="0" w:color="auto"/>
              <w:right w:val="nil" w:sz="6" w:space="0" w:color="auto"/>
            </w:tcBorders>
          </w:tcPr>
          <w:p>
            <w:pPr/>
          </w:p>
        </w:tc>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7" w:right="0"/>
              <w:jc w:val="left"/>
              <w:rPr>
                <w:rFonts w:ascii="宋体" w:hAnsi="宋体" w:cs="宋体" w:eastAsia="宋体" w:hint="default"/>
                <w:sz w:val="18"/>
                <w:szCs w:val="18"/>
              </w:rPr>
            </w:pPr>
            <w:r>
              <w:rPr>
                <w:rFonts w:ascii="宋体" w:hAnsi="宋体" w:cs="宋体" w:eastAsia="宋体" w:hint="default"/>
                <w:sz w:val="18"/>
                <w:szCs w:val="18"/>
              </w:rPr>
              <w:t>本公司收到分配的现金股利</w:t>
            </w:r>
          </w:p>
        </w:tc>
      </w:tr>
      <w:tr>
        <w:trPr>
          <w:trHeight w:val="324" w:hRule="exact"/>
        </w:trPr>
        <w:tc>
          <w:tcPr>
            <w:tcW w:w="2804" w:type="dxa"/>
            <w:tcBorders>
              <w:top w:val="nil" w:sz="6" w:space="0" w:color="auto"/>
              <w:left w:val="nil" w:sz="6" w:space="0" w:color="auto"/>
              <w:bottom w:val="single" w:sz="8" w:space="0" w:color="000000"/>
              <w:right w:val="nil" w:sz="6" w:space="0" w:color="auto"/>
            </w:tcBorders>
          </w:tcPr>
          <w:p>
            <w:pPr>
              <w:pStyle w:val="TableParagraph"/>
              <w:spacing w:line="240" w:lineRule="auto" w:before="50"/>
              <w:ind w:left="91" w:right="0"/>
              <w:jc w:val="center"/>
              <w:rPr>
                <w:rFonts w:ascii="宋体" w:hAnsi="宋体" w:cs="宋体" w:eastAsia="宋体" w:hint="default"/>
                <w:sz w:val="18"/>
                <w:szCs w:val="18"/>
              </w:rPr>
            </w:pPr>
            <w:r>
              <w:rPr>
                <w:rFonts w:ascii="宋体" w:hAnsi="宋体" w:cs="宋体" w:eastAsia="宋体" w:hint="default"/>
                <w:sz w:val="18"/>
                <w:szCs w:val="18"/>
              </w:rPr>
              <w:t>合    计 </w:t>
            </w:r>
          </w:p>
        </w:tc>
        <w:tc>
          <w:tcPr>
            <w:tcW w:w="1273"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23,007,303</w:t>
            </w:r>
          </w:p>
        </w:tc>
        <w:tc>
          <w:tcPr>
            <w:tcW w:w="1250"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left="400" w:right="0"/>
              <w:jc w:val="left"/>
              <w:rPr>
                <w:rFonts w:ascii="Times New Roman" w:hAnsi="Times New Roman" w:cs="Times New Roman" w:eastAsia="Times New Roman" w:hint="default"/>
                <w:sz w:val="18"/>
                <w:szCs w:val="18"/>
              </w:rPr>
            </w:pPr>
            <w:r>
              <w:rPr>
                <w:rFonts w:ascii="Times New Roman"/>
                <w:sz w:val="18"/>
              </w:rPr>
              <w:t>1,318,080</w:t>
            </w:r>
          </w:p>
        </w:tc>
        <w:tc>
          <w:tcPr>
            <w:tcW w:w="2434" w:type="dxa"/>
            <w:tcBorders>
              <w:top w:val="nil" w:sz="6" w:space="0" w:color="auto"/>
              <w:left w:val="nil" w:sz="6" w:space="0" w:color="auto"/>
              <w:bottom w:val="single" w:sz="8"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1416" w:val="left" w:leader="none"/>
        </w:tabs>
        <w:spacing w:before="35"/>
        <w:ind w:left="877" w:right="0" w:firstLine="0"/>
        <w:jc w:val="left"/>
        <w:rPr>
          <w:rFonts w:ascii="宋体" w:hAnsi="宋体" w:cs="宋体" w:eastAsia="宋体" w:hint="default"/>
          <w:sz w:val="21"/>
          <w:szCs w:val="21"/>
        </w:rPr>
      </w:pPr>
      <w:r>
        <w:rPr/>
        <w:pict>
          <v:group style="position:absolute;margin-left:120.000008pt;margin-top:17.133781pt;width:390.5pt;height:103.05pt;mso-position-horizontal-relative:page;mso-position-vertical-relative:paragraph;z-index:-974296" coordorigin="2400,343" coordsize="7810,2061">
            <v:group style="position:absolute;left:2410;top:352;width:3083;height:2" coordorigin="2410,352" coordsize="3083,2">
              <v:shape style="position:absolute;left:2410;top:352;width:3083;height:2" coordorigin="2410,352" coordsize="3083,0" path="m2410,352l5492,352e" filled="false" stroked="true" strokeweight=".95999pt" strokecolor="#000000">
                <v:path arrowok="t"/>
              </v:shape>
            </v:group>
            <v:group style="position:absolute;left:5492;top:352;width:1116;height:2" coordorigin="5492,352" coordsize="1116,2">
              <v:shape style="position:absolute;left:5492;top:352;width:1116;height:2" coordorigin="5492,352" coordsize="1116,0" path="m5492,352l6608,352e" filled="false" stroked="true" strokeweight=".95999pt" strokecolor="#000000">
                <v:path arrowok="t"/>
              </v:shape>
            </v:group>
            <v:group style="position:absolute;left:6608;top:352;width:1125;height:2" coordorigin="6608,352" coordsize="1125,2">
              <v:shape style="position:absolute;left:6608;top:352;width:1125;height:2" coordorigin="6608,352" coordsize="1125,0" path="m6608,352l7733,352e" filled="false" stroked="true" strokeweight=".95999pt" strokecolor="#000000">
                <v:path arrowok="t"/>
              </v:shape>
            </v:group>
            <v:group style="position:absolute;left:7733;top:352;width:2464;height:2" coordorigin="7733,352" coordsize="2464,2">
              <v:shape style="position:absolute;left:7733;top:352;width:2464;height:2" coordorigin="7733,352" coordsize="2464,0" path="m7733,352l10196,352e" filled="false" stroked="true" strokeweight=".95999pt" strokecolor="#000000">
                <v:path arrowok="t"/>
              </v:shape>
              <v:shape style="position:absolute;left:2410;top:362;width:7800;height:2041" type="#_x0000_t75" stroked="false">
                <v:imagedata r:id="rId183" o:title=""/>
              </v:shape>
            </v:group>
            <w10:wrap type="none"/>
          </v:group>
        </w:pict>
      </w:r>
      <w:r>
        <w:rPr>
          <w:rFonts w:ascii="Times New Roman" w:hAnsi="Times New Roman" w:cs="Times New Roman" w:eastAsia="Times New Roman" w:hint="default"/>
          <w:b/>
          <w:bCs/>
          <w:sz w:val="21"/>
          <w:szCs w:val="21"/>
        </w:rPr>
        <w:t>3</w:t>
      </w:r>
      <w:r>
        <w:rPr>
          <w:rFonts w:ascii="宋体" w:hAnsi="宋体" w:cs="宋体" w:eastAsia="宋体" w:hint="default"/>
          <w:sz w:val="21"/>
          <w:szCs w:val="21"/>
        </w:rPr>
        <w:t>、</w:t>
        <w:tab/>
        <w:t>按权益法核算的长期股权投资收益</w:t>
      </w:r>
    </w:p>
    <w:p>
      <w:pPr>
        <w:spacing w:line="240" w:lineRule="auto" w:before="12"/>
        <w:rPr>
          <w:rFonts w:ascii="宋体" w:hAnsi="宋体" w:cs="宋体" w:eastAsia="宋体" w:hint="default"/>
          <w:sz w:val="9"/>
          <w:szCs w:val="9"/>
        </w:rPr>
      </w:pPr>
    </w:p>
    <w:tbl>
      <w:tblPr>
        <w:tblW w:w="0" w:type="auto"/>
        <w:jc w:val="left"/>
        <w:tblInd w:w="755" w:type="dxa"/>
        <w:tblLayout w:type="fixed"/>
        <w:tblCellMar>
          <w:top w:w="0" w:type="dxa"/>
          <w:left w:w="0" w:type="dxa"/>
          <w:bottom w:w="0" w:type="dxa"/>
          <w:right w:w="0" w:type="dxa"/>
        </w:tblCellMar>
        <w:tblLook w:val="01E0"/>
      </w:tblPr>
      <w:tblGrid>
        <w:gridCol w:w="3106"/>
        <w:gridCol w:w="1114"/>
        <w:gridCol w:w="1145"/>
        <w:gridCol w:w="2444"/>
      </w:tblGrid>
      <w:tr>
        <w:trPr>
          <w:trHeight w:val="814" w:hRule="exact"/>
        </w:trPr>
        <w:tc>
          <w:tcPr>
            <w:tcW w:w="3106"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101" w:firstLine="985"/>
              <w:jc w:val="left"/>
              <w:rPr>
                <w:rFonts w:ascii="宋体" w:hAnsi="宋体" w:cs="宋体" w:eastAsia="宋体" w:hint="default"/>
                <w:sz w:val="18"/>
                <w:szCs w:val="18"/>
              </w:rPr>
            </w:pPr>
            <w:r>
              <w:rPr>
                <w:rFonts w:ascii="宋体" w:hAnsi="宋体" w:cs="宋体" w:eastAsia="宋体" w:hint="default"/>
                <w:sz w:val="18"/>
                <w:szCs w:val="18"/>
              </w:rPr>
              <w:t>被投资单位 诺基亚西门子东软通信技术有限公司</w:t>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3" w:right="0"/>
              <w:jc w:val="left"/>
              <w:rPr>
                <w:rFonts w:ascii="宋体" w:hAnsi="宋体" w:cs="宋体" w:eastAsia="宋体" w:hint="default"/>
                <w:sz w:val="18"/>
                <w:szCs w:val="18"/>
              </w:rPr>
            </w:pPr>
            <w:r>
              <w:rPr>
                <w:rFonts w:ascii="宋体" w:hAnsi="宋体" w:cs="宋体" w:eastAsia="宋体" w:hint="default"/>
                <w:sz w:val="18"/>
                <w:szCs w:val="18"/>
              </w:rPr>
              <w:t>本期发生额</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358" w:right="0"/>
              <w:jc w:val="left"/>
              <w:rPr>
                <w:rFonts w:ascii="Times New Roman" w:hAnsi="Times New Roman" w:cs="Times New Roman" w:eastAsia="Times New Roman" w:hint="default"/>
                <w:sz w:val="18"/>
                <w:szCs w:val="18"/>
              </w:rPr>
            </w:pPr>
            <w:r>
              <w:rPr>
                <w:rFonts w:ascii="Times New Roman"/>
                <w:sz w:val="18"/>
              </w:rPr>
              <w:t>-540,775</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93" w:right="0" w:hanging="184"/>
              <w:jc w:val="left"/>
              <w:rPr>
                <w:rFonts w:ascii="宋体" w:hAnsi="宋体" w:cs="宋体" w:eastAsia="宋体" w:hint="default"/>
                <w:sz w:val="18"/>
                <w:szCs w:val="18"/>
              </w:rPr>
            </w:pPr>
            <w:r>
              <w:rPr>
                <w:rFonts w:ascii="宋体" w:hAnsi="宋体" w:cs="宋体" w:eastAsia="宋体" w:hint="default"/>
                <w:sz w:val="18"/>
                <w:szCs w:val="18"/>
              </w:rPr>
              <w:t>上期发生额</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93" w:right="0"/>
              <w:jc w:val="left"/>
              <w:rPr>
                <w:rFonts w:ascii="Times New Roman" w:hAnsi="Times New Roman" w:cs="Times New Roman" w:eastAsia="Times New Roman" w:hint="default"/>
                <w:sz w:val="18"/>
                <w:szCs w:val="18"/>
              </w:rPr>
            </w:pPr>
            <w:r>
              <w:rPr>
                <w:rFonts w:ascii="Times New Roman"/>
                <w:sz w:val="18"/>
              </w:rPr>
              <w:t>3,928,031</w:t>
            </w:r>
          </w:p>
        </w:tc>
        <w:tc>
          <w:tcPr>
            <w:tcW w:w="2444"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75" w:right="107" w:hanging="46"/>
              <w:jc w:val="left"/>
              <w:rPr>
                <w:rFonts w:ascii="宋体" w:hAnsi="宋体" w:cs="宋体" w:eastAsia="宋体" w:hint="default"/>
                <w:sz w:val="18"/>
                <w:szCs w:val="18"/>
              </w:rPr>
            </w:pPr>
            <w:r>
              <w:rPr>
                <w:rFonts w:ascii="宋体" w:hAnsi="宋体" w:cs="宋体" w:eastAsia="宋体" w:hint="default"/>
                <w:sz w:val="18"/>
                <w:szCs w:val="18"/>
              </w:rPr>
              <w:t>本期比上期增减变动的原因 被投资单位净利润变动影响</w:t>
            </w:r>
          </w:p>
        </w:tc>
      </w:tr>
      <w:tr>
        <w:trPr>
          <w:trHeight w:val="410" w:hRule="exact"/>
        </w:trPr>
        <w:tc>
          <w:tcPr>
            <w:tcW w:w="310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北京利博赛社保信息技术有限公司</w:t>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106,476</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88,843</w:t>
            </w:r>
          </w:p>
        </w:tc>
        <w:tc>
          <w:tcPr>
            <w:tcW w:w="244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75" w:right="0"/>
              <w:jc w:val="left"/>
              <w:rPr>
                <w:rFonts w:ascii="宋体" w:hAnsi="宋体" w:cs="宋体" w:eastAsia="宋体" w:hint="default"/>
                <w:sz w:val="18"/>
                <w:szCs w:val="18"/>
              </w:rPr>
            </w:pPr>
            <w:r>
              <w:rPr>
                <w:rFonts w:ascii="宋体" w:hAnsi="宋体" w:cs="宋体" w:eastAsia="宋体" w:hint="default"/>
                <w:sz w:val="18"/>
                <w:szCs w:val="18"/>
              </w:rPr>
              <w:t>被投资单位净利润变动影响</w:t>
            </w:r>
          </w:p>
        </w:tc>
      </w:tr>
      <w:tr>
        <w:trPr>
          <w:trHeight w:val="410" w:hRule="exact"/>
        </w:trPr>
        <w:tc>
          <w:tcPr>
            <w:tcW w:w="310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上海东软时代物流软件有限公司</w:t>
            </w:r>
          </w:p>
        </w:tc>
        <w:tc>
          <w:tcPr>
            <w:tcW w:w="1114" w:type="dxa"/>
            <w:tcBorders>
              <w:top w:val="nil" w:sz="6" w:space="0" w:color="auto"/>
              <w:left w:val="nil" w:sz="6" w:space="0" w:color="auto"/>
              <w:bottom w:val="nil" w:sz="6" w:space="0" w:color="auto"/>
              <w:right w:val="nil" w:sz="6" w:space="0" w:color="auto"/>
            </w:tcBorders>
          </w:tcPr>
          <w:p>
            <w:pP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pacing w:val="-3"/>
                <w:sz w:val="18"/>
              </w:rPr>
              <w:t>-35,111</w:t>
            </w:r>
          </w:p>
        </w:tc>
        <w:tc>
          <w:tcPr>
            <w:tcW w:w="2444" w:type="dxa"/>
            <w:tcBorders>
              <w:top w:val="nil" w:sz="6" w:space="0" w:color="auto"/>
              <w:left w:val="nil" w:sz="6" w:space="0" w:color="auto"/>
              <w:bottom w:val="nil" w:sz="6" w:space="0" w:color="auto"/>
              <w:right w:val="nil" w:sz="6" w:space="0" w:color="auto"/>
            </w:tcBorders>
          </w:tcPr>
          <w:p>
            <w:pPr/>
          </w:p>
        </w:tc>
      </w:tr>
      <w:tr>
        <w:trPr>
          <w:trHeight w:val="324" w:hRule="exact"/>
        </w:trPr>
        <w:tc>
          <w:tcPr>
            <w:tcW w:w="3106" w:type="dxa"/>
            <w:tcBorders>
              <w:top w:val="nil" w:sz="6" w:space="0" w:color="auto"/>
              <w:left w:val="nil" w:sz="6" w:space="0" w:color="auto"/>
              <w:bottom w:val="single" w:sz="8" w:space="0" w:color="000000"/>
              <w:right w:val="nil" w:sz="6" w:space="0" w:color="auto"/>
            </w:tcBorders>
          </w:tcPr>
          <w:p>
            <w:pPr>
              <w:pStyle w:val="TableParagraph"/>
              <w:spacing w:line="240" w:lineRule="auto" w:before="50"/>
              <w:ind w:left="98" w:right="0"/>
              <w:jc w:val="center"/>
              <w:rPr>
                <w:rFonts w:ascii="宋体" w:hAnsi="宋体" w:cs="宋体" w:eastAsia="宋体" w:hint="default"/>
                <w:sz w:val="18"/>
                <w:szCs w:val="18"/>
              </w:rPr>
            </w:pPr>
            <w:r>
              <w:rPr>
                <w:rFonts w:ascii="宋体" w:hAnsi="宋体" w:cs="宋体" w:eastAsia="宋体" w:hint="default"/>
                <w:sz w:val="18"/>
                <w:szCs w:val="18"/>
              </w:rPr>
              <w:t>合    计 </w:t>
            </w:r>
          </w:p>
        </w:tc>
        <w:tc>
          <w:tcPr>
            <w:tcW w:w="1114"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w w:val="95"/>
                <w:sz w:val="18"/>
              </w:rPr>
              <w:t>-434,299</w:t>
            </w:r>
            <w:r>
              <w:rPr>
                <w:rFonts w:ascii="Times New Roman"/>
                <w:sz w:val="18"/>
              </w:rPr>
            </w:r>
          </w:p>
        </w:tc>
        <w:tc>
          <w:tcPr>
            <w:tcW w:w="1145"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3,981,763</w:t>
            </w:r>
          </w:p>
        </w:tc>
        <w:tc>
          <w:tcPr>
            <w:tcW w:w="2444" w:type="dxa"/>
            <w:tcBorders>
              <w:top w:val="nil" w:sz="6" w:space="0" w:color="auto"/>
              <w:left w:val="nil" w:sz="6" w:space="0" w:color="auto"/>
              <w:bottom w:val="single" w:sz="8"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tbl>
      <w:tblPr>
        <w:tblW w:w="0" w:type="auto"/>
        <w:jc w:val="left"/>
        <w:tblInd w:w="110" w:type="dxa"/>
        <w:tblLayout w:type="fixed"/>
        <w:tblCellMar>
          <w:top w:w="0" w:type="dxa"/>
          <w:left w:w="0" w:type="dxa"/>
          <w:bottom w:w="0" w:type="dxa"/>
          <w:right w:w="0" w:type="dxa"/>
        </w:tblCellMar>
        <w:tblLook w:val="01E0"/>
      </w:tblPr>
      <w:tblGrid>
        <w:gridCol w:w="659"/>
        <w:gridCol w:w="4759"/>
        <w:gridCol w:w="1585"/>
        <w:gridCol w:w="1383"/>
      </w:tblGrid>
      <w:tr>
        <w:trPr>
          <w:trHeight w:val="351"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4759" w:type="dxa"/>
            <w:tcBorders>
              <w:top w:val="nil" w:sz="6" w:space="0" w:color="auto"/>
              <w:left w:val="nil" w:sz="6" w:space="0" w:color="auto"/>
              <w:bottom w:val="single" w:sz="8" w:space="0" w:color="000000"/>
              <w:right w:val="nil" w:sz="6" w:space="0" w:color="auto"/>
            </w:tcBorders>
          </w:tcPr>
          <w:p>
            <w:pPr>
              <w:pStyle w:val="TableParagraph"/>
              <w:spacing w:line="240" w:lineRule="auto" w:before="35"/>
              <w:ind w:left="104" w:right="0"/>
              <w:jc w:val="left"/>
              <w:rPr>
                <w:rFonts w:ascii="宋体" w:hAnsi="宋体" w:cs="宋体" w:eastAsia="宋体" w:hint="default"/>
                <w:sz w:val="21"/>
                <w:szCs w:val="21"/>
              </w:rPr>
            </w:pPr>
            <w:r>
              <w:rPr>
                <w:rFonts w:ascii="宋体" w:hAnsi="宋体" w:cs="宋体" w:eastAsia="宋体" w:hint="default"/>
                <w:sz w:val="21"/>
                <w:szCs w:val="21"/>
              </w:rPr>
              <w:t>现金流量表补充资料</w:t>
            </w:r>
          </w:p>
        </w:tc>
        <w:tc>
          <w:tcPr>
            <w:tcW w:w="2968" w:type="dxa"/>
            <w:gridSpan w:val="2"/>
            <w:tcBorders>
              <w:top w:val="nil" w:sz="6" w:space="0" w:color="auto"/>
              <w:left w:val="nil" w:sz="6" w:space="0" w:color="auto"/>
              <w:bottom w:val="single" w:sz="8" w:space="0" w:color="000000"/>
              <w:right w:val="nil" w:sz="6" w:space="0" w:color="auto"/>
            </w:tcBorders>
          </w:tcPr>
          <w:p>
            <w:pPr/>
          </w:p>
        </w:tc>
      </w:tr>
      <w:tr>
        <w:trPr>
          <w:trHeight w:val="498" w:hRule="exact"/>
        </w:trPr>
        <w:tc>
          <w:tcPr>
            <w:tcW w:w="659" w:type="dxa"/>
            <w:tcBorders>
              <w:top w:val="nil" w:sz="6" w:space="0" w:color="auto"/>
              <w:left w:val="nil" w:sz="6" w:space="0" w:color="auto"/>
              <w:bottom w:val="nil" w:sz="6" w:space="0" w:color="auto"/>
              <w:right w:val="nil" w:sz="6" w:space="0" w:color="auto"/>
            </w:tcBorders>
          </w:tcPr>
          <w:p>
            <w:pPr/>
          </w:p>
        </w:tc>
        <w:tc>
          <w:tcPr>
            <w:tcW w:w="4759"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right="75"/>
              <w:jc w:val="center"/>
              <w:rPr>
                <w:rFonts w:ascii="宋体" w:hAnsi="宋体" w:cs="宋体" w:eastAsia="宋体" w:hint="default"/>
                <w:sz w:val="18"/>
                <w:szCs w:val="18"/>
              </w:rPr>
            </w:pPr>
            <w:r>
              <w:rPr>
                <w:rFonts w:ascii="宋体" w:hAnsi="宋体" w:cs="宋体" w:eastAsia="宋体" w:hint="default"/>
                <w:sz w:val="18"/>
                <w:szCs w:val="18"/>
              </w:rPr>
              <w:t>项    目 </w:t>
            </w:r>
          </w:p>
        </w:tc>
        <w:tc>
          <w:tcPr>
            <w:tcW w:w="1585"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left="273"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383"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left="258"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15" w:hRule="exact"/>
        </w:trPr>
        <w:tc>
          <w:tcPr>
            <w:tcW w:w="659" w:type="dxa"/>
            <w:tcBorders>
              <w:top w:val="nil" w:sz="6" w:space="0" w:color="auto"/>
              <w:left w:val="nil" w:sz="6" w:space="0" w:color="auto"/>
              <w:bottom w:val="nil" w:sz="6" w:space="0" w:color="auto"/>
              <w:right w:val="nil" w:sz="6" w:space="0" w:color="auto"/>
            </w:tcBorders>
          </w:tcPr>
          <w:p>
            <w:pPr/>
          </w:p>
        </w:tc>
        <w:tc>
          <w:tcPr>
            <w:tcW w:w="475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1585" w:type="dxa"/>
            <w:tcBorders>
              <w:top w:val="nil" w:sz="6" w:space="0" w:color="auto"/>
              <w:left w:val="nil" w:sz="6" w:space="0" w:color="auto"/>
              <w:bottom w:val="nil" w:sz="6" w:space="0" w:color="auto"/>
              <w:right w:val="nil" w:sz="6" w:space="0" w:color="auto"/>
            </w:tcBorders>
          </w:tcPr>
          <w:p>
            <w:pPr/>
          </w:p>
        </w:tc>
        <w:tc>
          <w:tcPr>
            <w:tcW w:w="1383" w:type="dxa"/>
            <w:tcBorders>
              <w:top w:val="nil" w:sz="6" w:space="0" w:color="auto"/>
              <w:left w:val="nil" w:sz="6" w:space="0" w:color="auto"/>
              <w:bottom w:val="nil" w:sz="6" w:space="0" w:color="auto"/>
              <w:right w:val="nil" w:sz="6" w:space="0" w:color="auto"/>
            </w:tcBorders>
          </w:tcPr>
          <w:p>
            <w:pPr/>
          </w:p>
        </w:tc>
      </w:tr>
      <w:tr>
        <w:trPr>
          <w:trHeight w:val="415" w:hRule="exact"/>
        </w:trPr>
        <w:tc>
          <w:tcPr>
            <w:tcW w:w="659" w:type="dxa"/>
            <w:tcBorders>
              <w:top w:val="nil" w:sz="6" w:space="0" w:color="auto"/>
              <w:left w:val="nil" w:sz="6" w:space="0" w:color="auto"/>
              <w:bottom w:val="nil" w:sz="6" w:space="0" w:color="auto"/>
              <w:right w:val="nil" w:sz="6" w:space="0" w:color="auto"/>
            </w:tcBorders>
          </w:tcPr>
          <w:p>
            <w:pPr/>
          </w:p>
        </w:tc>
        <w:tc>
          <w:tcPr>
            <w:tcW w:w="475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7"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56"/>
              <w:jc w:val="right"/>
              <w:rPr>
                <w:rFonts w:ascii="Times New Roman" w:hAnsi="Times New Roman" w:cs="Times New Roman" w:eastAsia="Times New Roman" w:hint="default"/>
                <w:sz w:val="18"/>
                <w:szCs w:val="18"/>
              </w:rPr>
            </w:pPr>
            <w:r>
              <w:rPr>
                <w:rFonts w:ascii="Times New Roman"/>
                <w:sz w:val="18"/>
              </w:rPr>
              <w:t>497,187,390</w:t>
            </w:r>
          </w:p>
        </w:tc>
        <w:tc>
          <w:tcPr>
            <w:tcW w:w="138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0"/>
              <w:jc w:val="right"/>
              <w:rPr>
                <w:rFonts w:ascii="Times New Roman" w:hAnsi="Times New Roman" w:cs="Times New Roman" w:eastAsia="Times New Roman" w:hint="default"/>
                <w:sz w:val="18"/>
                <w:szCs w:val="18"/>
              </w:rPr>
            </w:pPr>
            <w:r>
              <w:rPr>
                <w:rFonts w:ascii="Times New Roman"/>
                <w:spacing w:val="-1"/>
                <w:sz w:val="18"/>
              </w:rPr>
              <w:t>382,415,611</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75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56"/>
              <w:jc w:val="right"/>
              <w:rPr>
                <w:rFonts w:ascii="Times New Roman" w:hAnsi="Times New Roman" w:cs="Times New Roman" w:eastAsia="Times New Roman" w:hint="default"/>
                <w:sz w:val="18"/>
                <w:szCs w:val="18"/>
              </w:rPr>
            </w:pPr>
            <w:r>
              <w:rPr>
                <w:rFonts w:ascii="Times New Roman"/>
                <w:sz w:val="18"/>
              </w:rPr>
              <w:t>21,095,205</w:t>
            </w:r>
          </w:p>
        </w:tc>
        <w:tc>
          <w:tcPr>
            <w:tcW w:w="13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0"/>
              <w:jc w:val="right"/>
              <w:rPr>
                <w:rFonts w:ascii="Times New Roman" w:hAnsi="Times New Roman" w:cs="Times New Roman" w:eastAsia="Times New Roman" w:hint="default"/>
                <w:sz w:val="18"/>
                <w:szCs w:val="18"/>
              </w:rPr>
            </w:pPr>
            <w:r>
              <w:rPr>
                <w:rFonts w:ascii="Times New Roman"/>
                <w:spacing w:val="-1"/>
                <w:sz w:val="18"/>
              </w:rPr>
              <w:t>-780,671</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75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56"/>
              <w:jc w:val="right"/>
              <w:rPr>
                <w:rFonts w:ascii="Times New Roman" w:hAnsi="Times New Roman" w:cs="Times New Roman" w:eastAsia="Times New Roman" w:hint="default"/>
                <w:sz w:val="18"/>
                <w:szCs w:val="18"/>
              </w:rPr>
            </w:pPr>
            <w:r>
              <w:rPr>
                <w:rFonts w:ascii="Times New Roman"/>
                <w:sz w:val="18"/>
              </w:rPr>
              <w:t>63,186,842</w:t>
            </w:r>
          </w:p>
        </w:tc>
        <w:tc>
          <w:tcPr>
            <w:tcW w:w="13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pacing w:val="-1"/>
                <w:sz w:val="18"/>
              </w:rPr>
              <w:t>48,154,511</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75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56"/>
              <w:jc w:val="right"/>
              <w:rPr>
                <w:rFonts w:ascii="Times New Roman" w:hAnsi="Times New Roman" w:cs="Times New Roman" w:eastAsia="Times New Roman" w:hint="default"/>
                <w:sz w:val="18"/>
                <w:szCs w:val="18"/>
              </w:rPr>
            </w:pPr>
            <w:r>
              <w:rPr>
                <w:rFonts w:ascii="Times New Roman"/>
                <w:sz w:val="18"/>
              </w:rPr>
              <w:t>6,336,002</w:t>
            </w:r>
          </w:p>
        </w:tc>
        <w:tc>
          <w:tcPr>
            <w:tcW w:w="13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0"/>
              <w:jc w:val="right"/>
              <w:rPr>
                <w:rFonts w:ascii="Times New Roman" w:hAnsi="Times New Roman" w:cs="Times New Roman" w:eastAsia="Times New Roman" w:hint="default"/>
                <w:sz w:val="18"/>
                <w:szCs w:val="18"/>
              </w:rPr>
            </w:pPr>
            <w:r>
              <w:rPr>
                <w:rFonts w:ascii="Times New Roman"/>
                <w:spacing w:val="-1"/>
                <w:sz w:val="18"/>
              </w:rPr>
              <w:t>7,349,085</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75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56"/>
              <w:jc w:val="right"/>
              <w:rPr>
                <w:rFonts w:ascii="Times New Roman" w:hAnsi="Times New Roman" w:cs="Times New Roman" w:eastAsia="Times New Roman" w:hint="default"/>
                <w:sz w:val="18"/>
                <w:szCs w:val="18"/>
              </w:rPr>
            </w:pPr>
            <w:r>
              <w:rPr>
                <w:rFonts w:ascii="Times New Roman"/>
                <w:sz w:val="18"/>
              </w:rPr>
              <w:t>3,019,888</w:t>
            </w:r>
          </w:p>
        </w:tc>
        <w:tc>
          <w:tcPr>
            <w:tcW w:w="13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0"/>
              <w:jc w:val="right"/>
              <w:rPr>
                <w:rFonts w:ascii="Times New Roman" w:hAnsi="Times New Roman" w:cs="Times New Roman" w:eastAsia="Times New Roman" w:hint="default"/>
                <w:sz w:val="18"/>
                <w:szCs w:val="18"/>
              </w:rPr>
            </w:pPr>
            <w:r>
              <w:rPr>
                <w:rFonts w:ascii="Times New Roman"/>
                <w:spacing w:val="-1"/>
                <w:sz w:val="18"/>
              </w:rPr>
              <w:t>3,210,519</w:t>
            </w:r>
          </w:p>
        </w:tc>
      </w:tr>
      <w:tr>
        <w:trPr>
          <w:trHeight w:val="305" w:hRule="exact"/>
        </w:trPr>
        <w:tc>
          <w:tcPr>
            <w:tcW w:w="659" w:type="dxa"/>
            <w:tcBorders>
              <w:top w:val="nil" w:sz="6" w:space="0" w:color="auto"/>
              <w:left w:val="nil" w:sz="6" w:space="0" w:color="auto"/>
              <w:bottom w:val="nil" w:sz="6" w:space="0" w:color="auto"/>
              <w:right w:val="nil" w:sz="6" w:space="0" w:color="auto"/>
            </w:tcBorders>
          </w:tcPr>
          <w:p>
            <w:pPr/>
          </w:p>
        </w:tc>
        <w:tc>
          <w:tcPr>
            <w:tcW w:w="475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pacing w:val="2"/>
                <w:sz w:val="18"/>
                <w:szCs w:val="18"/>
              </w:rPr>
              <w:t>处置固定资产、无形资产和其他长期资产的损失（收益</w:t>
            </w:r>
            <w:r>
              <w:rPr>
                <w:rFonts w:ascii="宋体" w:hAnsi="宋体" w:cs="宋体" w:eastAsia="宋体" w:hint="default"/>
                <w:sz w:val="18"/>
                <w:szCs w:val="18"/>
              </w:rPr>
            </w:r>
          </w:p>
        </w:tc>
        <w:tc>
          <w:tcPr>
            <w:tcW w:w="1585" w:type="dxa"/>
            <w:tcBorders>
              <w:top w:val="nil" w:sz="6" w:space="0" w:color="auto"/>
              <w:left w:val="nil" w:sz="6" w:space="0" w:color="auto"/>
              <w:bottom w:val="nil" w:sz="6" w:space="0" w:color="auto"/>
              <w:right w:val="nil" w:sz="6" w:space="0" w:color="auto"/>
            </w:tcBorders>
          </w:tcPr>
          <w:p>
            <w:pPr/>
          </w:p>
        </w:tc>
        <w:tc>
          <w:tcPr>
            <w:tcW w:w="1383" w:type="dxa"/>
            <w:tcBorders>
              <w:top w:val="nil" w:sz="6" w:space="0" w:color="auto"/>
              <w:left w:val="nil" w:sz="6" w:space="0" w:color="auto"/>
              <w:bottom w:val="nil" w:sz="6" w:space="0" w:color="auto"/>
              <w:right w:val="nil" w:sz="6" w:space="0" w:color="auto"/>
            </w:tcBorders>
          </w:tcPr>
          <w:p>
            <w:pPr/>
          </w:p>
        </w:tc>
      </w:tr>
      <w:tr>
        <w:trPr>
          <w:trHeight w:val="200" w:hRule="exact"/>
        </w:trPr>
        <w:tc>
          <w:tcPr>
            <w:tcW w:w="659" w:type="dxa"/>
            <w:tcBorders>
              <w:top w:val="nil" w:sz="6" w:space="0" w:color="auto"/>
              <w:left w:val="nil" w:sz="6" w:space="0" w:color="auto"/>
              <w:bottom w:val="nil" w:sz="6" w:space="0" w:color="auto"/>
              <w:right w:val="nil" w:sz="6" w:space="0" w:color="auto"/>
            </w:tcBorders>
          </w:tcPr>
          <w:p>
            <w:pPr/>
          </w:p>
        </w:tc>
        <w:tc>
          <w:tcPr>
            <w:tcW w:w="4759" w:type="dxa"/>
            <w:tcBorders>
              <w:top w:val="nil" w:sz="6" w:space="0" w:color="auto"/>
              <w:left w:val="nil" w:sz="6" w:space="0" w:color="auto"/>
              <w:bottom w:val="nil" w:sz="6" w:space="0" w:color="auto"/>
              <w:right w:val="nil" w:sz="6" w:space="0" w:color="auto"/>
            </w:tcBorders>
          </w:tcPr>
          <w:p>
            <w:pPr/>
          </w:p>
        </w:tc>
        <w:tc>
          <w:tcPr>
            <w:tcW w:w="1585" w:type="dxa"/>
            <w:tcBorders>
              <w:top w:val="nil" w:sz="6" w:space="0" w:color="auto"/>
              <w:left w:val="nil" w:sz="6" w:space="0" w:color="auto"/>
              <w:bottom w:val="nil" w:sz="6" w:space="0" w:color="auto"/>
              <w:right w:val="nil" w:sz="6" w:space="0" w:color="auto"/>
            </w:tcBorders>
          </w:tcPr>
          <w:p>
            <w:pPr>
              <w:pStyle w:val="TableParagraph"/>
              <w:spacing w:line="204" w:lineRule="exact"/>
              <w:ind w:right="256"/>
              <w:jc w:val="right"/>
              <w:rPr>
                <w:rFonts w:ascii="Times New Roman" w:hAnsi="Times New Roman" w:cs="Times New Roman" w:eastAsia="Times New Roman" w:hint="default"/>
                <w:sz w:val="18"/>
                <w:szCs w:val="18"/>
              </w:rPr>
            </w:pPr>
            <w:r>
              <w:rPr>
                <w:rFonts w:ascii="Times New Roman"/>
                <w:w w:val="95"/>
                <w:sz w:val="18"/>
              </w:rPr>
              <w:t>-2,032,800</w:t>
            </w:r>
            <w:r>
              <w:rPr>
                <w:rFonts w:ascii="Times New Roman"/>
                <w:sz w:val="18"/>
              </w:rPr>
            </w:r>
          </w:p>
        </w:tc>
        <w:tc>
          <w:tcPr>
            <w:tcW w:w="1383" w:type="dxa"/>
            <w:tcBorders>
              <w:top w:val="nil" w:sz="6" w:space="0" w:color="auto"/>
              <w:left w:val="nil" w:sz="6" w:space="0" w:color="auto"/>
              <w:bottom w:val="nil" w:sz="6" w:space="0" w:color="auto"/>
              <w:right w:val="nil" w:sz="6" w:space="0" w:color="auto"/>
            </w:tcBorders>
          </w:tcPr>
          <w:p>
            <w:pPr>
              <w:pStyle w:val="TableParagraph"/>
              <w:spacing w:line="204" w:lineRule="exact"/>
              <w:ind w:right="99"/>
              <w:jc w:val="right"/>
              <w:rPr>
                <w:rFonts w:ascii="Times New Roman" w:hAnsi="Times New Roman" w:cs="Times New Roman" w:eastAsia="Times New Roman" w:hint="default"/>
                <w:sz w:val="18"/>
                <w:szCs w:val="18"/>
              </w:rPr>
            </w:pPr>
            <w:r>
              <w:rPr>
                <w:rFonts w:ascii="Times New Roman"/>
                <w:w w:val="95"/>
                <w:sz w:val="18"/>
              </w:rPr>
              <w:t>-586,834</w:t>
            </w:r>
            <w:r>
              <w:rPr>
                <w:rFonts w:ascii="Times New Roman"/>
                <w:sz w:val="18"/>
              </w:rPr>
            </w:r>
          </w:p>
        </w:tc>
      </w:tr>
      <w:tr>
        <w:trPr>
          <w:trHeight w:val="300" w:hRule="exact"/>
        </w:trPr>
        <w:tc>
          <w:tcPr>
            <w:tcW w:w="659" w:type="dxa"/>
            <w:tcBorders>
              <w:top w:val="nil" w:sz="6" w:space="0" w:color="auto"/>
              <w:left w:val="nil" w:sz="6" w:space="0" w:color="auto"/>
              <w:bottom w:val="nil" w:sz="6" w:space="0" w:color="auto"/>
              <w:right w:val="nil" w:sz="6" w:space="0" w:color="auto"/>
            </w:tcBorders>
          </w:tcPr>
          <w:p>
            <w:pPr/>
          </w:p>
        </w:tc>
        <w:tc>
          <w:tcPr>
            <w:tcW w:w="4759" w:type="dxa"/>
            <w:tcBorders>
              <w:top w:val="nil" w:sz="6" w:space="0" w:color="auto"/>
              <w:left w:val="nil" w:sz="6" w:space="0" w:color="auto"/>
              <w:bottom w:val="nil" w:sz="6" w:space="0" w:color="auto"/>
              <w:right w:val="nil" w:sz="6" w:space="0" w:color="auto"/>
            </w:tcBorders>
          </w:tcPr>
          <w:p>
            <w:pPr>
              <w:pStyle w:val="TableParagraph"/>
              <w:spacing w:line="193" w:lineRule="exact"/>
              <w:ind w:left="107" w:right="0"/>
              <w:jc w:val="left"/>
              <w:rPr>
                <w:rFonts w:ascii="宋体" w:hAnsi="宋体" w:cs="宋体" w:eastAsia="宋体" w:hint="default"/>
                <w:sz w:val="18"/>
                <w:szCs w:val="18"/>
              </w:rPr>
            </w:pPr>
            <w:r>
              <w:rPr>
                <w:rFonts w:ascii="宋体" w:hAnsi="宋体" w:cs="宋体" w:eastAsia="宋体" w:hint="default"/>
                <w:sz w:val="18"/>
                <w:szCs w:val="18"/>
              </w:rPr>
              <w:t>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85" w:type="dxa"/>
            <w:tcBorders>
              <w:top w:val="nil" w:sz="6" w:space="0" w:color="auto"/>
              <w:left w:val="nil" w:sz="6" w:space="0" w:color="auto"/>
              <w:bottom w:val="nil" w:sz="6" w:space="0" w:color="auto"/>
              <w:right w:val="nil" w:sz="6" w:space="0" w:color="auto"/>
            </w:tcBorders>
          </w:tcPr>
          <w:p>
            <w:pPr/>
          </w:p>
        </w:tc>
        <w:tc>
          <w:tcPr>
            <w:tcW w:w="1383" w:type="dxa"/>
            <w:tcBorders>
              <w:top w:val="nil" w:sz="6" w:space="0" w:color="auto"/>
              <w:left w:val="nil" w:sz="6" w:space="0" w:color="auto"/>
              <w:bottom w:val="nil" w:sz="6" w:space="0" w:color="auto"/>
              <w:right w:val="nil" w:sz="6" w:space="0" w:color="auto"/>
            </w:tcBorders>
          </w:tcPr>
          <w:p>
            <w:pPr/>
          </w:p>
        </w:tc>
      </w:tr>
      <w:tr>
        <w:trPr>
          <w:trHeight w:val="415" w:hRule="exact"/>
        </w:trPr>
        <w:tc>
          <w:tcPr>
            <w:tcW w:w="659" w:type="dxa"/>
            <w:tcBorders>
              <w:top w:val="nil" w:sz="6" w:space="0" w:color="auto"/>
              <w:left w:val="nil" w:sz="6" w:space="0" w:color="auto"/>
              <w:bottom w:val="nil" w:sz="6" w:space="0" w:color="auto"/>
              <w:right w:val="nil" w:sz="6" w:space="0" w:color="auto"/>
            </w:tcBorders>
          </w:tcPr>
          <w:p>
            <w:pPr/>
          </w:p>
        </w:tc>
        <w:tc>
          <w:tcPr>
            <w:tcW w:w="475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7"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56"/>
              <w:jc w:val="right"/>
              <w:rPr>
                <w:rFonts w:ascii="Times New Roman" w:hAnsi="Times New Roman" w:cs="Times New Roman" w:eastAsia="Times New Roman" w:hint="default"/>
                <w:sz w:val="18"/>
                <w:szCs w:val="18"/>
              </w:rPr>
            </w:pPr>
            <w:r>
              <w:rPr>
                <w:rFonts w:ascii="Times New Roman"/>
                <w:sz w:val="18"/>
              </w:rPr>
              <w:t>9,580,929</w:t>
            </w:r>
          </w:p>
        </w:tc>
        <w:tc>
          <w:tcPr>
            <w:tcW w:w="138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0"/>
              <w:jc w:val="right"/>
              <w:rPr>
                <w:rFonts w:ascii="Times New Roman" w:hAnsi="Times New Roman" w:cs="Times New Roman" w:eastAsia="Times New Roman" w:hint="default"/>
                <w:sz w:val="18"/>
                <w:szCs w:val="18"/>
              </w:rPr>
            </w:pPr>
            <w:r>
              <w:rPr>
                <w:rFonts w:ascii="Times New Roman"/>
                <w:sz w:val="18"/>
              </w:rPr>
              <w:t>5,020</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75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56"/>
              <w:jc w:val="right"/>
              <w:rPr>
                <w:rFonts w:ascii="Times New Roman" w:hAnsi="Times New Roman" w:cs="Times New Roman" w:eastAsia="Times New Roman" w:hint="default"/>
                <w:sz w:val="18"/>
                <w:szCs w:val="18"/>
              </w:rPr>
            </w:pPr>
            <w:r>
              <w:rPr>
                <w:rFonts w:ascii="Times New Roman"/>
                <w:w w:val="95"/>
                <w:sz w:val="18"/>
              </w:rPr>
              <w:t>-9,196,499</w:t>
            </w:r>
            <w:r>
              <w:rPr>
                <w:rFonts w:ascii="Times New Roman"/>
                <w:sz w:val="18"/>
              </w:rPr>
            </w:r>
          </w:p>
        </w:tc>
        <w:tc>
          <w:tcPr>
            <w:tcW w:w="13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0"/>
              <w:jc w:val="right"/>
              <w:rPr>
                <w:rFonts w:ascii="Times New Roman" w:hAnsi="Times New Roman" w:cs="Times New Roman" w:eastAsia="Times New Roman" w:hint="default"/>
                <w:sz w:val="18"/>
                <w:szCs w:val="18"/>
              </w:rPr>
            </w:pPr>
            <w:r>
              <w:rPr>
                <w:rFonts w:ascii="Times New Roman"/>
                <w:sz w:val="18"/>
              </w:rPr>
              <w:t>8,760,139</w:t>
            </w:r>
          </w:p>
        </w:tc>
      </w:tr>
      <w:tr>
        <w:trPr>
          <w:trHeight w:val="324" w:hRule="exact"/>
        </w:trPr>
        <w:tc>
          <w:tcPr>
            <w:tcW w:w="659" w:type="dxa"/>
            <w:tcBorders>
              <w:top w:val="nil" w:sz="6" w:space="0" w:color="auto"/>
              <w:left w:val="nil" w:sz="6" w:space="0" w:color="auto"/>
              <w:bottom w:val="nil" w:sz="6" w:space="0" w:color="auto"/>
              <w:right w:val="nil" w:sz="6" w:space="0" w:color="auto"/>
            </w:tcBorders>
          </w:tcPr>
          <w:p>
            <w:pPr/>
          </w:p>
        </w:tc>
        <w:tc>
          <w:tcPr>
            <w:tcW w:w="4759" w:type="dxa"/>
            <w:tcBorders>
              <w:top w:val="nil" w:sz="6" w:space="0" w:color="auto"/>
              <w:left w:val="nil" w:sz="6" w:space="0" w:color="auto"/>
              <w:bottom w:val="single" w:sz="8" w:space="0" w:color="000000"/>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85"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256"/>
              <w:jc w:val="right"/>
              <w:rPr>
                <w:rFonts w:ascii="Times New Roman" w:hAnsi="Times New Roman" w:cs="Times New Roman" w:eastAsia="Times New Roman" w:hint="default"/>
                <w:sz w:val="18"/>
                <w:szCs w:val="18"/>
              </w:rPr>
            </w:pPr>
            <w:r>
              <w:rPr>
                <w:rFonts w:ascii="Times New Roman"/>
                <w:sz w:val="18"/>
              </w:rPr>
              <w:t>5,204,429</w:t>
            </w:r>
          </w:p>
        </w:tc>
        <w:tc>
          <w:tcPr>
            <w:tcW w:w="1383"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00"/>
              <w:jc w:val="right"/>
              <w:rPr>
                <w:rFonts w:ascii="Times New Roman" w:hAnsi="Times New Roman" w:cs="Times New Roman" w:eastAsia="Times New Roman" w:hint="default"/>
                <w:sz w:val="18"/>
                <w:szCs w:val="18"/>
              </w:rPr>
            </w:pPr>
            <w:r>
              <w:rPr>
                <w:rFonts w:ascii="Times New Roman"/>
                <w:sz w:val="18"/>
              </w:rPr>
              <w:t>3,185,975</w:t>
            </w:r>
          </w:p>
        </w:tc>
      </w:tr>
    </w:tbl>
    <w:p>
      <w:pPr>
        <w:spacing w:after="0" w:line="240" w:lineRule="auto"/>
        <w:jc w:val="right"/>
        <w:rPr>
          <w:rFonts w:ascii="Times New Roman" w:hAnsi="Times New Roman" w:cs="Times New Roman" w:eastAsia="Times New Roman" w:hint="default"/>
          <w:sz w:val="18"/>
          <w:szCs w:val="18"/>
        </w:rPr>
        <w:sectPr>
          <w:pgSz w:w="11900" w:h="16840"/>
          <w:pgMar w:header="883" w:footer="1003" w:top="1540" w:bottom="1200" w:left="1640" w:right="1580"/>
        </w:sectPr>
      </w:pPr>
    </w:p>
    <w:p>
      <w:pPr>
        <w:spacing w:line="240" w:lineRule="auto" w:before="8"/>
        <w:rPr>
          <w:rFonts w:ascii="Times New Roman" w:hAnsi="Times New Roman" w:cs="Times New Roman" w:eastAsia="Times New Roman" w:hint="default"/>
          <w:sz w:val="14"/>
          <w:szCs w:val="14"/>
        </w:rPr>
      </w:pPr>
      <w:r>
        <w:rPr/>
        <w:pict>
          <v:group style="position:absolute;margin-left:88.26001pt;margin-top:79.560020pt;width:419.05pt;height:390.55pt;mso-position-horizontal-relative:page;mso-position-vertical-relative:page;z-index:-974248" coordorigin="1765,1591" coordsize="8381,7811">
            <v:group style="position:absolute;left:1770;top:1596;width:8367;height:2" coordorigin="1770,1596" coordsize="8367,2">
              <v:shape style="position:absolute;left:1770;top:1596;width:8367;height:2" coordorigin="1770,1596" coordsize="8367,0" path="m1770,1596l10136,1596e" filled="false" stroked="true" strokeweight=".47998pt" strokecolor="#000000">
                <v:path arrowok="t"/>
              </v:shape>
            </v:group>
            <v:group style="position:absolute;left:2410;top:1610;width:4588;height:2" coordorigin="2410,1610" coordsize="4588,2">
              <v:shape style="position:absolute;left:2410;top:1610;width:4588;height:2" coordorigin="2410,1610" coordsize="4588,0" path="m2410,1610l6997,1610e" filled="false" stroked="true" strokeweight=".96002pt" strokecolor="#000000">
                <v:path arrowok="t"/>
              </v:shape>
            </v:group>
            <v:group style="position:absolute;left:6997;top:1610;width:1601;height:2" coordorigin="6997,1610" coordsize="1601,2">
              <v:shape style="position:absolute;left:6997;top:1610;width:1601;height:2" coordorigin="6997,1610" coordsize="1601,0" path="m6997,1610l8598,1610e" filled="false" stroked="true" strokeweight=".96002pt" strokecolor="#000000">
                <v:path arrowok="t"/>
              </v:shape>
            </v:group>
            <v:group style="position:absolute;left:8598;top:1610;width:1539;height:2" coordorigin="8598,1610" coordsize="1539,2">
              <v:shape style="position:absolute;left:8598;top:1610;width:1539;height:2" coordorigin="8598,1610" coordsize="1539,0" path="m8598,1610l10136,1610e" filled="false" stroked="true" strokeweight=".96002pt" strokecolor="#000000">
                <v:path arrowok="t"/>
              </v:shape>
              <v:shape style="position:absolute;left:2410;top:1620;width:7729;height:7782" type="#_x0000_t75" stroked="false">
                <v:imagedata r:id="rId184" o:title=""/>
              </v:shape>
            </v:group>
            <w10:wrap type="none"/>
          </v:group>
        </w:pict>
      </w:r>
      <w:r>
        <w:rPr/>
        <w:pict>
          <v:shape style="position:absolute;margin-left:120.480003pt;margin-top:572.039612pt;width:387.83991pt;height:183.06pt;mso-position-horizontal-relative:page;mso-position-vertical-relative:page;z-index:-974224" type="#_x0000_t75" stroked="false">
            <v:imagedata r:id="rId185" o:title=""/>
          </v:shape>
        </w:pict>
      </w:r>
    </w:p>
    <w:tbl>
      <w:tblPr>
        <w:tblW w:w="0" w:type="auto"/>
        <w:jc w:val="left"/>
        <w:tblInd w:w="110" w:type="dxa"/>
        <w:tblLayout w:type="fixed"/>
        <w:tblCellMar>
          <w:top w:w="0" w:type="dxa"/>
          <w:left w:w="0" w:type="dxa"/>
          <w:bottom w:w="0" w:type="dxa"/>
          <w:right w:w="0" w:type="dxa"/>
        </w:tblCellMar>
        <w:tblLook w:val="01E0"/>
      </w:tblPr>
      <w:tblGrid>
        <w:gridCol w:w="669"/>
        <w:gridCol w:w="4351"/>
        <w:gridCol w:w="1388"/>
        <w:gridCol w:w="773"/>
        <w:gridCol w:w="1241"/>
      </w:tblGrid>
      <w:tr>
        <w:trPr>
          <w:trHeight w:val="814" w:hRule="exact"/>
        </w:trPr>
        <w:tc>
          <w:tcPr>
            <w:tcW w:w="669" w:type="dxa"/>
            <w:vMerge w:val="restart"/>
            <w:tcBorders>
              <w:top w:val="nil" w:sz="6" w:space="0" w:color="auto"/>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26" w:right="0"/>
              <w:jc w:val="left"/>
              <w:rPr>
                <w:rFonts w:ascii="宋体" w:hAnsi="宋体" w:cs="宋体" w:eastAsia="宋体" w:hint="default"/>
                <w:sz w:val="18"/>
                <w:szCs w:val="18"/>
              </w:rPr>
            </w:pPr>
            <w:r>
              <w:rPr>
                <w:rFonts w:ascii="宋体" w:hAnsi="宋体" w:cs="宋体" w:eastAsia="宋体" w:hint="default"/>
                <w:sz w:val="18"/>
                <w:szCs w:val="18"/>
              </w:rPr>
              <w:t>项    目 </w:t>
            </w:r>
          </w:p>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672"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853" w:right="0"/>
              <w:jc w:val="left"/>
              <w:rPr>
                <w:rFonts w:ascii="Times New Roman" w:hAnsi="Times New Roman" w:cs="Times New Roman" w:eastAsia="Times New Roman" w:hint="default"/>
                <w:sz w:val="18"/>
                <w:szCs w:val="18"/>
              </w:rPr>
            </w:pPr>
            <w:r>
              <w:rPr>
                <w:rFonts w:ascii="Times New Roman"/>
                <w:sz w:val="18"/>
              </w:rPr>
              <w:t>-90,095,154</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1"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322" w:right="0"/>
              <w:jc w:val="left"/>
              <w:rPr>
                <w:rFonts w:ascii="Times New Roman" w:hAnsi="Times New Roman" w:cs="Times New Roman" w:eastAsia="Times New Roman" w:hint="default"/>
                <w:sz w:val="18"/>
                <w:szCs w:val="18"/>
              </w:rPr>
            </w:pPr>
            <w:r>
              <w:rPr>
                <w:rFonts w:ascii="Times New Roman"/>
                <w:sz w:val="18"/>
              </w:rPr>
              <w:t>-6,483,237</w:t>
            </w:r>
          </w:p>
        </w:tc>
      </w:tr>
      <w:tr>
        <w:trPr>
          <w:trHeight w:val="410" w:hRule="exact"/>
        </w:trPr>
        <w:tc>
          <w:tcPr>
            <w:tcW w:w="669" w:type="dxa"/>
            <w:vMerge/>
            <w:tcBorders>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98"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943" w:right="0"/>
              <w:jc w:val="left"/>
              <w:rPr>
                <w:rFonts w:ascii="Times New Roman" w:hAnsi="Times New Roman" w:cs="Times New Roman" w:eastAsia="Times New Roman" w:hint="default"/>
                <w:sz w:val="18"/>
                <w:szCs w:val="18"/>
              </w:rPr>
            </w:pPr>
            <w:r>
              <w:rPr>
                <w:rFonts w:ascii="Times New Roman"/>
                <w:sz w:val="18"/>
              </w:rPr>
              <w:t>-5,786,816</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7"/>
              <w:jc w:val="right"/>
              <w:rPr>
                <w:rFonts w:ascii="Times New Roman" w:hAnsi="Times New Roman" w:cs="Times New Roman" w:eastAsia="Times New Roman" w:hint="default"/>
                <w:sz w:val="18"/>
                <w:szCs w:val="18"/>
              </w:rPr>
            </w:pPr>
            <w:r>
              <w:rPr>
                <w:rFonts w:ascii="Times New Roman"/>
                <w:w w:val="95"/>
                <w:sz w:val="18"/>
              </w:rPr>
              <w:t>-9,357,032</w:t>
            </w:r>
            <w:r>
              <w:rPr>
                <w:rFonts w:ascii="Times New Roman"/>
                <w:sz w:val="18"/>
              </w:rPr>
            </w:r>
          </w:p>
        </w:tc>
      </w:tr>
      <w:tr>
        <w:trPr>
          <w:trHeight w:val="410" w:hRule="exact"/>
        </w:trPr>
        <w:tc>
          <w:tcPr>
            <w:tcW w:w="669" w:type="dxa"/>
            <w:vMerge/>
            <w:tcBorders>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98"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1229" w:right="0"/>
              <w:jc w:val="left"/>
              <w:rPr>
                <w:rFonts w:ascii="Times New Roman" w:hAnsi="Times New Roman" w:cs="Times New Roman" w:eastAsia="Times New Roman" w:hint="default"/>
                <w:sz w:val="18"/>
                <w:szCs w:val="18"/>
              </w:rPr>
            </w:pPr>
            <w:r>
              <w:rPr>
                <w:rFonts w:ascii="Times New Roman"/>
                <w:sz w:val="18"/>
              </w:rPr>
              <w:t>43,636</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6"/>
              <w:jc w:val="right"/>
              <w:rPr>
                <w:rFonts w:ascii="Times New Roman" w:hAnsi="Times New Roman" w:cs="Times New Roman" w:eastAsia="Times New Roman" w:hint="default"/>
                <w:sz w:val="18"/>
                <w:szCs w:val="18"/>
              </w:rPr>
            </w:pPr>
            <w:r>
              <w:rPr>
                <w:rFonts w:ascii="Times New Roman"/>
                <w:sz w:val="18"/>
              </w:rPr>
              <w:t>5,091,701</w:t>
            </w:r>
          </w:p>
        </w:tc>
      </w:tr>
      <w:tr>
        <w:trPr>
          <w:trHeight w:val="410" w:hRule="exact"/>
        </w:trPr>
        <w:tc>
          <w:tcPr>
            <w:tcW w:w="669" w:type="dxa"/>
            <w:vMerge/>
            <w:tcBorders>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98"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913" w:right="0"/>
              <w:jc w:val="left"/>
              <w:rPr>
                <w:rFonts w:ascii="Times New Roman" w:hAnsi="Times New Roman" w:cs="Times New Roman" w:eastAsia="Times New Roman" w:hint="default"/>
                <w:sz w:val="18"/>
                <w:szCs w:val="18"/>
              </w:rPr>
            </w:pPr>
            <w:r>
              <w:rPr>
                <w:rFonts w:ascii="Times New Roman"/>
                <w:sz w:val="18"/>
              </w:rPr>
              <w:t>32,237,133</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7"/>
              <w:jc w:val="right"/>
              <w:rPr>
                <w:rFonts w:ascii="Times New Roman" w:hAnsi="Times New Roman" w:cs="Times New Roman" w:eastAsia="Times New Roman" w:hint="default"/>
                <w:sz w:val="18"/>
                <w:szCs w:val="18"/>
              </w:rPr>
            </w:pPr>
            <w:r>
              <w:rPr>
                <w:rFonts w:ascii="Times New Roman"/>
                <w:sz w:val="18"/>
              </w:rPr>
              <w:t>2,878,086</w:t>
            </w:r>
          </w:p>
        </w:tc>
      </w:tr>
      <w:tr>
        <w:trPr>
          <w:trHeight w:val="410" w:hRule="exact"/>
        </w:trPr>
        <w:tc>
          <w:tcPr>
            <w:tcW w:w="669" w:type="dxa"/>
            <w:vMerge/>
            <w:tcBorders>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98"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763" w:right="0"/>
              <w:jc w:val="left"/>
              <w:rPr>
                <w:rFonts w:ascii="Times New Roman" w:hAnsi="Times New Roman" w:cs="Times New Roman" w:eastAsia="Times New Roman" w:hint="default"/>
                <w:sz w:val="18"/>
                <w:szCs w:val="18"/>
              </w:rPr>
            </w:pPr>
            <w:r>
              <w:rPr>
                <w:rFonts w:ascii="Times New Roman"/>
                <w:sz w:val="18"/>
              </w:rPr>
              <w:t>-210,458,328</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108,009,032</w:t>
            </w:r>
          </w:p>
        </w:tc>
      </w:tr>
      <w:tr>
        <w:trPr>
          <w:trHeight w:val="410" w:hRule="exact"/>
        </w:trPr>
        <w:tc>
          <w:tcPr>
            <w:tcW w:w="669" w:type="dxa"/>
            <w:vMerge/>
            <w:tcBorders>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98"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913" w:right="0"/>
              <w:jc w:val="left"/>
              <w:rPr>
                <w:rFonts w:ascii="Times New Roman" w:hAnsi="Times New Roman" w:cs="Times New Roman" w:eastAsia="Times New Roman" w:hint="default"/>
                <w:sz w:val="18"/>
                <w:szCs w:val="18"/>
              </w:rPr>
            </w:pPr>
            <w:r>
              <w:rPr>
                <w:rFonts w:ascii="Times New Roman"/>
                <w:sz w:val="18"/>
              </w:rPr>
              <w:t>76,360,065</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6"/>
              <w:jc w:val="right"/>
              <w:rPr>
                <w:rFonts w:ascii="Times New Roman" w:hAnsi="Times New Roman" w:cs="Times New Roman" w:eastAsia="Times New Roman" w:hint="default"/>
                <w:sz w:val="18"/>
                <w:szCs w:val="18"/>
              </w:rPr>
            </w:pPr>
            <w:r>
              <w:rPr>
                <w:rFonts w:ascii="Times New Roman"/>
                <w:sz w:val="18"/>
              </w:rPr>
              <w:t>277,815,741</w:t>
            </w:r>
          </w:p>
        </w:tc>
      </w:tr>
      <w:tr>
        <w:trPr>
          <w:trHeight w:val="400" w:hRule="exact"/>
        </w:trPr>
        <w:tc>
          <w:tcPr>
            <w:tcW w:w="669" w:type="dxa"/>
            <w:vMerge/>
            <w:tcBorders>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tabs>
                <w:tab w:pos="638" w:val="left" w:leader="none"/>
              </w:tabs>
              <w:spacing w:line="240" w:lineRule="auto" w:before="49"/>
              <w:ind w:left="98"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2161" w:type="dxa"/>
            <w:gridSpan w:val="2"/>
            <w:tcBorders>
              <w:top w:val="nil" w:sz="6" w:space="0" w:color="auto"/>
              <w:left w:val="nil" w:sz="6" w:space="0" w:color="auto"/>
              <w:bottom w:val="nil" w:sz="6" w:space="0" w:color="auto"/>
              <w:right w:val="nil" w:sz="6" w:space="0" w:color="auto"/>
            </w:tcBorders>
          </w:tcPr>
          <w:p>
            <w:pPr/>
          </w:p>
        </w:tc>
        <w:tc>
          <w:tcPr>
            <w:tcW w:w="1241" w:type="dxa"/>
            <w:tcBorders>
              <w:top w:val="nil" w:sz="6" w:space="0" w:color="auto"/>
              <w:left w:val="nil" w:sz="6" w:space="0" w:color="auto"/>
              <w:bottom w:val="nil" w:sz="6" w:space="0" w:color="auto"/>
              <w:right w:val="nil" w:sz="6" w:space="0" w:color="auto"/>
            </w:tcBorders>
          </w:tcPr>
          <w:p>
            <w:pPr/>
          </w:p>
        </w:tc>
      </w:tr>
      <w:tr>
        <w:trPr>
          <w:trHeight w:val="420" w:hRule="exact"/>
        </w:trPr>
        <w:tc>
          <w:tcPr>
            <w:tcW w:w="669" w:type="dxa"/>
            <w:vMerge/>
            <w:tcBorders>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98"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1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1"/>
              <w:ind w:left="823" w:right="0"/>
              <w:jc w:val="left"/>
              <w:rPr>
                <w:rFonts w:ascii="Times New Roman" w:hAnsi="Times New Roman" w:cs="Times New Roman" w:eastAsia="Times New Roman" w:hint="default"/>
                <w:sz w:val="18"/>
                <w:szCs w:val="18"/>
              </w:rPr>
            </w:pPr>
            <w:r>
              <w:rPr>
                <w:rFonts w:ascii="Times New Roman"/>
                <w:sz w:val="18"/>
              </w:rPr>
              <w:t>396,681,922</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36"/>
              <w:jc w:val="right"/>
              <w:rPr>
                <w:rFonts w:ascii="Times New Roman" w:hAnsi="Times New Roman" w:cs="Times New Roman" w:eastAsia="Times New Roman" w:hint="default"/>
                <w:sz w:val="18"/>
                <w:szCs w:val="18"/>
              </w:rPr>
            </w:pPr>
            <w:r>
              <w:rPr>
                <w:rFonts w:ascii="Times New Roman"/>
                <w:sz w:val="18"/>
              </w:rPr>
              <w:t>829,667,646</w:t>
            </w:r>
          </w:p>
        </w:tc>
      </w:tr>
      <w:tr>
        <w:trPr>
          <w:trHeight w:val="405" w:hRule="exact"/>
        </w:trPr>
        <w:tc>
          <w:tcPr>
            <w:tcW w:w="669" w:type="dxa"/>
            <w:vMerge/>
            <w:tcBorders>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2161" w:type="dxa"/>
            <w:gridSpan w:val="2"/>
            <w:tcBorders>
              <w:top w:val="nil" w:sz="6" w:space="0" w:color="auto"/>
              <w:left w:val="nil" w:sz="6" w:space="0" w:color="auto"/>
              <w:bottom w:val="nil" w:sz="6" w:space="0" w:color="auto"/>
              <w:right w:val="nil" w:sz="6" w:space="0" w:color="auto"/>
            </w:tcBorders>
          </w:tcPr>
          <w:p>
            <w:pPr/>
          </w:p>
        </w:tc>
        <w:tc>
          <w:tcPr>
            <w:tcW w:w="1241" w:type="dxa"/>
            <w:tcBorders>
              <w:top w:val="nil" w:sz="6" w:space="0" w:color="auto"/>
              <w:left w:val="nil" w:sz="6" w:space="0" w:color="auto"/>
              <w:bottom w:val="nil" w:sz="6" w:space="0" w:color="auto"/>
              <w:right w:val="nil" w:sz="6" w:space="0" w:color="auto"/>
            </w:tcBorders>
          </w:tcPr>
          <w:p>
            <w:pPr/>
          </w:p>
        </w:tc>
      </w:tr>
      <w:tr>
        <w:trPr>
          <w:trHeight w:val="405" w:hRule="exact"/>
        </w:trPr>
        <w:tc>
          <w:tcPr>
            <w:tcW w:w="669" w:type="dxa"/>
            <w:vMerge/>
            <w:tcBorders>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98"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2161" w:type="dxa"/>
            <w:gridSpan w:val="2"/>
            <w:tcBorders>
              <w:top w:val="nil" w:sz="6" w:space="0" w:color="auto"/>
              <w:left w:val="nil" w:sz="6" w:space="0" w:color="auto"/>
              <w:bottom w:val="nil" w:sz="6" w:space="0" w:color="auto"/>
              <w:right w:val="nil" w:sz="6" w:space="0" w:color="auto"/>
            </w:tcBorders>
          </w:tcPr>
          <w:p>
            <w:pPr/>
          </w:p>
        </w:tc>
        <w:tc>
          <w:tcPr>
            <w:tcW w:w="1241" w:type="dxa"/>
            <w:tcBorders>
              <w:top w:val="nil" w:sz="6" w:space="0" w:color="auto"/>
              <w:left w:val="nil" w:sz="6" w:space="0" w:color="auto"/>
              <w:bottom w:val="nil" w:sz="6" w:space="0" w:color="auto"/>
              <w:right w:val="nil" w:sz="6" w:space="0" w:color="auto"/>
            </w:tcBorders>
          </w:tcPr>
          <w:p>
            <w:pPr/>
          </w:p>
        </w:tc>
      </w:tr>
      <w:tr>
        <w:trPr>
          <w:trHeight w:val="410" w:hRule="exact"/>
        </w:trPr>
        <w:tc>
          <w:tcPr>
            <w:tcW w:w="669" w:type="dxa"/>
            <w:vMerge/>
            <w:tcBorders>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98"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2161" w:type="dxa"/>
            <w:gridSpan w:val="2"/>
            <w:tcBorders>
              <w:top w:val="nil" w:sz="6" w:space="0" w:color="auto"/>
              <w:left w:val="nil" w:sz="6" w:space="0" w:color="auto"/>
              <w:bottom w:val="nil" w:sz="6" w:space="0" w:color="auto"/>
              <w:right w:val="nil" w:sz="6" w:space="0" w:color="auto"/>
            </w:tcBorders>
          </w:tcPr>
          <w:p>
            <w:pPr/>
          </w:p>
        </w:tc>
        <w:tc>
          <w:tcPr>
            <w:tcW w:w="1241" w:type="dxa"/>
            <w:tcBorders>
              <w:top w:val="nil" w:sz="6" w:space="0" w:color="auto"/>
              <w:left w:val="nil" w:sz="6" w:space="0" w:color="auto"/>
              <w:bottom w:val="nil" w:sz="6" w:space="0" w:color="auto"/>
              <w:right w:val="nil" w:sz="6" w:space="0" w:color="auto"/>
            </w:tcBorders>
          </w:tcPr>
          <w:p>
            <w:pPr/>
          </w:p>
        </w:tc>
      </w:tr>
      <w:tr>
        <w:trPr>
          <w:trHeight w:val="410" w:hRule="exact"/>
        </w:trPr>
        <w:tc>
          <w:tcPr>
            <w:tcW w:w="669" w:type="dxa"/>
            <w:vMerge/>
            <w:tcBorders>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98"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2161" w:type="dxa"/>
            <w:gridSpan w:val="2"/>
            <w:tcBorders>
              <w:top w:val="nil" w:sz="6" w:space="0" w:color="auto"/>
              <w:left w:val="nil" w:sz="6" w:space="0" w:color="auto"/>
              <w:bottom w:val="nil" w:sz="6" w:space="0" w:color="auto"/>
              <w:right w:val="nil" w:sz="6" w:space="0" w:color="auto"/>
            </w:tcBorders>
          </w:tcPr>
          <w:p>
            <w:pPr/>
          </w:p>
        </w:tc>
        <w:tc>
          <w:tcPr>
            <w:tcW w:w="1241" w:type="dxa"/>
            <w:tcBorders>
              <w:top w:val="nil" w:sz="6" w:space="0" w:color="auto"/>
              <w:left w:val="nil" w:sz="6" w:space="0" w:color="auto"/>
              <w:bottom w:val="nil" w:sz="6" w:space="0" w:color="auto"/>
              <w:right w:val="nil" w:sz="6" w:space="0" w:color="auto"/>
            </w:tcBorders>
          </w:tcPr>
          <w:p>
            <w:pPr/>
          </w:p>
        </w:tc>
      </w:tr>
      <w:tr>
        <w:trPr>
          <w:trHeight w:val="415" w:hRule="exact"/>
        </w:trPr>
        <w:tc>
          <w:tcPr>
            <w:tcW w:w="669" w:type="dxa"/>
            <w:vMerge/>
            <w:tcBorders>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2161" w:type="dxa"/>
            <w:gridSpan w:val="2"/>
            <w:tcBorders>
              <w:top w:val="nil" w:sz="6" w:space="0" w:color="auto"/>
              <w:left w:val="nil" w:sz="6" w:space="0" w:color="auto"/>
              <w:bottom w:val="nil" w:sz="6" w:space="0" w:color="auto"/>
              <w:right w:val="nil" w:sz="6" w:space="0" w:color="auto"/>
            </w:tcBorders>
          </w:tcPr>
          <w:p>
            <w:pPr/>
          </w:p>
        </w:tc>
        <w:tc>
          <w:tcPr>
            <w:tcW w:w="1241" w:type="dxa"/>
            <w:tcBorders>
              <w:top w:val="nil" w:sz="6" w:space="0" w:color="auto"/>
              <w:left w:val="nil" w:sz="6" w:space="0" w:color="auto"/>
              <w:bottom w:val="nil" w:sz="6" w:space="0" w:color="auto"/>
              <w:right w:val="nil" w:sz="6" w:space="0" w:color="auto"/>
            </w:tcBorders>
          </w:tcPr>
          <w:p>
            <w:pPr/>
          </w:p>
        </w:tc>
      </w:tr>
      <w:tr>
        <w:trPr>
          <w:trHeight w:val="415" w:hRule="exact"/>
        </w:trPr>
        <w:tc>
          <w:tcPr>
            <w:tcW w:w="669" w:type="dxa"/>
            <w:vMerge/>
            <w:tcBorders>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98" w:right="0"/>
              <w:jc w:val="left"/>
              <w:rPr>
                <w:rFonts w:ascii="宋体" w:hAnsi="宋体" w:cs="宋体" w:eastAsia="宋体" w:hint="default"/>
                <w:sz w:val="18"/>
                <w:szCs w:val="18"/>
              </w:rPr>
            </w:pPr>
            <w:r>
              <w:rPr>
                <w:rFonts w:ascii="宋体" w:hAnsi="宋体" w:cs="宋体" w:eastAsia="宋体" w:hint="default"/>
                <w:sz w:val="18"/>
                <w:szCs w:val="18"/>
              </w:rPr>
              <w:t>现金的期末金额</w:t>
            </w:r>
          </w:p>
        </w:tc>
        <w:tc>
          <w:tcPr>
            <w:tcW w:w="21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6"/>
              <w:ind w:left="823" w:right="0"/>
              <w:jc w:val="left"/>
              <w:rPr>
                <w:rFonts w:ascii="Times New Roman" w:hAnsi="Times New Roman" w:cs="Times New Roman" w:eastAsia="Times New Roman" w:hint="default"/>
                <w:sz w:val="18"/>
                <w:szCs w:val="18"/>
              </w:rPr>
            </w:pPr>
            <w:r>
              <w:rPr>
                <w:rFonts w:ascii="Times New Roman"/>
                <w:sz w:val="18"/>
              </w:rPr>
              <w:t>992,075,818</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36"/>
              <w:jc w:val="right"/>
              <w:rPr>
                <w:rFonts w:ascii="Times New Roman" w:hAnsi="Times New Roman" w:cs="Times New Roman" w:eastAsia="Times New Roman" w:hint="default"/>
                <w:sz w:val="18"/>
                <w:szCs w:val="18"/>
              </w:rPr>
            </w:pPr>
            <w:r>
              <w:rPr>
                <w:rFonts w:ascii="Times New Roman"/>
                <w:sz w:val="18"/>
              </w:rPr>
              <w:t>817,531,416</w:t>
            </w:r>
          </w:p>
        </w:tc>
      </w:tr>
      <w:tr>
        <w:trPr>
          <w:trHeight w:val="410" w:hRule="exact"/>
        </w:trPr>
        <w:tc>
          <w:tcPr>
            <w:tcW w:w="669" w:type="dxa"/>
            <w:vMerge/>
            <w:tcBorders>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98" w:right="0"/>
              <w:jc w:val="left"/>
              <w:rPr>
                <w:rFonts w:ascii="宋体" w:hAnsi="宋体" w:cs="宋体" w:eastAsia="宋体" w:hint="default"/>
                <w:sz w:val="18"/>
                <w:szCs w:val="18"/>
              </w:rPr>
            </w:pPr>
            <w:r>
              <w:rPr>
                <w:rFonts w:ascii="宋体" w:hAnsi="宋体" w:cs="宋体" w:eastAsia="宋体" w:hint="default"/>
                <w:sz w:val="18"/>
                <w:szCs w:val="18"/>
              </w:rPr>
              <w:t>减：现金的期初金额</w:t>
            </w:r>
          </w:p>
        </w:tc>
        <w:tc>
          <w:tcPr>
            <w:tcW w:w="21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823" w:right="0"/>
              <w:jc w:val="left"/>
              <w:rPr>
                <w:rFonts w:ascii="Times New Roman" w:hAnsi="Times New Roman" w:cs="Times New Roman" w:eastAsia="Times New Roman" w:hint="default"/>
                <w:sz w:val="18"/>
                <w:szCs w:val="18"/>
              </w:rPr>
            </w:pPr>
            <w:r>
              <w:rPr>
                <w:rFonts w:ascii="Times New Roman"/>
                <w:sz w:val="18"/>
              </w:rPr>
              <w:t>817,531,416</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6"/>
              <w:jc w:val="right"/>
              <w:rPr>
                <w:rFonts w:ascii="Times New Roman" w:hAnsi="Times New Roman" w:cs="Times New Roman" w:eastAsia="Times New Roman" w:hint="default"/>
                <w:sz w:val="18"/>
                <w:szCs w:val="18"/>
              </w:rPr>
            </w:pPr>
            <w:r>
              <w:rPr>
                <w:rFonts w:ascii="Times New Roman"/>
                <w:sz w:val="18"/>
              </w:rPr>
              <w:t>610,584,608</w:t>
            </w:r>
          </w:p>
        </w:tc>
      </w:tr>
      <w:tr>
        <w:trPr>
          <w:trHeight w:val="400" w:hRule="exact"/>
        </w:trPr>
        <w:tc>
          <w:tcPr>
            <w:tcW w:w="669" w:type="dxa"/>
            <w:vMerge/>
            <w:tcBorders>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98" w:right="0"/>
              <w:jc w:val="left"/>
              <w:rPr>
                <w:rFonts w:ascii="宋体" w:hAnsi="宋体" w:cs="宋体" w:eastAsia="宋体" w:hint="default"/>
                <w:sz w:val="18"/>
                <w:szCs w:val="18"/>
              </w:rPr>
            </w:pPr>
            <w:r>
              <w:rPr>
                <w:rFonts w:ascii="宋体" w:hAnsi="宋体" w:cs="宋体" w:eastAsia="宋体" w:hint="default"/>
                <w:sz w:val="18"/>
                <w:szCs w:val="18"/>
              </w:rPr>
              <w:t>加：现金等价物的期末金额</w:t>
            </w:r>
          </w:p>
        </w:tc>
        <w:tc>
          <w:tcPr>
            <w:tcW w:w="2161" w:type="dxa"/>
            <w:gridSpan w:val="2"/>
            <w:tcBorders>
              <w:top w:val="nil" w:sz="6" w:space="0" w:color="auto"/>
              <w:left w:val="nil" w:sz="6" w:space="0" w:color="auto"/>
              <w:bottom w:val="nil" w:sz="6" w:space="0" w:color="auto"/>
              <w:right w:val="nil" w:sz="6" w:space="0" w:color="auto"/>
            </w:tcBorders>
          </w:tcPr>
          <w:p>
            <w:pPr/>
          </w:p>
        </w:tc>
        <w:tc>
          <w:tcPr>
            <w:tcW w:w="1241" w:type="dxa"/>
            <w:tcBorders>
              <w:top w:val="nil" w:sz="6" w:space="0" w:color="auto"/>
              <w:left w:val="nil" w:sz="6" w:space="0" w:color="auto"/>
              <w:bottom w:val="nil" w:sz="6" w:space="0" w:color="auto"/>
              <w:right w:val="nil" w:sz="6" w:space="0" w:color="auto"/>
            </w:tcBorders>
          </w:tcPr>
          <w:p>
            <w:pPr/>
          </w:p>
        </w:tc>
      </w:tr>
      <w:tr>
        <w:trPr>
          <w:trHeight w:val="410" w:hRule="exact"/>
        </w:trPr>
        <w:tc>
          <w:tcPr>
            <w:tcW w:w="669" w:type="dxa"/>
            <w:vMerge/>
            <w:tcBorders>
              <w:left w:val="nil" w:sz="6" w:space="0" w:color="auto"/>
              <w:right w:val="nil" w:sz="6" w:space="0" w:color="auto"/>
            </w:tcBorders>
          </w:tcPr>
          <w:p>
            <w:pPr/>
          </w:p>
        </w:tc>
        <w:tc>
          <w:tcPr>
            <w:tcW w:w="435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98" w:right="0"/>
              <w:jc w:val="left"/>
              <w:rPr>
                <w:rFonts w:ascii="宋体" w:hAnsi="宋体" w:cs="宋体" w:eastAsia="宋体" w:hint="default"/>
                <w:sz w:val="18"/>
                <w:szCs w:val="18"/>
              </w:rPr>
            </w:pPr>
            <w:r>
              <w:rPr>
                <w:rFonts w:ascii="宋体" w:hAnsi="宋体" w:cs="宋体" w:eastAsia="宋体" w:hint="default"/>
                <w:sz w:val="18"/>
                <w:szCs w:val="18"/>
              </w:rPr>
              <w:t>减：现金等价物的期初金额</w:t>
            </w:r>
          </w:p>
        </w:tc>
        <w:tc>
          <w:tcPr>
            <w:tcW w:w="2161" w:type="dxa"/>
            <w:gridSpan w:val="2"/>
            <w:tcBorders>
              <w:top w:val="nil" w:sz="6" w:space="0" w:color="auto"/>
              <w:left w:val="nil" w:sz="6" w:space="0" w:color="auto"/>
              <w:bottom w:val="nil" w:sz="6" w:space="0" w:color="auto"/>
              <w:right w:val="nil" w:sz="6" w:space="0" w:color="auto"/>
            </w:tcBorders>
          </w:tcPr>
          <w:p>
            <w:pPr/>
          </w:p>
        </w:tc>
        <w:tc>
          <w:tcPr>
            <w:tcW w:w="1241" w:type="dxa"/>
            <w:tcBorders>
              <w:top w:val="nil" w:sz="6" w:space="0" w:color="auto"/>
              <w:left w:val="nil" w:sz="6" w:space="0" w:color="auto"/>
              <w:bottom w:val="nil" w:sz="6" w:space="0" w:color="auto"/>
              <w:right w:val="nil" w:sz="6" w:space="0" w:color="auto"/>
            </w:tcBorders>
          </w:tcPr>
          <w:p>
            <w:pPr/>
          </w:p>
        </w:tc>
      </w:tr>
      <w:tr>
        <w:trPr>
          <w:trHeight w:val="333" w:hRule="exact"/>
        </w:trPr>
        <w:tc>
          <w:tcPr>
            <w:tcW w:w="669" w:type="dxa"/>
            <w:vMerge/>
            <w:tcBorders>
              <w:left w:val="nil" w:sz="6" w:space="0" w:color="auto"/>
              <w:bottom w:val="nil" w:sz="6" w:space="0" w:color="auto"/>
              <w:right w:val="nil" w:sz="6" w:space="0" w:color="auto"/>
            </w:tcBorders>
          </w:tcPr>
          <w:p>
            <w:pPr/>
          </w:p>
        </w:tc>
        <w:tc>
          <w:tcPr>
            <w:tcW w:w="4351" w:type="dxa"/>
            <w:tcBorders>
              <w:top w:val="nil" w:sz="6" w:space="0" w:color="auto"/>
              <w:left w:val="nil" w:sz="6" w:space="0" w:color="auto"/>
              <w:bottom w:val="single" w:sz="8" w:space="0" w:color="000000"/>
              <w:right w:val="nil" w:sz="6" w:space="0" w:color="auto"/>
            </w:tcBorders>
          </w:tcPr>
          <w:p>
            <w:pPr>
              <w:pStyle w:val="TableParagraph"/>
              <w:spacing w:line="240" w:lineRule="auto" w:before="59"/>
              <w:ind w:left="98"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161" w:type="dxa"/>
            <w:gridSpan w:val="2"/>
            <w:tcBorders>
              <w:top w:val="nil" w:sz="6" w:space="0" w:color="auto"/>
              <w:left w:val="nil" w:sz="6" w:space="0" w:color="auto"/>
              <w:bottom w:val="single" w:sz="8" w:space="0" w:color="000000"/>
              <w:right w:val="nil" w:sz="6" w:space="0" w:color="auto"/>
            </w:tcBorders>
          </w:tcPr>
          <w:p>
            <w:pPr>
              <w:pStyle w:val="TableParagraph"/>
              <w:spacing w:line="240" w:lineRule="auto" w:before="111"/>
              <w:ind w:left="823" w:right="0"/>
              <w:jc w:val="left"/>
              <w:rPr>
                <w:rFonts w:ascii="Times New Roman" w:hAnsi="Times New Roman" w:cs="Times New Roman" w:eastAsia="Times New Roman" w:hint="default"/>
                <w:sz w:val="18"/>
                <w:szCs w:val="18"/>
              </w:rPr>
            </w:pPr>
            <w:r>
              <w:rPr>
                <w:rFonts w:ascii="Times New Roman"/>
                <w:sz w:val="18"/>
              </w:rPr>
              <w:t>174,544,402</w:t>
            </w:r>
          </w:p>
        </w:tc>
        <w:tc>
          <w:tcPr>
            <w:tcW w:w="1241" w:type="dxa"/>
            <w:tcBorders>
              <w:top w:val="nil" w:sz="6" w:space="0" w:color="auto"/>
              <w:left w:val="nil" w:sz="6" w:space="0" w:color="auto"/>
              <w:bottom w:val="single" w:sz="8" w:space="0" w:color="000000"/>
              <w:right w:val="nil" w:sz="6" w:space="0" w:color="auto"/>
            </w:tcBorders>
          </w:tcPr>
          <w:p>
            <w:pPr>
              <w:pStyle w:val="TableParagraph"/>
              <w:spacing w:line="240" w:lineRule="auto" w:before="111"/>
              <w:ind w:right="136"/>
              <w:jc w:val="right"/>
              <w:rPr>
                <w:rFonts w:ascii="Times New Roman" w:hAnsi="Times New Roman" w:cs="Times New Roman" w:eastAsia="Times New Roman" w:hint="default"/>
                <w:sz w:val="18"/>
                <w:szCs w:val="18"/>
              </w:rPr>
            </w:pPr>
            <w:r>
              <w:rPr>
                <w:rFonts w:ascii="Times New Roman"/>
                <w:sz w:val="18"/>
              </w:rPr>
              <w:t>206,946,808</w:t>
            </w:r>
          </w:p>
        </w:tc>
      </w:tr>
      <w:tr>
        <w:trPr>
          <w:trHeight w:val="1473" w:hRule="exact"/>
        </w:trPr>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十四、</w:t>
            </w:r>
          </w:p>
        </w:tc>
        <w:tc>
          <w:tcPr>
            <w:tcW w:w="4351" w:type="dxa"/>
            <w:tcBorders>
              <w:top w:val="single" w:sz="8" w:space="0" w:color="000000"/>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94" w:right="0"/>
              <w:jc w:val="left"/>
              <w:rPr>
                <w:rFonts w:ascii="宋体" w:hAnsi="宋体" w:cs="宋体" w:eastAsia="宋体" w:hint="default"/>
                <w:sz w:val="21"/>
                <w:szCs w:val="21"/>
              </w:rPr>
            </w:pPr>
            <w:r>
              <w:rPr>
                <w:rFonts w:ascii="宋体" w:hAnsi="宋体" w:cs="宋体" w:eastAsia="宋体" w:hint="default"/>
                <w:sz w:val="21"/>
                <w:szCs w:val="21"/>
              </w:rPr>
              <w:t>补充资料</w:t>
            </w:r>
          </w:p>
        </w:tc>
        <w:tc>
          <w:tcPr>
            <w:tcW w:w="2161" w:type="dxa"/>
            <w:gridSpan w:val="2"/>
            <w:tcBorders>
              <w:top w:val="single" w:sz="8" w:space="0" w:color="000000"/>
              <w:left w:val="nil" w:sz="6" w:space="0" w:color="auto"/>
              <w:bottom w:val="nil" w:sz="6" w:space="0" w:color="auto"/>
              <w:right w:val="nil" w:sz="6" w:space="0" w:color="auto"/>
            </w:tcBorders>
          </w:tcPr>
          <w:p>
            <w:pPr/>
          </w:p>
        </w:tc>
        <w:tc>
          <w:tcPr>
            <w:tcW w:w="1241" w:type="dxa"/>
            <w:tcBorders>
              <w:top w:val="single" w:sz="8" w:space="0" w:color="000000"/>
              <w:left w:val="nil" w:sz="6" w:space="0" w:color="auto"/>
              <w:bottom w:val="nil" w:sz="6" w:space="0" w:color="auto"/>
              <w:right w:val="nil" w:sz="6" w:space="0" w:color="auto"/>
            </w:tcBorders>
          </w:tcPr>
          <w:p>
            <w:pPr/>
          </w:p>
        </w:tc>
      </w:tr>
      <w:tr>
        <w:trPr>
          <w:trHeight w:val="547" w:hRule="exact"/>
        </w:trPr>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sz w:val="21"/>
                <w:szCs w:val="21"/>
              </w:rPr>
              <w:t>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4351" w:type="dxa"/>
            <w:tcBorders>
              <w:top w:val="nil" w:sz="6" w:space="0" w:color="auto"/>
              <w:left w:val="nil" w:sz="6" w:space="0" w:color="auto"/>
              <w:bottom w:val="single" w:sz="8"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left="94" w:right="0"/>
              <w:jc w:val="left"/>
              <w:rPr>
                <w:rFonts w:ascii="宋体" w:hAnsi="宋体" w:cs="宋体" w:eastAsia="宋体" w:hint="default"/>
                <w:sz w:val="21"/>
                <w:szCs w:val="21"/>
              </w:rPr>
            </w:pPr>
            <w:r>
              <w:rPr>
                <w:rFonts w:ascii="宋体" w:hAnsi="宋体" w:cs="宋体" w:eastAsia="宋体" w:hint="default"/>
                <w:sz w:val="21"/>
                <w:szCs w:val="21"/>
              </w:rPr>
              <w:t>当期非经常性损益明细表</w:t>
            </w:r>
          </w:p>
        </w:tc>
        <w:tc>
          <w:tcPr>
            <w:tcW w:w="2161" w:type="dxa"/>
            <w:gridSpan w:val="2"/>
            <w:tcBorders>
              <w:top w:val="nil" w:sz="6" w:space="0" w:color="auto"/>
              <w:left w:val="nil" w:sz="6" w:space="0" w:color="auto"/>
              <w:bottom w:val="single" w:sz="8" w:space="0" w:color="000000"/>
              <w:right w:val="nil" w:sz="6" w:space="0" w:color="auto"/>
            </w:tcBorders>
          </w:tcPr>
          <w:p>
            <w:pPr/>
          </w:p>
        </w:tc>
        <w:tc>
          <w:tcPr>
            <w:tcW w:w="1241" w:type="dxa"/>
            <w:tcBorders>
              <w:top w:val="nil" w:sz="6" w:space="0" w:color="auto"/>
              <w:left w:val="nil" w:sz="6" w:space="0" w:color="auto"/>
              <w:bottom w:val="single" w:sz="8" w:space="0" w:color="000000"/>
              <w:right w:val="nil" w:sz="6" w:space="0" w:color="auto"/>
            </w:tcBorders>
          </w:tcPr>
          <w:p>
            <w:pPr/>
          </w:p>
        </w:tc>
      </w:tr>
      <w:tr>
        <w:trPr>
          <w:trHeight w:val="498" w:hRule="exact"/>
        </w:trPr>
        <w:tc>
          <w:tcPr>
            <w:tcW w:w="669" w:type="dxa"/>
            <w:tcBorders>
              <w:top w:val="nil" w:sz="6" w:space="0" w:color="auto"/>
              <w:left w:val="nil" w:sz="6" w:space="0" w:color="auto"/>
              <w:bottom w:val="nil" w:sz="6" w:space="0" w:color="auto"/>
              <w:right w:val="nil" w:sz="6" w:space="0" w:color="auto"/>
            </w:tcBorders>
          </w:tcPr>
          <w:p>
            <w:pPr/>
          </w:p>
        </w:tc>
        <w:tc>
          <w:tcPr>
            <w:tcW w:w="4351"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left="2482" w:right="0"/>
              <w:jc w:val="left"/>
              <w:rPr>
                <w:rFonts w:ascii="宋体" w:hAnsi="宋体" w:cs="宋体" w:eastAsia="宋体" w:hint="default"/>
                <w:sz w:val="18"/>
                <w:szCs w:val="18"/>
              </w:rPr>
            </w:pPr>
            <w:r>
              <w:rPr>
                <w:rFonts w:ascii="宋体" w:hAnsi="宋体" w:cs="宋体" w:eastAsia="宋体" w:hint="default"/>
                <w:sz w:val="18"/>
                <w:szCs w:val="18"/>
              </w:rPr>
              <w:t>项    目 </w:t>
            </w:r>
          </w:p>
        </w:tc>
        <w:tc>
          <w:tcPr>
            <w:tcW w:w="2161" w:type="dxa"/>
            <w:gridSpan w:val="2"/>
            <w:tcBorders>
              <w:top w:val="single" w:sz="8" w:space="0" w:color="000000"/>
              <w:left w:val="nil" w:sz="6" w:space="0" w:color="auto"/>
              <w:bottom w:val="nil" w:sz="6" w:space="0" w:color="auto"/>
              <w:right w:val="nil" w:sz="6" w:space="0" w:color="auto"/>
            </w:tcBorders>
          </w:tcPr>
          <w:p>
            <w:pPr>
              <w:pStyle w:val="TableParagraph"/>
              <w:spacing w:line="240" w:lineRule="auto" w:before="137"/>
              <w:ind w:right="79"/>
              <w:jc w:val="right"/>
              <w:rPr>
                <w:rFonts w:ascii="宋体" w:hAnsi="宋体" w:cs="宋体" w:eastAsia="宋体" w:hint="default"/>
                <w:sz w:val="18"/>
                <w:szCs w:val="18"/>
              </w:rPr>
            </w:pPr>
            <w:r>
              <w:rPr>
                <w:rFonts w:ascii="宋体" w:hAnsi="宋体" w:cs="宋体" w:eastAsia="宋体" w:hint="default"/>
                <w:sz w:val="18"/>
                <w:szCs w:val="18"/>
              </w:rPr>
              <w:t>金额</w:t>
            </w:r>
          </w:p>
        </w:tc>
        <w:tc>
          <w:tcPr>
            <w:tcW w:w="1241" w:type="dxa"/>
            <w:tcBorders>
              <w:top w:val="single" w:sz="8" w:space="0" w:color="000000"/>
              <w:left w:val="nil" w:sz="6" w:space="0" w:color="auto"/>
              <w:bottom w:val="nil" w:sz="6" w:space="0" w:color="auto"/>
              <w:right w:val="nil" w:sz="6" w:space="0" w:color="auto"/>
            </w:tcBorders>
          </w:tcPr>
          <w:p>
            <w:pPr>
              <w:pStyle w:val="TableParagraph"/>
              <w:spacing w:line="240" w:lineRule="auto" w:before="137"/>
              <w:ind w:left="587" w:right="0"/>
              <w:jc w:val="left"/>
              <w:rPr>
                <w:rFonts w:ascii="宋体" w:hAnsi="宋体" w:cs="宋体" w:eastAsia="宋体" w:hint="default"/>
                <w:sz w:val="18"/>
                <w:szCs w:val="18"/>
              </w:rPr>
            </w:pPr>
            <w:r>
              <w:rPr>
                <w:rFonts w:ascii="宋体" w:hAnsi="宋体" w:cs="宋体" w:eastAsia="宋体" w:hint="default"/>
                <w:sz w:val="18"/>
                <w:szCs w:val="18"/>
              </w:rPr>
              <w:t>说明</w:t>
            </w:r>
          </w:p>
        </w:tc>
      </w:tr>
      <w:tr>
        <w:trPr>
          <w:trHeight w:val="419" w:hRule="exact"/>
        </w:trPr>
        <w:tc>
          <w:tcPr>
            <w:tcW w:w="640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9"/>
              <w:ind w:left="767"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201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1"/>
              <w:ind w:left="178" w:right="0"/>
              <w:jc w:val="left"/>
              <w:rPr>
                <w:rFonts w:ascii="Times New Roman" w:hAnsi="Times New Roman" w:cs="Times New Roman" w:eastAsia="Times New Roman" w:hint="default"/>
                <w:sz w:val="18"/>
                <w:szCs w:val="18"/>
              </w:rPr>
            </w:pPr>
            <w:r>
              <w:rPr>
                <w:rFonts w:ascii="Times New Roman"/>
                <w:sz w:val="18"/>
              </w:rPr>
              <w:t>-7,903,766</w:t>
            </w:r>
          </w:p>
        </w:tc>
      </w:tr>
      <w:tr>
        <w:trPr>
          <w:trHeight w:val="400" w:hRule="exact"/>
        </w:trPr>
        <w:tc>
          <w:tcPr>
            <w:tcW w:w="640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49"/>
              <w:ind w:left="767"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2014" w:type="dxa"/>
            <w:gridSpan w:val="2"/>
            <w:tcBorders>
              <w:top w:val="nil" w:sz="6" w:space="0" w:color="auto"/>
              <w:left w:val="nil" w:sz="6" w:space="0" w:color="auto"/>
              <w:bottom w:val="nil" w:sz="6" w:space="0" w:color="auto"/>
              <w:right w:val="nil" w:sz="6" w:space="0" w:color="auto"/>
            </w:tcBorders>
          </w:tcPr>
          <w:p>
            <w:pPr/>
          </w:p>
        </w:tc>
      </w:tr>
      <w:tr>
        <w:trPr>
          <w:trHeight w:val="315" w:hRule="exact"/>
        </w:trPr>
        <w:tc>
          <w:tcPr>
            <w:tcW w:w="640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9"/>
              <w:ind w:left="767" w:right="0"/>
              <w:jc w:val="left"/>
              <w:rPr>
                <w:rFonts w:ascii="宋体" w:hAnsi="宋体" w:cs="宋体" w:eastAsia="宋体" w:hint="default"/>
                <w:sz w:val="18"/>
                <w:szCs w:val="18"/>
              </w:rPr>
            </w:pPr>
            <w:r>
              <w:rPr>
                <w:rFonts w:ascii="宋体" w:hAnsi="宋体" w:cs="宋体" w:eastAsia="宋体" w:hint="default"/>
                <w:spacing w:val="2"/>
                <w:sz w:val="18"/>
                <w:szCs w:val="18"/>
              </w:rPr>
              <w:t>计入当期损益的政府补助（与企业业务密切相关，按照国家统一标准</w:t>
            </w:r>
            <w:r>
              <w:rPr>
                <w:rFonts w:ascii="宋体" w:hAnsi="宋体" w:cs="宋体" w:eastAsia="宋体" w:hint="default"/>
                <w:sz w:val="18"/>
                <w:szCs w:val="18"/>
              </w:rPr>
            </w:r>
          </w:p>
        </w:tc>
        <w:tc>
          <w:tcPr>
            <w:tcW w:w="2014" w:type="dxa"/>
            <w:gridSpan w:val="2"/>
            <w:tcBorders>
              <w:top w:val="nil" w:sz="6" w:space="0" w:color="auto"/>
              <w:left w:val="nil" w:sz="6" w:space="0" w:color="auto"/>
              <w:bottom w:val="nil" w:sz="6" w:space="0" w:color="auto"/>
              <w:right w:val="nil" w:sz="6" w:space="0" w:color="auto"/>
            </w:tcBorders>
          </w:tcPr>
          <w:p>
            <w:pPr/>
          </w:p>
        </w:tc>
      </w:tr>
      <w:tr>
        <w:trPr>
          <w:trHeight w:val="200" w:hRule="exact"/>
        </w:trPr>
        <w:tc>
          <w:tcPr>
            <w:tcW w:w="6408" w:type="dxa"/>
            <w:gridSpan w:val="3"/>
            <w:tcBorders>
              <w:top w:val="nil" w:sz="6" w:space="0" w:color="auto"/>
              <w:left w:val="nil" w:sz="6" w:space="0" w:color="auto"/>
              <w:bottom w:val="nil" w:sz="6" w:space="0" w:color="auto"/>
              <w:right w:val="nil" w:sz="6" w:space="0" w:color="auto"/>
            </w:tcBorders>
          </w:tcPr>
          <w:p>
            <w:pPr/>
          </w:p>
        </w:tc>
        <w:tc>
          <w:tcPr>
            <w:tcW w:w="2014" w:type="dxa"/>
            <w:gridSpan w:val="2"/>
            <w:tcBorders>
              <w:top w:val="nil" w:sz="6" w:space="0" w:color="auto"/>
              <w:left w:val="nil" w:sz="6" w:space="0" w:color="auto"/>
              <w:bottom w:val="nil" w:sz="6" w:space="0" w:color="auto"/>
              <w:right w:val="nil" w:sz="6" w:space="0" w:color="auto"/>
            </w:tcBorders>
          </w:tcPr>
          <w:p>
            <w:pPr>
              <w:pStyle w:val="TableParagraph"/>
              <w:spacing w:line="204" w:lineRule="exact"/>
              <w:ind w:left="148" w:right="0"/>
              <w:jc w:val="left"/>
              <w:rPr>
                <w:rFonts w:ascii="Times New Roman" w:hAnsi="Times New Roman" w:cs="Times New Roman" w:eastAsia="Times New Roman" w:hint="default"/>
                <w:sz w:val="18"/>
                <w:szCs w:val="18"/>
              </w:rPr>
            </w:pPr>
            <w:r>
              <w:rPr>
                <w:rFonts w:ascii="Times New Roman"/>
                <w:sz w:val="18"/>
              </w:rPr>
              <w:t>38,968,688</w:t>
            </w:r>
          </w:p>
        </w:tc>
      </w:tr>
      <w:tr>
        <w:trPr>
          <w:trHeight w:val="295" w:hRule="exact"/>
        </w:trPr>
        <w:tc>
          <w:tcPr>
            <w:tcW w:w="6408" w:type="dxa"/>
            <w:gridSpan w:val="3"/>
            <w:tcBorders>
              <w:top w:val="nil" w:sz="6" w:space="0" w:color="auto"/>
              <w:left w:val="nil" w:sz="6" w:space="0" w:color="auto"/>
              <w:bottom w:val="nil" w:sz="6" w:space="0" w:color="auto"/>
              <w:right w:val="nil" w:sz="6" w:space="0" w:color="auto"/>
            </w:tcBorders>
          </w:tcPr>
          <w:p>
            <w:pPr>
              <w:pStyle w:val="TableParagraph"/>
              <w:spacing w:line="180" w:lineRule="exact"/>
              <w:ind w:left="767" w:right="0"/>
              <w:jc w:val="left"/>
              <w:rPr>
                <w:rFonts w:ascii="宋体" w:hAnsi="宋体" w:cs="宋体" w:eastAsia="宋体" w:hint="default"/>
                <w:sz w:val="18"/>
                <w:szCs w:val="18"/>
              </w:rPr>
            </w:pPr>
            <w:r>
              <w:rPr>
                <w:rFonts w:ascii="宋体" w:hAnsi="宋体" w:cs="宋体" w:eastAsia="宋体" w:hint="default"/>
                <w:sz w:val="18"/>
                <w:szCs w:val="18"/>
              </w:rPr>
              <w:t>定额或定量享受的政府补助除外）</w:t>
            </w:r>
          </w:p>
        </w:tc>
        <w:tc>
          <w:tcPr>
            <w:tcW w:w="2014" w:type="dxa"/>
            <w:gridSpan w:val="2"/>
            <w:tcBorders>
              <w:top w:val="nil" w:sz="6" w:space="0" w:color="auto"/>
              <w:left w:val="nil" w:sz="6" w:space="0" w:color="auto"/>
              <w:bottom w:val="nil" w:sz="6" w:space="0" w:color="auto"/>
              <w:right w:val="nil" w:sz="6" w:space="0" w:color="auto"/>
            </w:tcBorders>
          </w:tcPr>
          <w:p>
            <w:pPr/>
          </w:p>
        </w:tc>
      </w:tr>
      <w:tr>
        <w:trPr>
          <w:trHeight w:val="420" w:hRule="exact"/>
        </w:trPr>
        <w:tc>
          <w:tcPr>
            <w:tcW w:w="640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9"/>
              <w:ind w:left="767"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201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1"/>
              <w:ind w:left="238" w:right="0"/>
              <w:jc w:val="left"/>
              <w:rPr>
                <w:rFonts w:ascii="Times New Roman" w:hAnsi="Times New Roman" w:cs="Times New Roman" w:eastAsia="Times New Roman" w:hint="default"/>
                <w:sz w:val="18"/>
                <w:szCs w:val="18"/>
              </w:rPr>
            </w:pPr>
            <w:r>
              <w:rPr>
                <w:rFonts w:ascii="Times New Roman"/>
                <w:sz w:val="18"/>
              </w:rPr>
              <w:t>7,730,763</w:t>
            </w:r>
          </w:p>
        </w:tc>
      </w:tr>
      <w:tr>
        <w:trPr>
          <w:trHeight w:val="395" w:hRule="exact"/>
        </w:trPr>
        <w:tc>
          <w:tcPr>
            <w:tcW w:w="640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0"/>
              <w:ind w:left="767" w:right="0"/>
              <w:jc w:val="left"/>
              <w:rPr>
                <w:rFonts w:ascii="宋体" w:hAnsi="宋体" w:cs="宋体" w:eastAsia="宋体" w:hint="default"/>
                <w:sz w:val="18"/>
                <w:szCs w:val="18"/>
              </w:rPr>
            </w:pPr>
            <w:r>
              <w:rPr>
                <w:rFonts w:ascii="宋体" w:hAnsi="宋体" w:cs="宋体" w:eastAsia="宋体" w:hint="default"/>
                <w:spacing w:val="2"/>
                <w:sz w:val="18"/>
                <w:szCs w:val="18"/>
              </w:rPr>
              <w:t>企业取得子公司、联营企业及合营企业的投资成本小于取得投资时应</w:t>
            </w:r>
            <w:r>
              <w:rPr>
                <w:rFonts w:ascii="宋体" w:hAnsi="宋体" w:cs="宋体" w:eastAsia="宋体" w:hint="default"/>
                <w:sz w:val="18"/>
                <w:szCs w:val="18"/>
              </w:rPr>
            </w:r>
          </w:p>
        </w:tc>
        <w:tc>
          <w:tcPr>
            <w:tcW w:w="2014" w:type="dxa"/>
            <w:gridSpan w:val="2"/>
            <w:tcBorders>
              <w:top w:val="nil" w:sz="6" w:space="0" w:color="auto"/>
              <w:left w:val="nil" w:sz="6" w:space="0" w:color="auto"/>
              <w:bottom w:val="nil" w:sz="6" w:space="0" w:color="auto"/>
              <w:right w:val="nil" w:sz="6" w:space="0" w:color="auto"/>
            </w:tcBorders>
          </w:tcPr>
          <w:p>
            <w:pPr/>
          </w:p>
        </w:tc>
      </w:tr>
      <w:tr>
        <w:trPr>
          <w:trHeight w:val="405" w:hRule="exact"/>
        </w:trPr>
        <w:tc>
          <w:tcPr>
            <w:tcW w:w="640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4"/>
              <w:ind w:left="767" w:right="0"/>
              <w:jc w:val="left"/>
              <w:rPr>
                <w:rFonts w:ascii="宋体" w:hAnsi="宋体" w:cs="宋体" w:eastAsia="宋体" w:hint="default"/>
                <w:sz w:val="18"/>
                <w:szCs w:val="18"/>
              </w:rPr>
            </w:pPr>
            <w:r>
              <w:rPr>
                <w:rFonts w:ascii="宋体" w:hAnsi="宋体" w:cs="宋体" w:eastAsia="宋体" w:hint="default"/>
                <w:sz w:val="18"/>
                <w:szCs w:val="18"/>
              </w:rPr>
              <w:t>享有被投资单位可辨认净资产公允价值产生的收益</w:t>
            </w:r>
          </w:p>
        </w:tc>
        <w:tc>
          <w:tcPr>
            <w:tcW w:w="2014" w:type="dxa"/>
            <w:gridSpan w:val="2"/>
            <w:tcBorders>
              <w:top w:val="nil" w:sz="6" w:space="0" w:color="auto"/>
              <w:left w:val="nil" w:sz="6" w:space="0" w:color="auto"/>
              <w:bottom w:val="nil" w:sz="6" w:space="0" w:color="auto"/>
              <w:right w:val="nil" w:sz="6" w:space="0" w:color="auto"/>
            </w:tcBorders>
          </w:tcPr>
          <w:p>
            <w:pPr/>
          </w:p>
        </w:tc>
      </w:tr>
      <w:tr>
        <w:trPr>
          <w:trHeight w:val="333" w:hRule="exact"/>
        </w:trPr>
        <w:tc>
          <w:tcPr>
            <w:tcW w:w="640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9"/>
              <w:ind w:left="767"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2014" w:type="dxa"/>
            <w:gridSpan w:val="2"/>
            <w:tcBorders>
              <w:top w:val="nil" w:sz="6" w:space="0" w:color="auto"/>
              <w:left w:val="nil" w:sz="6" w:space="0" w:color="auto"/>
              <w:bottom w:val="single" w:sz="8" w:space="0" w:color="000000"/>
              <w:right w:val="nil" w:sz="6" w:space="0" w:color="auto"/>
            </w:tcBorders>
          </w:tcPr>
          <w:p>
            <w:pPr/>
          </w:p>
        </w:tc>
      </w:tr>
    </w:tbl>
    <w:p>
      <w:pPr>
        <w:spacing w:after="0"/>
        <w:sectPr>
          <w:pgSz w:w="11900" w:h="16840"/>
          <w:pgMar w:header="883" w:footer="1003" w:top="1540" w:bottom="1200" w:left="1640" w:right="1620"/>
        </w:sectPr>
      </w:pPr>
    </w:p>
    <w:p>
      <w:pPr>
        <w:spacing w:line="240" w:lineRule="auto" w:before="8"/>
        <w:rPr>
          <w:rFonts w:ascii="Times New Roman" w:hAnsi="Times New Roman" w:cs="Times New Roman" w:eastAsia="Times New Roman" w:hint="default"/>
          <w:sz w:val="14"/>
          <w:szCs w:val="14"/>
        </w:rPr>
      </w:pPr>
    </w:p>
    <w:tbl>
      <w:tblPr>
        <w:tblW w:w="0" w:type="auto"/>
        <w:jc w:val="left"/>
        <w:tblInd w:w="735" w:type="dxa"/>
        <w:tblLayout w:type="fixed"/>
        <w:tblCellMar>
          <w:top w:w="0" w:type="dxa"/>
          <w:left w:w="0" w:type="dxa"/>
          <w:bottom w:w="0" w:type="dxa"/>
          <w:right w:w="0" w:type="dxa"/>
        </w:tblCellMar>
        <w:tblLook w:val="01E0"/>
      </w:tblPr>
      <w:tblGrid>
        <w:gridCol w:w="5722"/>
        <w:gridCol w:w="1201"/>
        <w:gridCol w:w="854"/>
      </w:tblGrid>
      <w:tr>
        <w:trPr>
          <w:trHeight w:val="809"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2402" w:firstLine="2384"/>
              <w:jc w:val="left"/>
              <w:rPr>
                <w:rFonts w:ascii="宋体" w:hAnsi="宋体" w:cs="宋体" w:eastAsia="宋体" w:hint="default"/>
                <w:sz w:val="18"/>
                <w:szCs w:val="18"/>
              </w:rPr>
            </w:pPr>
            <w:r>
              <w:rPr>
                <w:rFonts w:ascii="宋体" w:hAnsi="宋体" w:cs="宋体" w:eastAsia="宋体" w:hint="default"/>
                <w:sz w:val="18"/>
                <w:szCs w:val="18"/>
              </w:rPr>
              <w:t>项 目 委托他人投资或管理资产的损益</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7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85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00" w:right="0"/>
              <w:jc w:val="left"/>
              <w:rPr>
                <w:rFonts w:ascii="宋体" w:hAnsi="宋体" w:cs="宋体" w:eastAsia="宋体" w:hint="default"/>
                <w:sz w:val="18"/>
                <w:szCs w:val="18"/>
              </w:rPr>
            </w:pPr>
            <w:r>
              <w:rPr>
                <w:rFonts w:ascii="宋体" w:hAnsi="宋体" w:cs="宋体" w:eastAsia="宋体" w:hint="default"/>
                <w:sz w:val="18"/>
                <w:szCs w:val="18"/>
              </w:rPr>
              <w:t>说明</w:t>
            </w:r>
          </w:p>
        </w:tc>
      </w:tr>
      <w:tr>
        <w:trPr>
          <w:trHeight w:val="419"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22" w:right="0"/>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因不可抗力因素，如遭受自然灾害而计提的各项资产减值准备</w:t>
            </w:r>
          </w:p>
        </w:tc>
        <w:tc>
          <w:tcPr>
            <w:tcW w:w="120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r>
      <w:tr>
        <w:trPr>
          <w:trHeight w:val="415"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22"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20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r>
      <w:tr>
        <w:trPr>
          <w:trHeight w:val="423"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p>
        </w:tc>
        <w:tc>
          <w:tcPr>
            <w:tcW w:w="120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r>
      <w:tr>
        <w:trPr>
          <w:trHeight w:val="448"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交易价格显失公允的交易产生的超过公允价值部分的损益</w:t>
            </w:r>
          </w:p>
        </w:tc>
        <w:tc>
          <w:tcPr>
            <w:tcW w:w="120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r>
      <w:tr>
        <w:trPr>
          <w:trHeight w:val="447"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22" w:right="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同一控制下企业合并产生的子公司期初至合并日的当期净损益</w:t>
            </w:r>
          </w:p>
        </w:tc>
        <w:tc>
          <w:tcPr>
            <w:tcW w:w="120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r>
      <w:tr>
        <w:trPr>
          <w:trHeight w:val="422"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22"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120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r>
      <w:tr>
        <w:trPr>
          <w:trHeight w:val="405"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pacing w:val="2"/>
                <w:sz w:val="18"/>
                <w:szCs w:val="18"/>
              </w:rPr>
              <w:t>除同公司正常经营业务相关的有效套期保值业务外，持有交易性金融</w:t>
            </w:r>
            <w:r>
              <w:rPr>
                <w:rFonts w:ascii="宋体" w:hAnsi="宋体" w:cs="宋体" w:eastAsia="宋体" w:hint="default"/>
                <w:sz w:val="18"/>
                <w:szCs w:val="18"/>
              </w:rPr>
            </w:r>
          </w:p>
        </w:tc>
        <w:tc>
          <w:tcPr>
            <w:tcW w:w="120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r>
      <w:tr>
        <w:trPr>
          <w:trHeight w:val="805"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408" w:lineRule="auto" w:before="54"/>
              <w:ind w:left="122" w:right="104"/>
              <w:jc w:val="left"/>
              <w:rPr>
                <w:rFonts w:ascii="宋体" w:hAnsi="宋体" w:cs="宋体" w:eastAsia="宋体" w:hint="default"/>
                <w:sz w:val="18"/>
                <w:szCs w:val="18"/>
              </w:rPr>
            </w:pPr>
            <w:r>
              <w:rPr>
                <w:rFonts w:ascii="宋体" w:hAnsi="宋体" w:cs="宋体" w:eastAsia="宋体" w:hint="default"/>
                <w:spacing w:val="2"/>
                <w:sz w:val="18"/>
                <w:szCs w:val="18"/>
              </w:rPr>
              <w:t>资产、交易性金融负债产生的公允价值变动损益，以及处置交易性金</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融资产、交易性金融负债和可供出售金融资产取得的投资收益</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98"/>
              <w:jc w:val="right"/>
              <w:rPr>
                <w:rFonts w:ascii="Times New Roman" w:hAnsi="Times New Roman" w:cs="Times New Roman" w:eastAsia="Times New Roman" w:hint="default"/>
                <w:sz w:val="18"/>
                <w:szCs w:val="18"/>
              </w:rPr>
            </w:pPr>
            <w:r>
              <w:rPr>
                <w:rFonts w:ascii="Times New Roman"/>
                <w:sz w:val="18"/>
              </w:rPr>
              <w:t>83,998,795</w:t>
            </w:r>
          </w:p>
        </w:tc>
        <w:tc>
          <w:tcPr>
            <w:tcW w:w="854" w:type="dxa"/>
            <w:tcBorders>
              <w:top w:val="nil" w:sz="6" w:space="0" w:color="auto"/>
              <w:left w:val="nil" w:sz="6" w:space="0" w:color="auto"/>
              <w:bottom w:val="nil" w:sz="6" w:space="0" w:color="auto"/>
              <w:right w:val="nil" w:sz="6" w:space="0" w:color="auto"/>
            </w:tcBorders>
          </w:tcPr>
          <w:p>
            <w:pPr/>
          </w:p>
        </w:tc>
      </w:tr>
      <w:tr>
        <w:trPr>
          <w:trHeight w:val="420"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98"/>
              <w:jc w:val="right"/>
              <w:rPr>
                <w:rFonts w:ascii="Times New Roman" w:hAnsi="Times New Roman" w:cs="Times New Roman" w:eastAsia="Times New Roman" w:hint="default"/>
                <w:sz w:val="18"/>
                <w:szCs w:val="18"/>
              </w:rPr>
            </w:pPr>
            <w:r>
              <w:rPr>
                <w:rFonts w:ascii="Times New Roman"/>
                <w:sz w:val="18"/>
              </w:rPr>
              <w:t>13,400,000</w:t>
            </w:r>
          </w:p>
        </w:tc>
        <w:tc>
          <w:tcPr>
            <w:tcW w:w="854" w:type="dxa"/>
            <w:tcBorders>
              <w:top w:val="nil" w:sz="6" w:space="0" w:color="auto"/>
              <w:left w:val="nil" w:sz="6" w:space="0" w:color="auto"/>
              <w:bottom w:val="nil" w:sz="6" w:space="0" w:color="auto"/>
              <w:right w:val="nil" w:sz="6" w:space="0" w:color="auto"/>
            </w:tcBorders>
          </w:tcPr>
          <w:p>
            <w:pPr/>
          </w:p>
        </w:tc>
      </w:tr>
      <w:tr>
        <w:trPr>
          <w:trHeight w:val="401"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120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r>
      <w:tr>
        <w:trPr>
          <w:trHeight w:val="405"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pacing w:val="2"/>
                <w:sz w:val="18"/>
                <w:szCs w:val="18"/>
              </w:rPr>
              <w:t>采用公允价值模式进行后续计量的投资性房地产公允价值变动产生的</w:t>
            </w:r>
            <w:r>
              <w:rPr>
                <w:rFonts w:ascii="宋体" w:hAnsi="宋体" w:cs="宋体" w:eastAsia="宋体" w:hint="default"/>
                <w:sz w:val="18"/>
                <w:szCs w:val="18"/>
              </w:rPr>
            </w:r>
          </w:p>
        </w:tc>
        <w:tc>
          <w:tcPr>
            <w:tcW w:w="120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r>
      <w:tr>
        <w:trPr>
          <w:trHeight w:val="405"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损益</w:t>
            </w:r>
          </w:p>
        </w:tc>
        <w:tc>
          <w:tcPr>
            <w:tcW w:w="120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r>
      <w:tr>
        <w:trPr>
          <w:trHeight w:val="405"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pacing w:val="2"/>
                <w:sz w:val="18"/>
                <w:szCs w:val="18"/>
              </w:rPr>
              <w:t>根据税收、会计等法律、法规的要求对当期损益进行一次性调整对当</w:t>
            </w:r>
            <w:r>
              <w:rPr>
                <w:rFonts w:ascii="宋体" w:hAnsi="宋体" w:cs="宋体" w:eastAsia="宋体" w:hint="default"/>
                <w:sz w:val="18"/>
                <w:szCs w:val="18"/>
              </w:rPr>
            </w:r>
          </w:p>
        </w:tc>
        <w:tc>
          <w:tcPr>
            <w:tcW w:w="120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r>
      <w:tr>
        <w:trPr>
          <w:trHeight w:val="405"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期损益的影响</w:t>
            </w:r>
          </w:p>
        </w:tc>
        <w:tc>
          <w:tcPr>
            <w:tcW w:w="120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r>
      <w:tr>
        <w:trPr>
          <w:trHeight w:val="410"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120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r>
      <w:tr>
        <w:trPr>
          <w:trHeight w:val="420"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98"/>
              <w:jc w:val="right"/>
              <w:rPr>
                <w:rFonts w:ascii="Times New Roman" w:hAnsi="Times New Roman" w:cs="Times New Roman" w:eastAsia="Times New Roman" w:hint="default"/>
                <w:sz w:val="18"/>
                <w:szCs w:val="18"/>
              </w:rPr>
            </w:pPr>
            <w:r>
              <w:rPr>
                <w:rFonts w:ascii="Times New Roman"/>
                <w:sz w:val="18"/>
              </w:rPr>
              <w:t>2,295,537</w:t>
            </w:r>
          </w:p>
        </w:tc>
        <w:tc>
          <w:tcPr>
            <w:tcW w:w="854" w:type="dxa"/>
            <w:tcBorders>
              <w:top w:val="nil" w:sz="6" w:space="0" w:color="auto"/>
              <w:left w:val="nil" w:sz="6" w:space="0" w:color="auto"/>
              <w:bottom w:val="nil" w:sz="6" w:space="0" w:color="auto"/>
              <w:right w:val="nil" w:sz="6" w:space="0" w:color="auto"/>
            </w:tcBorders>
          </w:tcPr>
          <w:p>
            <w:pPr/>
          </w:p>
        </w:tc>
      </w:tr>
      <w:tr>
        <w:trPr>
          <w:trHeight w:val="401"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20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r>
      <w:tr>
        <w:trPr>
          <w:trHeight w:val="420"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98"/>
              <w:jc w:val="right"/>
              <w:rPr>
                <w:rFonts w:ascii="Times New Roman" w:hAnsi="Times New Roman" w:cs="Times New Roman" w:eastAsia="Times New Roman" w:hint="default"/>
                <w:sz w:val="18"/>
                <w:szCs w:val="18"/>
              </w:rPr>
            </w:pPr>
            <w:r>
              <w:rPr>
                <w:rFonts w:ascii="Times New Roman"/>
                <w:w w:val="95"/>
                <w:sz w:val="18"/>
              </w:rPr>
              <w:t>-9,690,610</w:t>
            </w:r>
            <w:r>
              <w:rPr>
                <w:rFonts w:ascii="Times New Roman"/>
                <w:sz w:val="18"/>
              </w:rPr>
            </w:r>
          </w:p>
        </w:tc>
        <w:tc>
          <w:tcPr>
            <w:tcW w:w="854" w:type="dxa"/>
            <w:tcBorders>
              <w:top w:val="nil" w:sz="6" w:space="0" w:color="auto"/>
              <w:left w:val="nil" w:sz="6" w:space="0" w:color="auto"/>
              <w:bottom w:val="nil" w:sz="6" w:space="0" w:color="auto"/>
              <w:right w:val="nil" w:sz="6" w:space="0" w:color="auto"/>
            </w:tcBorders>
          </w:tcPr>
          <w:p>
            <w:pPr/>
          </w:p>
        </w:tc>
      </w:tr>
      <w:tr>
        <w:trPr>
          <w:trHeight w:val="410" w:hRule="exact"/>
        </w:trPr>
        <w:tc>
          <w:tcPr>
            <w:tcW w:w="572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8"/>
              <w:jc w:val="right"/>
              <w:rPr>
                <w:rFonts w:ascii="Times New Roman" w:hAnsi="Times New Roman" w:cs="Times New Roman" w:eastAsia="Times New Roman" w:hint="default"/>
                <w:sz w:val="18"/>
                <w:szCs w:val="18"/>
              </w:rPr>
            </w:pPr>
            <w:r>
              <w:rPr>
                <w:rFonts w:ascii="Times New Roman"/>
                <w:w w:val="95"/>
                <w:sz w:val="18"/>
              </w:rPr>
              <w:t>-10,030,006</w:t>
            </w:r>
            <w:r>
              <w:rPr>
                <w:rFonts w:ascii="Times New Roman"/>
                <w:sz w:val="18"/>
              </w:rPr>
            </w:r>
          </w:p>
        </w:tc>
        <w:tc>
          <w:tcPr>
            <w:tcW w:w="854" w:type="dxa"/>
            <w:tcBorders>
              <w:top w:val="nil" w:sz="6" w:space="0" w:color="auto"/>
              <w:left w:val="nil" w:sz="6" w:space="0" w:color="auto"/>
              <w:bottom w:val="nil" w:sz="6" w:space="0" w:color="auto"/>
              <w:right w:val="nil" w:sz="6" w:space="0" w:color="auto"/>
            </w:tcBorders>
          </w:tcPr>
          <w:p>
            <w:pPr/>
          </w:p>
        </w:tc>
      </w:tr>
      <w:tr>
        <w:trPr>
          <w:trHeight w:val="324" w:hRule="exact"/>
        </w:trPr>
        <w:tc>
          <w:tcPr>
            <w:tcW w:w="5722" w:type="dxa"/>
            <w:tcBorders>
              <w:top w:val="nil" w:sz="6" w:space="0" w:color="auto"/>
              <w:left w:val="nil" w:sz="6" w:space="0" w:color="auto"/>
              <w:bottom w:val="single" w:sz="8" w:space="0" w:color="000000"/>
              <w:right w:val="nil" w:sz="6" w:space="0" w:color="auto"/>
            </w:tcBorders>
          </w:tcPr>
          <w:p>
            <w:pPr>
              <w:pStyle w:val="TableParagraph"/>
              <w:tabs>
                <w:tab w:pos="842" w:val="left" w:leader="none"/>
              </w:tabs>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201"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98"/>
              <w:jc w:val="right"/>
              <w:rPr>
                <w:rFonts w:ascii="Times New Roman" w:hAnsi="Times New Roman" w:cs="Times New Roman" w:eastAsia="Times New Roman" w:hint="default"/>
                <w:sz w:val="18"/>
                <w:szCs w:val="18"/>
              </w:rPr>
            </w:pPr>
            <w:r>
              <w:rPr>
                <w:rFonts w:ascii="Times New Roman"/>
                <w:spacing w:val="-1"/>
                <w:sz w:val="18"/>
              </w:rPr>
              <w:t>118,769,401</w:t>
            </w:r>
          </w:p>
        </w:tc>
        <w:tc>
          <w:tcPr>
            <w:tcW w:w="854" w:type="dxa"/>
            <w:tcBorders>
              <w:top w:val="nil" w:sz="6" w:space="0" w:color="auto"/>
              <w:left w:val="nil" w:sz="6" w:space="0" w:color="auto"/>
              <w:bottom w:val="single" w:sz="8" w:space="0" w:color="000000"/>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9"/>
          <w:szCs w:val="19"/>
        </w:rPr>
      </w:pPr>
    </w:p>
    <w:p>
      <w:pPr>
        <w:tabs>
          <w:tab w:pos="853" w:val="left" w:leader="none"/>
        </w:tabs>
        <w:spacing w:before="35"/>
        <w:ind w:left="125" w:right="0" w:firstLine="0"/>
        <w:jc w:val="left"/>
        <w:rPr>
          <w:rFonts w:ascii="宋体" w:hAnsi="宋体" w:cs="宋体" w:eastAsia="宋体" w:hint="default"/>
          <w:sz w:val="21"/>
          <w:szCs w:val="21"/>
        </w:rPr>
      </w:pPr>
      <w:r>
        <w:rPr/>
        <w:pict>
          <v:group style="position:absolute;margin-left:88.26001pt;margin-top:-500.36615pt;width:420.5pt;height:476.5pt;mso-position-horizontal-relative:page;mso-position-vertical-relative:paragraph;z-index:-973816" coordorigin="1765,-10007" coordsize="8410,9530">
            <v:group style="position:absolute;left:1770;top:-10003;width:8367;height:2" coordorigin="1770,-10003" coordsize="8367,2">
              <v:shape style="position:absolute;left:1770;top:-10003;width:8367;height:2" coordorigin="1770,-10003" coordsize="8367,0" path="m1770,-10003l10136,-10003e" filled="false" stroked="true" strokeweight=".47998pt" strokecolor="#000000">
                <v:path arrowok="t"/>
              </v:shape>
            </v:group>
            <v:group style="position:absolute;left:2410;top:-9988;width:5702;height:2" coordorigin="2410,-9988" coordsize="5702,2">
              <v:shape style="position:absolute;left:2410;top:-9988;width:5702;height:2" coordorigin="2410,-9988" coordsize="5702,0" path="m2410,-9988l8111,-9988e" filled="false" stroked="true" strokeweight=".96002pt" strokecolor="#000000">
                <v:path arrowok="t"/>
              </v:shape>
            </v:group>
            <v:group style="position:absolute;left:8111;top:-9988;width:1110;height:2" coordorigin="8111,-9988" coordsize="1110,2">
              <v:shape style="position:absolute;left:8111;top:-9988;width:1110;height:2" coordorigin="8111,-9988" coordsize="1110,0" path="m8111,-9988l9221,-9988e" filled="false" stroked="true" strokeweight=".96002pt" strokecolor="#000000">
                <v:path arrowok="t"/>
              </v:shape>
            </v:group>
            <v:group style="position:absolute;left:9221;top:-9988;width:945;height:2" coordorigin="9221,-9988" coordsize="945,2">
              <v:shape style="position:absolute;left:9221;top:-9988;width:945;height:2" coordorigin="9221,-9988" coordsize="945,0" path="m9221,-9988l10165,-9988e" filled="false" stroked="true" strokeweight=".96002pt" strokecolor="#000000">
                <v:path arrowok="t"/>
              </v:shape>
              <v:shape style="position:absolute;left:2410;top:-9979;width:7757;height:9500" type="#_x0000_t75" stroked="false">
                <v:imagedata r:id="rId186" o:titl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净资产收益率及每股收益：</w:t>
      </w:r>
    </w:p>
    <w:p>
      <w:pPr>
        <w:spacing w:line="2070" w:lineRule="exact"/>
        <w:ind w:left="725" w:right="0" w:firstLine="0"/>
        <w:rPr>
          <w:rFonts w:ascii="宋体" w:hAnsi="宋体" w:cs="宋体" w:eastAsia="宋体" w:hint="default"/>
          <w:sz w:val="20"/>
          <w:szCs w:val="20"/>
        </w:rPr>
      </w:pPr>
      <w:r>
        <w:rPr>
          <w:rFonts w:ascii="宋体" w:hAnsi="宋体" w:cs="宋体" w:eastAsia="宋体" w:hint="default"/>
          <w:position w:val="-40"/>
          <w:sz w:val="20"/>
          <w:szCs w:val="20"/>
        </w:rPr>
        <w:pict>
          <v:group style="width:389.95pt;height:103.5pt;mso-position-horizontal-relative:char;mso-position-vertical-relative:line" coordorigin="0,0" coordsize="7799,2070">
            <v:group style="position:absolute;left:31;top:10;width:3111;height:2" coordorigin="31,10" coordsize="3111,2">
              <v:shape style="position:absolute;left:31;top:10;width:3111;height:2" coordorigin="31,10" coordsize="3111,0" path="m31,10l3142,10e" filled="false" stroked="true" strokeweight=".96001pt" strokecolor="#000000">
                <v:path arrowok="t"/>
              </v:shape>
            </v:group>
            <v:group style="position:absolute;left:3142;top:10;width:1785;height:2" coordorigin="3142,10" coordsize="1785,2">
              <v:shape style="position:absolute;left:3142;top:10;width:1785;height:2" coordorigin="3142,10" coordsize="1785,0" path="m3142,10l4926,10e" filled="false" stroked="true" strokeweight=".96001pt" strokecolor="#000000">
                <v:path arrowok="t"/>
              </v:shape>
            </v:group>
            <v:group style="position:absolute;left:4926;top:10;width:2856;height:2" coordorigin="4926,10" coordsize="2856,2">
              <v:shape style="position:absolute;left:4926;top:10;width:2856;height:2" coordorigin="4926,10" coordsize="2856,0" path="m4926,10l7782,10e" filled="false" stroked="true" strokeweight=".96001pt" strokecolor="#000000">
                <v:path arrowok="t"/>
              </v:shape>
            </v:group>
            <v:group style="position:absolute;left:10;top:2060;width:3132;height:2" coordorigin="10,2060" coordsize="3132,2">
              <v:shape style="position:absolute;left:10;top:2060;width:3132;height:2" coordorigin="10,2060" coordsize="3132,0" path="m10,2060l3142,2060e" filled="false" stroked="true" strokeweight=".95999pt" strokecolor="#000000">
                <v:path arrowok="t"/>
              </v:shape>
            </v:group>
            <v:group style="position:absolute;left:3142;top:2060;width:1785;height:2" coordorigin="3142,2060" coordsize="1785,2">
              <v:shape style="position:absolute;left:3142;top:2060;width:1785;height:2" coordorigin="3142,2060" coordsize="1785,0" path="m3142,2060l4926,2060e" filled="false" stroked="true" strokeweight=".95999pt" strokecolor="#000000">
                <v:path arrowok="t"/>
              </v:shape>
            </v:group>
            <v:group style="position:absolute;left:4926;top:2060;width:1385;height:2" coordorigin="4926,2060" coordsize="1385,2">
              <v:shape style="position:absolute;left:4926;top:2060;width:1385;height:2" coordorigin="4926,2060" coordsize="1385,0" path="m4926,2060l6311,2060e" filled="false" stroked="true" strokeweight=".95999pt" strokecolor="#000000">
                <v:path arrowok="t"/>
              </v:shape>
              <v:shape style="position:absolute;left:24;top:19;width:7770;height:2032" type="#_x0000_t75" stroked="false">
                <v:imagedata r:id="rId187" o:title=""/>
              </v:shape>
            </v:group>
            <v:group style="position:absolute;left:6311;top:2060;width:1479;height:2" coordorigin="6311,2060" coordsize="1479,2">
              <v:shape style="position:absolute;left:6311;top:2060;width:1479;height:2" coordorigin="6311,2060" coordsize="1479,0" path="m6311,2060l7789,2060e" filled="false" stroked="true" strokeweight=".95999pt" strokecolor="#000000">
                <v:path arrowok="t"/>
              </v:shape>
              <v:shape style="position:absolute;left:3318;top:213;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净资产收益率加权</w:t>
                      </w:r>
                    </w:p>
                  </w:txbxContent>
                </v:textbox>
                <w10:wrap type="none"/>
              </v:shape>
              <v:shape style="position:absolute;left:5730;top:21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每股收益（元）</w:t>
                      </w:r>
                    </w:p>
                  </w:txbxContent>
                </v:textbox>
                <w10:wrap type="none"/>
              </v:shape>
              <v:shape style="position:absolute;left:1135;top:40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报告期利润</w:t>
                      </w:r>
                    </w:p>
                  </w:txbxContent>
                </v:textbox>
                <w10:wrap type="none"/>
              </v:shape>
              <v:shape style="position:absolute;left:3604;top:612;width:87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平均（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5083;top:62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基本每股收益</w:t>
                      </w:r>
                    </w:p>
                  </w:txbxContent>
                </v:textbox>
                <w10:wrap type="none"/>
              </v:shape>
              <v:shape style="position:absolute;left:6512;top:62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稀释每股收益</w:t>
                      </w:r>
                    </w:p>
                  </w:txbxContent>
                </v:textbox>
                <w10:wrap type="none"/>
              </v:shape>
              <v:shape style="position:absolute;left:132;top:1032;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xbxContent>
                </v:textbox>
                <w10:wrap type="none"/>
              </v:shape>
              <v:shape style="position:absolute;left:4417;top:1052;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17.21</w:t>
                      </w:r>
                    </w:p>
                  </w:txbxContent>
                </v:textbox>
                <w10:wrap type="none"/>
              </v:shape>
              <v:shape style="position:absolute;left:5892;top:105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0.68</w:t>
                      </w:r>
                    </w:p>
                  </w:txbxContent>
                </v:textbox>
                <w10:wrap type="none"/>
              </v:shape>
              <v:shape style="position:absolute;left:7365;top:105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0.68</w:t>
                      </w:r>
                    </w:p>
                  </w:txbxContent>
                </v:textbox>
                <w10:wrap type="none"/>
              </v:shape>
              <v:shape style="position:absolute;left:132;top:1441;width:290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w:t>
                      </w:r>
                    </w:p>
                  </w:txbxContent>
                </v:textbox>
                <w10:wrap type="none"/>
              </v:shape>
              <v:shape style="position:absolute;left:4417;top:1661;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14.02</w:t>
                      </w:r>
                    </w:p>
                  </w:txbxContent>
                </v:textbox>
                <w10:wrap type="none"/>
              </v:shape>
              <v:shape style="position:absolute;left:5892;top:1661;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0.55</w:t>
                      </w:r>
                    </w:p>
                  </w:txbxContent>
                </v:textbox>
                <w10:wrap type="none"/>
              </v:shape>
              <v:shape style="position:absolute;left:7365;top:1661;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0.55</w:t>
                      </w:r>
                    </w:p>
                  </w:txbxContent>
                </v:textbox>
                <w10:wrap type="none"/>
              </v:shape>
              <v:shape style="position:absolute;left:132;top:184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股股东的净利润</w:t>
                      </w:r>
                    </w:p>
                  </w:txbxContent>
                </v:textbox>
                <w10:wrap type="none"/>
              </v:shape>
            </v:group>
          </v:group>
        </w:pict>
      </w:r>
      <w:r>
        <w:rPr>
          <w:rFonts w:ascii="宋体" w:hAnsi="宋体" w:cs="宋体" w:eastAsia="宋体" w:hint="default"/>
          <w:position w:val="-40"/>
          <w:sz w:val="20"/>
          <w:szCs w:val="20"/>
        </w:rPr>
      </w:r>
    </w:p>
    <w:p>
      <w:pPr>
        <w:spacing w:after="0" w:line="2070" w:lineRule="exact"/>
        <w:rPr>
          <w:rFonts w:ascii="宋体" w:hAnsi="宋体" w:cs="宋体" w:eastAsia="宋体" w:hint="default"/>
          <w:sz w:val="20"/>
          <w:szCs w:val="20"/>
        </w:rPr>
        <w:sectPr>
          <w:pgSz w:w="11900" w:h="16840"/>
          <w:pgMar w:header="883" w:footer="1003" w:top="1540" w:bottom="1200" w:left="1660" w:right="160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18.8pt;height:.5pt;mso-position-horizontal-relative:char;mso-position-vertical-relative:line" coordorigin="0,0" coordsize="8376,10">
            <v:group style="position:absolute;left:5;top:5;width:8367;height:2" coordorigin="5,5" coordsize="8367,2">
              <v:shape style="position:absolute;left:5;top:5;width:8367;height:2" coordorigin="5,5" coordsize="8367,0" path="m5,5l8371,5e" filled="false" stroked="true" strokeweight=".47998pt" strokecolor="#000000">
                <v:path arrowok="t"/>
              </v:shape>
            </v:group>
          </v:group>
        </w:pict>
      </w:r>
      <w:r>
        <w:rPr>
          <w:rFonts w:ascii="宋体" w:hAnsi="宋体" w:cs="宋体" w:eastAsia="宋体" w:hint="default"/>
          <w:sz w:val="2"/>
          <w:szCs w:val="2"/>
        </w:rPr>
      </w:r>
    </w:p>
    <w:p>
      <w:pPr>
        <w:tabs>
          <w:tab w:pos="853" w:val="left" w:leader="none"/>
        </w:tabs>
        <w:spacing w:line="331" w:lineRule="auto" w:before="82"/>
        <w:ind w:left="857" w:right="3319" w:hanging="732"/>
        <w:jc w:val="left"/>
        <w:rPr>
          <w:rFonts w:ascii="宋体" w:hAnsi="宋体" w:cs="宋体" w:eastAsia="宋体" w:hint="default"/>
          <w:sz w:val="21"/>
          <w:szCs w:val="21"/>
        </w:rPr>
      </w:pPr>
      <w:r>
        <w:rPr/>
        <w:pict>
          <v:group style="position:absolute;margin-left:120.000023pt;margin-top:39.463997pt;width:387.4pt;height:533.050pt;mso-position-horizontal-relative:page;mso-position-vertical-relative:paragraph;z-index:-973768" coordorigin="2400,789" coordsize="7748,10661">
            <v:group style="position:absolute;left:2410;top:799;width:2339;height:2" coordorigin="2410,799" coordsize="2339,2">
              <v:shape style="position:absolute;left:2410;top:799;width:2339;height:2" coordorigin="2410,799" coordsize="2339,0" path="m2410,799l4748,799e" filled="false" stroked="true" strokeweight=".95996pt" strokecolor="#000000">
                <v:path arrowok="t"/>
              </v:shape>
            </v:group>
            <v:group style="position:absolute;left:4748;top:799;width:1252;height:2" coordorigin="4748,799" coordsize="1252,2">
              <v:shape style="position:absolute;left:4748;top:799;width:1252;height:2" coordorigin="4748,799" coordsize="1252,0" path="m4748,799l6000,799e" filled="false" stroked="true" strokeweight=".95996pt" strokecolor="#000000">
                <v:path arrowok="t"/>
              </v:shape>
            </v:group>
            <v:group style="position:absolute;left:6000;top:799;width:1252;height:2" coordorigin="6000,799" coordsize="1252,2">
              <v:shape style="position:absolute;left:6000;top:799;width:1252;height:2" coordorigin="6000,799" coordsize="1252,0" path="m6000,799l7252,799e" filled="false" stroked="true" strokeweight=".95996pt" strokecolor="#000000">
                <v:path arrowok="t"/>
              </v:shape>
            </v:group>
            <v:group style="position:absolute;left:7252;top:799;width:1322;height:2" coordorigin="7252,799" coordsize="1322,2">
              <v:shape style="position:absolute;left:7252;top:799;width:1322;height:2" coordorigin="7252,799" coordsize="1322,0" path="m7252,799l8573,799e" filled="false" stroked="true" strokeweight=".95996pt" strokecolor="#000000">
                <v:path arrowok="t"/>
              </v:shape>
            </v:group>
            <v:group style="position:absolute;left:8573;top:799;width:1562;height:2" coordorigin="8573,799" coordsize="1562,2">
              <v:shape style="position:absolute;left:8573;top:799;width:1562;height:2" coordorigin="8573,799" coordsize="1562,0" path="m8573,799l10134,799e" filled="false" stroked="true" strokeweight=".95996pt" strokecolor="#000000">
                <v:path arrowok="t"/>
              </v:shape>
              <v:shape style="position:absolute;left:2410;top:808;width:7738;height:10642" type="#_x0000_t75" stroked="false">
                <v:imagedata r:id="rId188" o:titl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sz w:val="21"/>
          <w:szCs w:val="21"/>
        </w:rPr>
        <w:t>公司主要会计报表项目的异常情况及原因的说明</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金额异常或比较期间变动异常的报表项目</w:t>
      </w:r>
    </w:p>
    <w:p>
      <w:pPr>
        <w:spacing w:line="240" w:lineRule="auto" w:before="12"/>
        <w:rPr>
          <w:rFonts w:ascii="宋体" w:hAnsi="宋体" w:cs="宋体" w:eastAsia="宋体" w:hint="default"/>
          <w:sz w:val="4"/>
          <w:szCs w:val="4"/>
        </w:rPr>
      </w:pPr>
    </w:p>
    <w:tbl>
      <w:tblPr>
        <w:tblW w:w="0" w:type="auto"/>
        <w:jc w:val="left"/>
        <w:tblInd w:w="735" w:type="dxa"/>
        <w:tblLayout w:type="fixed"/>
        <w:tblCellMar>
          <w:top w:w="0" w:type="dxa"/>
          <w:left w:w="0" w:type="dxa"/>
          <w:bottom w:w="0" w:type="dxa"/>
          <w:right w:w="0" w:type="dxa"/>
        </w:tblCellMar>
        <w:tblLook w:val="01E0"/>
      </w:tblPr>
      <w:tblGrid>
        <w:gridCol w:w="2284"/>
        <w:gridCol w:w="1325"/>
        <w:gridCol w:w="1281"/>
        <w:gridCol w:w="1449"/>
        <w:gridCol w:w="991"/>
        <w:gridCol w:w="416"/>
      </w:tblGrid>
      <w:tr>
        <w:trPr>
          <w:trHeight w:val="494"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825" w:right="0"/>
              <w:jc w:val="left"/>
              <w:rPr>
                <w:rFonts w:ascii="宋体" w:hAnsi="宋体" w:cs="宋体" w:eastAsia="宋体" w:hint="default"/>
                <w:sz w:val="18"/>
                <w:szCs w:val="18"/>
              </w:rPr>
            </w:pPr>
            <w:r>
              <w:rPr>
                <w:rFonts w:ascii="宋体" w:hAnsi="宋体" w:cs="宋体" w:eastAsia="宋体" w:hint="default"/>
                <w:sz w:val="18"/>
                <w:szCs w:val="18"/>
              </w:rPr>
              <w:t>报表项目</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5"/>
              <w:jc w:val="right"/>
              <w:rPr>
                <w:rFonts w:ascii="宋体" w:hAnsi="宋体" w:cs="宋体" w:eastAsia="宋体" w:hint="default"/>
                <w:sz w:val="18"/>
                <w:szCs w:val="18"/>
              </w:rPr>
            </w:pPr>
            <w:r>
              <w:rPr>
                <w:rFonts w:ascii="宋体" w:hAnsi="宋体" w:cs="宋体" w:eastAsia="宋体" w:hint="default"/>
                <w:spacing w:val="-8"/>
                <w:sz w:val="18"/>
                <w:szCs w:val="18"/>
              </w:rPr>
              <w:t>期末余额（或</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4"/>
              <w:jc w:val="right"/>
              <w:rPr>
                <w:rFonts w:ascii="宋体" w:hAnsi="宋体" w:cs="宋体" w:eastAsia="宋体" w:hint="default"/>
                <w:sz w:val="18"/>
                <w:szCs w:val="18"/>
              </w:rPr>
            </w:pPr>
            <w:r>
              <w:rPr>
                <w:rFonts w:ascii="宋体" w:hAnsi="宋体" w:cs="宋体" w:eastAsia="宋体" w:hint="default"/>
                <w:spacing w:val="-8"/>
                <w:sz w:val="18"/>
                <w:szCs w:val="18"/>
              </w:rPr>
              <w:t>年初余额（或</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20"/>
              <w:jc w:val="right"/>
              <w:rPr>
                <w:rFonts w:ascii="Times New Roman" w:hAnsi="Times New Roman" w:cs="Times New Roman" w:eastAsia="Times New Roman" w:hint="default"/>
                <w:sz w:val="18"/>
                <w:szCs w:val="18"/>
              </w:rPr>
            </w:pPr>
            <w:r>
              <w:rPr>
                <w:rFonts w:ascii="宋体" w:hAnsi="宋体" w:cs="宋体" w:eastAsia="宋体" w:hint="default"/>
                <w:sz w:val="18"/>
                <w:szCs w:val="18"/>
              </w:rPr>
              <w:t>变动比率</w:t>
            </w:r>
            <w:r>
              <w:rPr>
                <w:rFonts w:ascii="Times New Roman" w:hAnsi="Times New Roman" w:cs="Times New Roman" w:eastAsia="Times New Roman" w:hint="default"/>
                <w:sz w:val="18"/>
                <w:szCs w:val="18"/>
              </w:rPr>
              <w:t>(%)</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64" w:right="0"/>
              <w:jc w:val="left"/>
              <w:rPr>
                <w:rFonts w:ascii="宋体" w:hAnsi="宋体" w:cs="宋体" w:eastAsia="宋体" w:hint="default"/>
                <w:sz w:val="18"/>
                <w:szCs w:val="18"/>
              </w:rPr>
            </w:pPr>
            <w:r>
              <w:rPr>
                <w:rFonts w:ascii="宋体" w:hAnsi="宋体" w:cs="宋体" w:eastAsia="宋体" w:hint="default"/>
                <w:sz w:val="18"/>
                <w:szCs w:val="18"/>
              </w:rPr>
              <w:t>变动原因</w:t>
            </w:r>
          </w:p>
        </w:tc>
        <w:tc>
          <w:tcPr>
            <w:tcW w:w="416" w:type="dxa"/>
            <w:vMerge w:val="restart"/>
            <w:tcBorders>
              <w:top w:val="nil" w:sz="6" w:space="0" w:color="auto"/>
              <w:left w:val="nil" w:sz="6" w:space="0" w:color="auto"/>
              <w:right w:val="nil" w:sz="6" w:space="0" w:color="auto"/>
            </w:tcBorders>
          </w:tcPr>
          <w:p>
            <w:pPr/>
          </w:p>
        </w:tc>
      </w:tr>
      <w:tr>
        <w:trPr>
          <w:trHeight w:val="300" w:hRule="exact"/>
        </w:trPr>
        <w:tc>
          <w:tcPr>
            <w:tcW w:w="2284"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nil" w:sz="6" w:space="0" w:color="auto"/>
              <w:right w:val="nil" w:sz="6" w:space="0" w:color="auto"/>
            </w:tcBorders>
          </w:tcPr>
          <w:p>
            <w:pPr>
              <w:pStyle w:val="TableParagraph"/>
              <w:spacing w:line="185" w:lineRule="exact"/>
              <w:ind w:left="248"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281" w:type="dxa"/>
            <w:tcBorders>
              <w:top w:val="nil" w:sz="6" w:space="0" w:color="auto"/>
              <w:left w:val="nil" w:sz="6" w:space="0" w:color="auto"/>
              <w:bottom w:val="nil" w:sz="6" w:space="0" w:color="auto"/>
              <w:right w:val="nil" w:sz="6" w:space="0" w:color="auto"/>
            </w:tcBorders>
          </w:tcPr>
          <w:p>
            <w:pPr>
              <w:pStyle w:val="TableParagraph"/>
              <w:spacing w:line="185" w:lineRule="exact"/>
              <w:ind w:left="175" w:right="0"/>
              <w:jc w:val="left"/>
              <w:rPr>
                <w:rFonts w:ascii="宋体" w:hAnsi="宋体" w:cs="宋体" w:eastAsia="宋体" w:hint="default"/>
                <w:sz w:val="18"/>
                <w:szCs w:val="18"/>
              </w:rPr>
            </w:pPr>
            <w:r>
              <w:rPr>
                <w:rFonts w:ascii="宋体" w:hAnsi="宋体" w:cs="宋体" w:eastAsia="宋体" w:hint="default"/>
                <w:sz w:val="18"/>
                <w:szCs w:val="18"/>
              </w:rPr>
              <w:t>上年金额）</w:t>
            </w:r>
          </w:p>
        </w:tc>
        <w:tc>
          <w:tcPr>
            <w:tcW w:w="1449" w:type="dxa"/>
            <w:tcBorders>
              <w:top w:val="nil" w:sz="6" w:space="0" w:color="auto"/>
              <w:left w:val="nil" w:sz="6" w:space="0" w:color="auto"/>
              <w:bottom w:val="nil" w:sz="6" w:space="0" w:color="auto"/>
              <w:right w:val="nil" w:sz="6" w:space="0" w:color="auto"/>
            </w:tcBorders>
          </w:tcPr>
          <w:p>
            <w:pPr/>
          </w:p>
        </w:tc>
        <w:tc>
          <w:tcPr>
            <w:tcW w:w="991" w:type="dxa"/>
            <w:tcBorders>
              <w:top w:val="nil" w:sz="6" w:space="0" w:color="auto"/>
              <w:left w:val="nil" w:sz="6" w:space="0" w:color="auto"/>
              <w:bottom w:val="nil" w:sz="6" w:space="0" w:color="auto"/>
              <w:right w:val="nil" w:sz="6" w:space="0" w:color="auto"/>
            </w:tcBorders>
          </w:tcPr>
          <w:p>
            <w:pPr/>
          </w:p>
        </w:tc>
        <w:tc>
          <w:tcPr>
            <w:tcW w:w="416" w:type="dxa"/>
            <w:vMerge/>
            <w:tcBorders>
              <w:left w:val="nil" w:sz="6" w:space="0" w:color="auto"/>
              <w:bottom w:val="nil" w:sz="6" w:space="0" w:color="auto"/>
              <w:right w:val="nil" w:sz="6" w:space="0" w:color="auto"/>
            </w:tcBorders>
          </w:tcPr>
          <w:p>
            <w:pPr/>
          </w:p>
        </w:tc>
      </w:tr>
      <w:tr>
        <w:trPr>
          <w:trHeight w:val="42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6"/>
              <w:jc w:val="right"/>
              <w:rPr>
                <w:rFonts w:ascii="Times New Roman" w:hAnsi="Times New Roman" w:cs="Times New Roman" w:eastAsia="Times New Roman" w:hint="default"/>
                <w:sz w:val="18"/>
                <w:szCs w:val="18"/>
              </w:rPr>
            </w:pPr>
            <w:r>
              <w:rPr>
                <w:rFonts w:ascii="Times New Roman"/>
                <w:spacing w:val="-1"/>
                <w:sz w:val="18"/>
              </w:rPr>
              <w:t>1,617,967,716</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35"/>
              <w:jc w:val="right"/>
              <w:rPr>
                <w:rFonts w:ascii="Times New Roman" w:hAnsi="Times New Roman" w:cs="Times New Roman" w:eastAsia="Times New Roman" w:hint="default"/>
                <w:sz w:val="18"/>
                <w:szCs w:val="18"/>
              </w:rPr>
            </w:pPr>
            <w:r>
              <w:rPr>
                <w:rFonts w:ascii="Times New Roman"/>
                <w:spacing w:val="-1"/>
                <w:sz w:val="18"/>
              </w:rPr>
              <w:t>1,157,146,702</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62"/>
              <w:jc w:val="right"/>
              <w:rPr>
                <w:rFonts w:ascii="Times New Roman" w:hAnsi="Times New Roman" w:cs="Times New Roman" w:eastAsia="Times New Roman" w:hint="default"/>
                <w:sz w:val="18"/>
                <w:szCs w:val="18"/>
              </w:rPr>
            </w:pPr>
            <w:r>
              <w:rPr>
                <w:rFonts w:ascii="Times New Roman"/>
                <w:sz w:val="18"/>
              </w:rPr>
              <w:t>39.8</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6"/>
              <w:jc w:val="right"/>
              <w:rPr>
                <w:rFonts w:ascii="Times New Roman" w:hAnsi="Times New Roman" w:cs="Times New Roman" w:eastAsia="Times New Roman" w:hint="default"/>
                <w:sz w:val="18"/>
                <w:szCs w:val="18"/>
              </w:rPr>
            </w:pPr>
            <w:r>
              <w:rPr>
                <w:rFonts w:ascii="Times New Roman"/>
                <w:sz w:val="18"/>
              </w:rPr>
              <w:t>(1)</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56,402,570</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29,721,864</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89.8</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37,435,226</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27,921,053</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34.1</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(3)</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325"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80,171,609</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w w:val="95"/>
                <w:sz w:val="18"/>
              </w:rPr>
              <w:t>-100.0</w:t>
            </w:r>
            <w:r>
              <w:rPr>
                <w:rFonts w:ascii="Times New Roman"/>
                <w:sz w:val="18"/>
              </w:rPr>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(4)</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154,338,369</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254,967,168</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-39.5</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(5)</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6,743,945</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223,268,190</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-97.0</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(6)</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101,619,083</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5,740,965</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1,670.1</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(7)</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33,915,703</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24,989,044</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35.7</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(8)</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325"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8,760,139</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w w:val="95"/>
                <w:sz w:val="18"/>
              </w:rPr>
              <w:t>-100.0</w:t>
            </w:r>
            <w:r>
              <w:rPr>
                <w:rFonts w:ascii="Times New Roman"/>
                <w:sz w:val="18"/>
              </w:rPr>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(9)</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127,940,447</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98,323,137</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30.1</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(10)</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40,490,287</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27,147,013</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49.2</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2"/>
                <w:w w:val="95"/>
                <w:sz w:val="18"/>
              </w:rPr>
              <w:t>(11)</w:t>
            </w:r>
            <w:r>
              <w:rPr>
                <w:rFonts w:ascii="Times New Roman"/>
                <w:spacing w:val="-2"/>
                <w:sz w:val="18"/>
              </w:rPr>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275,880</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487,988</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-43.5</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(12)</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325"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30,000,000</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w w:val="95"/>
                <w:sz w:val="18"/>
              </w:rPr>
              <w:t>-100.0</w:t>
            </w:r>
            <w:r>
              <w:rPr>
                <w:rFonts w:ascii="Times New Roman"/>
                <w:sz w:val="18"/>
              </w:rPr>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(13)</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8,929,270</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21,989,144</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-59.4</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(14)</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152,000,000</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275,000,000</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-44.7</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(15)</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2,642,684</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7,899,285</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-66.6</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(16)</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164,085,078</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pacing w:val="-1"/>
                <w:sz w:val="18"/>
              </w:rPr>
              <w:t>112,369,458</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46.0</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(17)</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1"/>
                <w:sz w:val="18"/>
              </w:rPr>
              <w:t>1,925,100,542</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pacing w:val="-1"/>
                <w:sz w:val="18"/>
              </w:rPr>
              <w:t>1,367,404,869</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40.8</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(18)</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17,522,498</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4,500,257</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289.4</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(19)</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12,777,412</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24,774,630</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-48.4</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(20)</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公允价值变动收益</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9,196,499</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w w:val="95"/>
                <w:sz w:val="18"/>
              </w:rPr>
              <w:t>-8,760,139</w:t>
            </w:r>
            <w:r>
              <w:rPr>
                <w:rFonts w:ascii="Times New Roman"/>
                <w:sz w:val="18"/>
              </w:rPr>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205.0</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(21)</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1"/>
                <w:sz w:val="18"/>
              </w:rPr>
              <w:t>112,214,666</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34,640,063</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223.9</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(22)</w:t>
            </w:r>
          </w:p>
        </w:tc>
      </w:tr>
      <w:tr>
        <w:trPr>
          <w:trHeight w:val="410" w:hRule="exact"/>
        </w:trPr>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1"/>
                <w:sz w:val="18"/>
              </w:rPr>
              <w:t>11,273,121</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34,039,065</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-66.9</w:t>
            </w:r>
          </w:p>
        </w:tc>
        <w:tc>
          <w:tcPr>
            <w:tcW w:w="991"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(23)</w:t>
            </w:r>
          </w:p>
        </w:tc>
      </w:tr>
      <w:tr>
        <w:trPr>
          <w:trHeight w:val="324" w:hRule="exact"/>
        </w:trPr>
        <w:tc>
          <w:tcPr>
            <w:tcW w:w="2284" w:type="dxa"/>
            <w:tcBorders>
              <w:top w:val="nil" w:sz="6" w:space="0" w:color="auto"/>
              <w:left w:val="nil" w:sz="6" w:space="0" w:color="auto"/>
              <w:bottom w:val="single" w:sz="8" w:space="0" w:color="000000"/>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325"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10,513,913</w:t>
            </w:r>
          </w:p>
        </w:tc>
        <w:tc>
          <w:tcPr>
            <w:tcW w:w="1281"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w w:val="95"/>
                <w:sz w:val="18"/>
              </w:rPr>
              <w:t>-18,467,772</w:t>
            </w:r>
            <w:r>
              <w:rPr>
                <w:rFonts w:ascii="Times New Roman"/>
                <w:sz w:val="18"/>
              </w:rPr>
            </w:r>
          </w:p>
        </w:tc>
        <w:tc>
          <w:tcPr>
            <w:tcW w:w="1449"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156.9</w:t>
            </w:r>
          </w:p>
        </w:tc>
        <w:tc>
          <w:tcPr>
            <w:tcW w:w="991" w:type="dxa"/>
            <w:tcBorders>
              <w:top w:val="nil" w:sz="6" w:space="0" w:color="auto"/>
              <w:left w:val="nil" w:sz="6" w:space="0" w:color="auto"/>
              <w:bottom w:val="single" w:sz="8" w:space="0" w:color="000000"/>
              <w:right w:val="nil" w:sz="6" w:space="0" w:color="auto"/>
            </w:tcBorders>
          </w:tcPr>
          <w:p>
            <w:pPr/>
          </w:p>
        </w:tc>
        <w:tc>
          <w:tcPr>
            <w:tcW w:w="416" w:type="dxa"/>
            <w:tcBorders>
              <w:top w:val="nil" w:sz="6" w:space="0" w:color="auto"/>
              <w:left w:val="nil" w:sz="6" w:space="0" w:color="auto"/>
              <w:bottom w:val="single" w:sz="8"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(24)</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spacing w:before="35"/>
        <w:ind w:left="857" w:right="0" w:firstLine="0"/>
        <w:jc w:val="both"/>
        <w:rPr>
          <w:rFonts w:ascii="宋体" w:hAnsi="宋体" w:cs="宋体" w:eastAsia="宋体" w:hint="default"/>
          <w:sz w:val="21"/>
          <w:szCs w:val="21"/>
        </w:rPr>
      </w:pPr>
      <w:r>
        <w:rPr>
          <w:rFonts w:ascii="宋体" w:hAnsi="宋体" w:cs="宋体" w:eastAsia="宋体" w:hint="default"/>
          <w:sz w:val="21"/>
          <w:szCs w:val="21"/>
        </w:rPr>
        <w:t>变动说明：</w:t>
      </w:r>
    </w:p>
    <w:p>
      <w:pPr>
        <w:spacing w:line="328" w:lineRule="auto" w:before="126"/>
        <w:ind w:left="857" w:right="151" w:firstLine="0"/>
        <w:jc w:val="both"/>
        <w:rPr>
          <w:rFonts w:ascii="宋体" w:hAnsi="宋体" w:cs="宋体" w:eastAsia="宋体" w:hint="default"/>
          <w:sz w:val="21"/>
          <w:szCs w:val="21"/>
        </w:rPr>
      </w:pPr>
      <w:r>
        <w:rPr>
          <w:rFonts w:ascii="Times New Roman" w:hAnsi="Times New Roman" w:cs="Times New Roman" w:eastAsia="Times New Roman" w:hint="default"/>
          <w:spacing w:val="-4"/>
          <w:sz w:val="21"/>
          <w:szCs w:val="21"/>
        </w:rPr>
        <w:t>1</w:t>
      </w:r>
      <w:r>
        <w:rPr>
          <w:rFonts w:ascii="宋体" w:hAnsi="宋体" w:cs="宋体" w:eastAsia="宋体" w:hint="default"/>
          <w:spacing w:val="-4"/>
          <w:sz w:val="21"/>
          <w:szCs w:val="21"/>
        </w:rPr>
        <w:t>、货币资金较期初增加</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46,082</w:t>
      </w:r>
      <w:r>
        <w:rPr>
          <w:rFonts w:ascii="Times New Roman" w:hAnsi="Times New Roman" w:cs="Times New Roman" w:eastAsia="Times New Roman" w:hint="default"/>
          <w:spacing w:val="-8"/>
          <w:sz w:val="21"/>
          <w:szCs w:val="21"/>
        </w:rPr>
        <w:t> </w:t>
      </w:r>
      <w:r>
        <w:rPr>
          <w:rFonts w:ascii="宋体" w:hAnsi="宋体" w:cs="宋体" w:eastAsia="宋体" w:hint="default"/>
          <w:spacing w:val="-7"/>
          <w:sz w:val="21"/>
          <w:szCs w:val="21"/>
        </w:rPr>
        <w:t>万元，上升</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39.8%</w:t>
      </w:r>
      <w:r>
        <w:rPr>
          <w:rFonts w:ascii="宋体" w:hAnsi="宋体" w:cs="宋体" w:eastAsia="宋体" w:hint="default"/>
          <w:sz w:val="21"/>
          <w:szCs w:val="21"/>
        </w:rPr>
        <w:t>，主要由于报告期内经营活动现金 净流入</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77,256</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万元，扣除投资活动净流出</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13,673</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万元和筹资活动净流出</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16,822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万 元后，货币资金有净增加所致；</w:t>
      </w:r>
    </w:p>
    <w:p>
      <w:pPr>
        <w:spacing w:after="0" w:line="328" w:lineRule="auto"/>
        <w:jc w:val="both"/>
        <w:rPr>
          <w:rFonts w:ascii="宋体" w:hAnsi="宋体" w:cs="宋体" w:eastAsia="宋体" w:hint="default"/>
          <w:sz w:val="21"/>
          <w:szCs w:val="21"/>
        </w:rPr>
        <w:sectPr>
          <w:pgSz w:w="11900" w:h="16840"/>
          <w:pgMar w:header="883" w:footer="1003" w:top="1540" w:bottom="1200" w:left="1660" w:right="1640"/>
        </w:sectPr>
      </w:pPr>
    </w:p>
    <w:p>
      <w:pPr>
        <w:spacing w:line="240" w:lineRule="auto" w:before="10"/>
        <w:rPr>
          <w:rFonts w:ascii="宋体" w:hAnsi="宋体" w:cs="宋体" w:eastAsia="宋体" w:hint="default"/>
          <w:sz w:val="8"/>
          <w:szCs w:val="8"/>
        </w:rPr>
      </w:pPr>
    </w:p>
    <w:p>
      <w:pPr>
        <w:spacing w:line="331" w:lineRule="auto" w:before="35"/>
        <w:ind w:left="857" w:right="212"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、应收票据较期初增加</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2,668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万元，上升</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89.8%</w:t>
      </w:r>
      <w:r>
        <w:rPr>
          <w:rFonts w:ascii="宋体" w:hAnsi="宋体" w:cs="宋体" w:eastAsia="宋体" w:hint="default"/>
          <w:sz w:val="21"/>
          <w:szCs w:val="21"/>
        </w:rPr>
        <w:t>，主要是应收软件及系统集成合同 的票据结算方式增加所致；</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line="331" w:lineRule="auto" w:before="0"/>
        <w:ind w:left="857" w:right="212"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、预付款项较期初增加</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951</w:t>
      </w:r>
      <w:r>
        <w:rPr>
          <w:rFonts w:ascii="Times New Roman" w:hAnsi="Times New Roman" w:cs="Times New Roman" w:eastAsia="Times New Roman" w:hint="default"/>
          <w:spacing w:val="-10"/>
          <w:sz w:val="21"/>
          <w:szCs w:val="21"/>
        </w:rPr>
        <w:t> </w:t>
      </w:r>
      <w:r>
        <w:rPr>
          <w:rFonts w:ascii="宋体" w:hAnsi="宋体" w:cs="宋体" w:eastAsia="宋体" w:hint="default"/>
          <w:spacing w:val="-4"/>
          <w:sz w:val="21"/>
          <w:szCs w:val="21"/>
        </w:rPr>
        <w:t>万元，上升</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34.1%</w:t>
      </w:r>
      <w:r>
        <w:rPr>
          <w:rFonts w:ascii="宋体" w:hAnsi="宋体" w:cs="宋体" w:eastAsia="宋体" w:hint="default"/>
          <w:sz w:val="21"/>
          <w:szCs w:val="21"/>
        </w:rPr>
        <w:t>，主要由于报告期内向主要供货商按 合同约定支付的采购预付款增加所致；</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line="331" w:lineRule="auto" w:before="0"/>
        <w:ind w:left="857" w:right="212"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、可供出售金融资产较期初减少 </w:t>
      </w:r>
      <w:r>
        <w:rPr>
          <w:rFonts w:ascii="Times New Roman" w:hAnsi="Times New Roman" w:cs="Times New Roman" w:eastAsia="Times New Roman" w:hint="default"/>
          <w:sz w:val="21"/>
          <w:szCs w:val="21"/>
        </w:rPr>
        <w:t>8,017 </w:t>
      </w:r>
      <w:r>
        <w:rPr>
          <w:rFonts w:ascii="宋体" w:hAnsi="宋体" w:cs="宋体" w:eastAsia="宋体" w:hint="default"/>
          <w:sz w:val="21"/>
          <w:szCs w:val="21"/>
        </w:rPr>
        <w:t>万元，下降</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，是由于本公司报告期内 处置全部可供出售金融资产所致；</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line="340" w:lineRule="auto" w:before="0"/>
        <w:ind w:left="857" w:right="211" w:firstLine="0"/>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5</w:t>
      </w:r>
      <w:r>
        <w:rPr>
          <w:rFonts w:ascii="宋体" w:hAnsi="宋体" w:cs="宋体" w:eastAsia="宋体" w:hint="default"/>
          <w:spacing w:val="-3"/>
          <w:sz w:val="21"/>
          <w:szCs w:val="21"/>
        </w:rPr>
        <w:t>、长期应收款较期初减少</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10,063</w:t>
      </w:r>
      <w:r>
        <w:rPr>
          <w:rFonts w:ascii="Times New Roman" w:hAnsi="Times New Roman" w:cs="Times New Roman" w:eastAsia="Times New Roman" w:hint="default"/>
          <w:spacing w:val="-11"/>
          <w:sz w:val="21"/>
          <w:szCs w:val="21"/>
        </w:rPr>
        <w:t> </w:t>
      </w:r>
      <w:r>
        <w:rPr>
          <w:rFonts w:ascii="宋体" w:hAnsi="宋体" w:cs="宋体" w:eastAsia="宋体" w:hint="default"/>
          <w:spacing w:val="-7"/>
          <w:sz w:val="21"/>
          <w:szCs w:val="21"/>
        </w:rPr>
        <w:t>万元，下降</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39.5%</w:t>
      </w:r>
      <w:r>
        <w:rPr>
          <w:rFonts w:ascii="宋体" w:hAnsi="宋体" w:cs="宋体" w:eastAsia="宋体" w:hint="default"/>
          <w:sz w:val="21"/>
          <w:szCs w:val="21"/>
        </w:rPr>
        <w:t>，主要由于本集团之子公司成都 东软信息技术发展有限公司和佛山市南海东软信息技术发展有限公司于报告期内收</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回以前年度资产转让款</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11,544</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万元所致；</w:t>
      </w:r>
    </w:p>
    <w:p>
      <w:pPr>
        <w:spacing w:line="240" w:lineRule="auto" w:before="6"/>
        <w:rPr>
          <w:rFonts w:ascii="宋体" w:hAnsi="宋体" w:cs="宋体" w:eastAsia="宋体" w:hint="default"/>
          <w:sz w:val="31"/>
          <w:szCs w:val="31"/>
        </w:rPr>
      </w:pPr>
    </w:p>
    <w:p>
      <w:pPr>
        <w:spacing w:before="0"/>
        <w:ind w:left="857" w:right="0" w:firstLine="0"/>
        <w:jc w:val="both"/>
        <w:rPr>
          <w:rFonts w:ascii="宋体" w:hAnsi="宋体" w:cs="宋体" w:eastAsia="宋体" w:hint="default"/>
          <w:sz w:val="21"/>
          <w:szCs w:val="21"/>
        </w:rPr>
      </w:pPr>
      <w:r>
        <w:rPr>
          <w:rFonts w:ascii="Times New Roman" w:hAnsi="Times New Roman" w:cs="Times New Roman" w:eastAsia="Times New Roman" w:hint="default"/>
          <w:spacing w:val="-7"/>
          <w:sz w:val="21"/>
          <w:szCs w:val="21"/>
        </w:rPr>
        <w:t>6</w:t>
      </w:r>
      <w:r>
        <w:rPr>
          <w:rFonts w:ascii="宋体" w:hAnsi="宋体" w:cs="宋体" w:eastAsia="宋体" w:hint="default"/>
          <w:spacing w:val="-7"/>
          <w:sz w:val="21"/>
          <w:szCs w:val="21"/>
        </w:rPr>
        <w:t>、在建工程较期初减少 </w:t>
      </w:r>
      <w:r>
        <w:rPr>
          <w:rFonts w:ascii="Times New Roman" w:hAnsi="Times New Roman" w:cs="Times New Roman" w:eastAsia="Times New Roman" w:hint="default"/>
          <w:sz w:val="21"/>
          <w:szCs w:val="21"/>
        </w:rPr>
        <w:t>21,652 </w:t>
      </w:r>
      <w:r>
        <w:rPr>
          <w:rFonts w:ascii="宋体" w:hAnsi="宋体" w:cs="宋体" w:eastAsia="宋体" w:hint="default"/>
          <w:spacing w:val="-14"/>
          <w:sz w:val="21"/>
          <w:szCs w:val="21"/>
        </w:rPr>
        <w:t>万元，下降</w:t>
      </w:r>
      <w:r>
        <w:rPr>
          <w:rFonts w:ascii="宋体" w:hAnsi="宋体" w:cs="宋体" w:eastAsia="宋体" w:hint="default"/>
          <w:spacing w:val="-77"/>
          <w:sz w:val="21"/>
          <w:szCs w:val="21"/>
        </w:rPr>
        <w:t> </w:t>
      </w:r>
      <w:r>
        <w:rPr>
          <w:rFonts w:ascii="Times New Roman" w:hAnsi="Times New Roman" w:cs="Times New Roman" w:eastAsia="Times New Roman" w:hint="default"/>
          <w:spacing w:val="-4"/>
          <w:sz w:val="21"/>
          <w:szCs w:val="21"/>
        </w:rPr>
        <w:t>97.0%</w:t>
      </w:r>
      <w:r>
        <w:rPr>
          <w:rFonts w:ascii="宋体" w:hAnsi="宋体" w:cs="宋体" w:eastAsia="宋体" w:hint="default"/>
          <w:spacing w:val="-4"/>
          <w:sz w:val="21"/>
          <w:szCs w:val="21"/>
        </w:rPr>
        <w:t>，主要由于完工转入固定资产所致；</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spacing w:before="0"/>
        <w:ind w:left="857"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、商誉较期初增加</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9,588</w:t>
      </w:r>
      <w:r>
        <w:rPr>
          <w:rFonts w:ascii="Times New Roman" w:hAnsi="Times New Roman" w:cs="Times New Roman" w:eastAsia="Times New Roman" w:hint="default"/>
          <w:spacing w:val="-13"/>
          <w:sz w:val="21"/>
          <w:szCs w:val="21"/>
        </w:rPr>
        <w:t> </w:t>
      </w:r>
      <w:r>
        <w:rPr>
          <w:rFonts w:ascii="宋体" w:hAnsi="宋体" w:cs="宋体" w:eastAsia="宋体" w:hint="default"/>
          <w:spacing w:val="-3"/>
          <w:sz w:val="21"/>
          <w:szCs w:val="21"/>
        </w:rPr>
        <w:t>万元，上升</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1,670.1%</w:t>
      </w:r>
      <w:r>
        <w:rPr>
          <w:rFonts w:ascii="宋体" w:hAnsi="宋体" w:cs="宋体" w:eastAsia="宋体" w:hint="default"/>
          <w:sz w:val="21"/>
          <w:szCs w:val="21"/>
        </w:rPr>
        <w:t>，主要由于本公司之子公司东软（欧</w:t>
      </w:r>
    </w:p>
    <w:p>
      <w:pPr>
        <w:spacing w:before="110"/>
        <w:ind w:left="857"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洲</w:t>
      </w:r>
      <w:r>
        <w:rPr>
          <w:rFonts w:ascii="宋体" w:hAnsi="宋体" w:cs="宋体" w:eastAsia="宋体" w:hint="default"/>
          <w:spacing w:val="-105"/>
          <w:sz w:val="21"/>
          <w:szCs w:val="21"/>
        </w:rPr>
        <w:t>）</w:t>
      </w:r>
      <w:r>
        <w:rPr>
          <w:rFonts w:ascii="宋体" w:hAnsi="宋体" w:cs="宋体" w:eastAsia="宋体" w:hint="default"/>
          <w:sz w:val="21"/>
          <w:szCs w:val="21"/>
        </w:rPr>
        <w:t>有限公</w:t>
      </w:r>
      <w:r>
        <w:rPr>
          <w:rFonts w:ascii="宋体" w:hAnsi="宋体" w:cs="宋体" w:eastAsia="宋体" w:hint="default"/>
          <w:spacing w:val="-2"/>
          <w:sz w:val="21"/>
          <w:szCs w:val="21"/>
        </w:rPr>
        <w:t>司</w:t>
      </w:r>
      <w:r>
        <w:rPr>
          <w:rFonts w:ascii="宋体" w:hAnsi="宋体" w:cs="宋体" w:eastAsia="宋体" w:hint="default"/>
          <w:sz w:val="21"/>
          <w:szCs w:val="21"/>
        </w:rPr>
        <w:t>向</w:t>
      </w:r>
      <w:r>
        <w:rPr>
          <w:rFonts w:ascii="宋体" w:hAnsi="宋体" w:cs="宋体" w:eastAsia="宋体" w:hint="default"/>
          <w:spacing w:val="-55"/>
          <w:sz w:val="21"/>
          <w:szCs w:val="21"/>
        </w:rPr>
        <w:t> </w:t>
      </w:r>
      <w:r>
        <w:rPr>
          <w:rFonts w:ascii="Times New Roman" w:hAnsi="Times New Roman" w:cs="Times New Roman" w:eastAsia="Times New Roman" w:hint="default"/>
          <w:spacing w:val="-1"/>
          <w:w w:val="99"/>
          <w:sz w:val="21"/>
          <w:szCs w:val="21"/>
        </w:rPr>
        <w:t>SESC</w:t>
      </w:r>
      <w:r>
        <w:rPr>
          <w:rFonts w:ascii="Times New Roman" w:hAnsi="Times New Roman" w:cs="Times New Roman" w:eastAsia="Times New Roman" w:hint="default"/>
          <w:w w:val="99"/>
          <w:sz w:val="21"/>
          <w:szCs w:val="21"/>
        </w:rPr>
        <w:t>A</w:t>
      </w:r>
      <w:r>
        <w:rPr>
          <w:rFonts w:ascii="Times New Roman" w:hAnsi="Times New Roman" w:cs="Times New Roman" w:eastAsia="Times New Roman" w:hint="default"/>
          <w:spacing w:val="-3"/>
          <w:sz w:val="21"/>
          <w:szCs w:val="21"/>
        </w:rPr>
        <w:t> </w:t>
      </w:r>
      <w:r>
        <w:rPr>
          <w:rFonts w:ascii="宋体" w:hAnsi="宋体" w:cs="宋体" w:eastAsia="宋体" w:hint="default"/>
          <w:spacing w:val="1"/>
          <w:sz w:val="21"/>
          <w:szCs w:val="21"/>
        </w:rPr>
        <w:t>集</w:t>
      </w:r>
      <w:r>
        <w:rPr>
          <w:rFonts w:ascii="宋体" w:hAnsi="宋体" w:cs="宋体" w:eastAsia="宋体" w:hint="default"/>
          <w:sz w:val="21"/>
          <w:szCs w:val="21"/>
        </w:rPr>
        <w:t>团购买</w:t>
      </w:r>
      <w:r>
        <w:rPr>
          <w:rFonts w:ascii="宋体" w:hAnsi="宋体" w:cs="宋体" w:eastAsia="宋体" w:hint="default"/>
          <w:spacing w:val="-55"/>
          <w:sz w:val="21"/>
          <w:szCs w:val="21"/>
        </w:rPr>
        <w:t> </w:t>
      </w:r>
      <w:r>
        <w:rPr>
          <w:rFonts w:ascii="Times New Roman" w:hAnsi="Times New Roman" w:cs="Times New Roman" w:eastAsia="Times New Roman" w:hint="default"/>
          <w:w w:val="99"/>
          <w:sz w:val="21"/>
          <w:szCs w:val="21"/>
        </w:rPr>
        <w:t>Sesca</w:t>
      </w:r>
      <w:r>
        <w:rPr>
          <w:rFonts w:ascii="Times New Roman" w:hAnsi="Times New Roman" w:cs="Times New Roman" w:eastAsia="Times New Roman" w:hint="default"/>
          <w:sz w:val="21"/>
          <w:szCs w:val="21"/>
        </w:rPr>
        <w:t> Mobile </w:t>
      </w:r>
      <w:r>
        <w:rPr>
          <w:rFonts w:ascii="Times New Roman" w:hAnsi="Times New Roman" w:cs="Times New Roman" w:eastAsia="Times New Roman" w:hint="default"/>
          <w:w w:val="99"/>
          <w:sz w:val="21"/>
          <w:szCs w:val="21"/>
        </w:rPr>
        <w:t>Soft</w:t>
      </w:r>
      <w:r>
        <w:rPr>
          <w:rFonts w:ascii="Times New Roman" w:hAnsi="Times New Roman" w:cs="Times New Roman" w:eastAsia="Times New Roman" w:hint="default"/>
          <w:spacing w:val="-2"/>
          <w:w w:val="99"/>
          <w:sz w:val="21"/>
          <w:szCs w:val="21"/>
        </w:rPr>
        <w:t>w</w:t>
      </w:r>
      <w:r>
        <w:rPr>
          <w:rFonts w:ascii="Times New Roman" w:hAnsi="Times New Roman" w:cs="Times New Roman" w:eastAsia="Times New Roman" w:hint="default"/>
          <w:sz w:val="21"/>
          <w:szCs w:val="21"/>
        </w:rPr>
        <w:t>are </w:t>
      </w:r>
      <w:r>
        <w:rPr>
          <w:rFonts w:ascii="Times New Roman" w:hAnsi="Times New Roman" w:cs="Times New Roman" w:eastAsia="Times New Roman" w:hint="default"/>
          <w:spacing w:val="-1"/>
          <w:w w:val="99"/>
          <w:sz w:val="21"/>
          <w:szCs w:val="21"/>
        </w:rPr>
        <w:t>O</w:t>
      </w:r>
      <w:r>
        <w:rPr>
          <w:rFonts w:ascii="宋体" w:hAnsi="宋体" w:cs="宋体" w:eastAsia="宋体" w:hint="default"/>
          <w:spacing w:val="-210"/>
          <w:sz w:val="21"/>
          <w:szCs w:val="21"/>
        </w:rPr>
        <w:t>（</w:t>
      </w:r>
      <w:r>
        <w:rPr>
          <w:rFonts w:ascii="Times New Roman" w:hAnsi="Times New Roman" w:cs="Times New Roman" w:eastAsia="Times New Roman" w:hint="default"/>
          <w:sz w:val="21"/>
          <w:szCs w:val="21"/>
        </w:rPr>
        <w:t>y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后更名为</w:t>
      </w:r>
      <w:r>
        <w:rPr>
          <w:rFonts w:ascii="宋体" w:hAnsi="宋体" w:cs="宋体" w:eastAsia="宋体" w:hint="default"/>
          <w:spacing w:val="-55"/>
          <w:sz w:val="21"/>
          <w:szCs w:val="21"/>
        </w:rPr>
        <w:t> </w:t>
      </w:r>
      <w:r>
        <w:rPr>
          <w:rFonts w:ascii="Times New Roman" w:hAnsi="Times New Roman" w:cs="Times New Roman" w:eastAsia="Times New Roman" w:hint="default"/>
          <w:spacing w:val="-1"/>
          <w:w w:val="99"/>
          <w:sz w:val="21"/>
          <w:szCs w:val="21"/>
        </w:rPr>
        <w:t>N</w:t>
      </w:r>
      <w:r>
        <w:rPr>
          <w:rFonts w:ascii="Times New Roman" w:hAnsi="Times New Roman" w:cs="Times New Roman" w:eastAsia="Times New Roman" w:hint="default"/>
          <w:sz w:val="21"/>
          <w:szCs w:val="21"/>
        </w:rPr>
        <w:t>eusoft</w:t>
      </w:r>
      <w:r>
        <w:rPr>
          <w:rFonts w:ascii="Times New Roman" w:hAnsi="Times New Roman" w:cs="Times New Roman" w:eastAsia="Times New Roman" w:hint="default"/>
          <w:spacing w:val="-1"/>
          <w:sz w:val="21"/>
          <w:szCs w:val="21"/>
        </w:rPr>
        <w:t> </w:t>
      </w:r>
      <w:r>
        <w:rPr>
          <w:rFonts w:ascii="Times New Roman" w:hAnsi="Times New Roman" w:cs="Times New Roman" w:eastAsia="Times New Roman" w:hint="default"/>
          <w:sz w:val="21"/>
          <w:szCs w:val="21"/>
        </w:rPr>
        <w:t>Mo</w:t>
      </w:r>
      <w:r>
        <w:rPr>
          <w:rFonts w:ascii="Times New Roman" w:hAnsi="Times New Roman" w:cs="Times New Roman" w:eastAsia="Times New Roman" w:hint="default"/>
          <w:spacing w:val="-1"/>
          <w:sz w:val="21"/>
          <w:szCs w:val="21"/>
        </w:rPr>
        <w:t>b</w:t>
      </w:r>
      <w:r>
        <w:rPr>
          <w:rFonts w:ascii="Times New Roman" w:hAnsi="Times New Roman" w:cs="Times New Roman" w:eastAsia="Times New Roman" w:hint="default"/>
          <w:sz w:val="21"/>
          <w:szCs w:val="21"/>
        </w:rPr>
        <w:t>i</w:t>
      </w:r>
      <w:r>
        <w:rPr>
          <w:rFonts w:ascii="Times New Roman" w:hAnsi="Times New Roman" w:cs="Times New Roman" w:eastAsia="Times New Roman" w:hint="default"/>
          <w:spacing w:val="-1"/>
          <w:sz w:val="21"/>
          <w:szCs w:val="21"/>
        </w:rPr>
        <w:t>l</w:t>
      </w:r>
      <w:r>
        <w:rPr>
          <w:rFonts w:ascii="Times New Roman" w:hAnsi="Times New Roman" w:cs="Times New Roman" w:eastAsia="Times New Roman" w:hint="default"/>
          <w:sz w:val="21"/>
          <w:szCs w:val="21"/>
        </w:rPr>
        <w:t>e</w:t>
      </w:r>
    </w:p>
    <w:p>
      <w:pPr>
        <w:spacing w:line="331" w:lineRule="auto" w:before="109"/>
        <w:ind w:left="857" w:right="211" w:hanging="1"/>
        <w:jc w:val="both"/>
        <w:rPr>
          <w:rFonts w:ascii="宋体" w:hAnsi="宋体" w:cs="宋体" w:eastAsia="宋体" w:hint="default"/>
          <w:sz w:val="21"/>
          <w:szCs w:val="21"/>
        </w:rPr>
      </w:pPr>
      <w:r>
        <w:rPr>
          <w:rFonts w:ascii="Times New Roman" w:hAnsi="Times New Roman" w:cs="Times New Roman" w:eastAsia="Times New Roman" w:hint="default"/>
          <w:spacing w:val="-1"/>
          <w:w w:val="99"/>
          <w:sz w:val="21"/>
          <w:szCs w:val="21"/>
        </w:rPr>
        <w:t>Solutions</w:t>
      </w:r>
      <w:r>
        <w:rPr>
          <w:rFonts w:ascii="Times New Roman" w:hAnsi="Times New Roman" w:cs="Times New Roman" w:eastAsia="Times New Roman" w:hint="default"/>
          <w:w w:val="99"/>
          <w:sz w:val="21"/>
          <w:szCs w:val="21"/>
        </w:rPr>
        <w:t> </w:t>
      </w:r>
      <w:r>
        <w:rPr>
          <w:rFonts w:ascii="Times New Roman" w:hAnsi="Times New Roman" w:cs="Times New Roman" w:eastAsia="Times New Roman" w:hint="default"/>
          <w:spacing w:val="-11"/>
          <w:w w:val="99"/>
          <w:sz w:val="21"/>
          <w:szCs w:val="21"/>
        </w:rPr>
        <w:t>Oy</w:t>
      </w:r>
      <w:r>
        <w:rPr>
          <w:rFonts w:ascii="宋体" w:hAnsi="宋体" w:cs="宋体" w:eastAsia="宋体" w:hint="default"/>
          <w:spacing w:val="-11"/>
          <w:w w:val="99"/>
          <w:sz w:val="21"/>
          <w:szCs w:val="21"/>
        </w:rPr>
        <w:t>）、</w:t>
      </w:r>
      <w:r>
        <w:rPr>
          <w:rFonts w:ascii="Times New Roman" w:hAnsi="Times New Roman" w:cs="Times New Roman" w:eastAsia="Times New Roman" w:hint="default"/>
          <w:spacing w:val="-11"/>
          <w:w w:val="99"/>
          <w:sz w:val="21"/>
          <w:szCs w:val="21"/>
        </w:rPr>
        <w:t>Almitas</w:t>
      </w:r>
      <w:r>
        <w:rPr>
          <w:rFonts w:ascii="Times New Roman" w:hAnsi="Times New Roman" w:cs="Times New Roman" w:eastAsia="Times New Roman" w:hint="default"/>
          <w:w w:val="99"/>
          <w:sz w:val="21"/>
          <w:szCs w:val="21"/>
        </w:rPr>
        <w:t> </w:t>
      </w:r>
      <w:r>
        <w:rPr>
          <w:rFonts w:ascii="Times New Roman" w:hAnsi="Times New Roman" w:cs="Times New Roman" w:eastAsia="Times New Roman" w:hint="default"/>
          <w:spacing w:val="-1"/>
          <w:w w:val="99"/>
          <w:sz w:val="21"/>
          <w:szCs w:val="21"/>
        </w:rPr>
        <w:t>Oy</w:t>
      </w:r>
      <w:r>
        <w:rPr>
          <w:rFonts w:ascii="Times New Roman" w:hAnsi="Times New Roman" w:cs="Times New Roman" w:eastAsia="Times New Roman" w:hint="default"/>
          <w:w w:val="99"/>
          <w:sz w:val="21"/>
          <w:szCs w:val="21"/>
        </w:rPr>
        <w:t> </w:t>
      </w:r>
      <w:r>
        <w:rPr>
          <w:rFonts w:ascii="宋体" w:hAnsi="宋体" w:cs="宋体" w:eastAsia="宋体" w:hint="default"/>
          <w:w w:val="99"/>
          <w:sz w:val="21"/>
          <w:szCs w:val="21"/>
        </w:rPr>
        <w:t>和 </w:t>
      </w:r>
      <w:r>
        <w:rPr>
          <w:rFonts w:ascii="Times New Roman" w:hAnsi="Times New Roman" w:cs="Times New Roman" w:eastAsia="Times New Roman" w:hint="default"/>
          <w:spacing w:val="-1"/>
          <w:w w:val="99"/>
          <w:sz w:val="21"/>
          <w:szCs w:val="21"/>
        </w:rPr>
        <w:t>Sesca</w:t>
      </w:r>
      <w:r>
        <w:rPr>
          <w:rFonts w:ascii="Times New Roman" w:hAnsi="Times New Roman" w:cs="Times New Roman" w:eastAsia="Times New Roman" w:hint="default"/>
          <w:w w:val="99"/>
          <w:sz w:val="21"/>
          <w:szCs w:val="21"/>
        </w:rPr>
        <w:t> </w:t>
      </w:r>
      <w:r>
        <w:rPr>
          <w:rFonts w:ascii="Times New Roman" w:hAnsi="Times New Roman" w:cs="Times New Roman" w:eastAsia="Times New Roman" w:hint="default"/>
          <w:spacing w:val="-2"/>
          <w:w w:val="99"/>
          <w:sz w:val="21"/>
          <w:szCs w:val="21"/>
        </w:rPr>
        <w:t>Technologies</w:t>
      </w:r>
      <w:r>
        <w:rPr>
          <w:rFonts w:ascii="Times New Roman" w:hAnsi="Times New Roman" w:cs="Times New Roman" w:eastAsia="Times New Roman" w:hint="default"/>
          <w:w w:val="99"/>
          <w:sz w:val="21"/>
          <w:szCs w:val="21"/>
        </w:rPr>
        <w:t> </w:t>
      </w:r>
      <w:r>
        <w:rPr>
          <w:rFonts w:ascii="Times New Roman" w:hAnsi="Times New Roman" w:cs="Times New Roman" w:eastAsia="Times New Roman" w:hint="default"/>
          <w:spacing w:val="-1"/>
          <w:w w:val="99"/>
          <w:sz w:val="21"/>
          <w:szCs w:val="21"/>
        </w:rPr>
        <w:t>SRL</w:t>
      </w:r>
      <w:r>
        <w:rPr>
          <w:rFonts w:ascii="宋体" w:hAnsi="宋体" w:cs="宋体" w:eastAsia="宋体" w:hint="default"/>
          <w:spacing w:val="-1"/>
          <w:w w:val="99"/>
          <w:sz w:val="21"/>
          <w:szCs w:val="21"/>
        </w:rPr>
        <w:t>（后更名为</w:t>
      </w:r>
      <w:r>
        <w:rPr>
          <w:rFonts w:ascii="宋体" w:hAnsi="宋体" w:cs="宋体" w:eastAsia="宋体" w:hint="default"/>
          <w:w w:val="99"/>
          <w:sz w:val="21"/>
          <w:szCs w:val="21"/>
        </w:rPr>
        <w:t> </w:t>
      </w:r>
      <w:r>
        <w:rPr>
          <w:rFonts w:ascii="Times New Roman" w:hAnsi="Times New Roman" w:cs="Times New Roman" w:eastAsia="Times New Roman" w:hint="default"/>
          <w:spacing w:val="-1"/>
          <w:w w:val="99"/>
          <w:sz w:val="21"/>
          <w:szCs w:val="21"/>
        </w:rPr>
        <w:t>Neusoft</w:t>
      </w:r>
      <w:r>
        <w:rPr>
          <w:rFonts w:ascii="Times New Roman" w:hAnsi="Times New Roman" w:cs="Times New Roman" w:eastAsia="Times New Roman" w:hint="default"/>
          <w:spacing w:val="31"/>
          <w:w w:val="99"/>
          <w:sz w:val="21"/>
          <w:szCs w:val="21"/>
        </w:rPr>
        <w:t> </w:t>
      </w:r>
      <w:r>
        <w:rPr>
          <w:rFonts w:ascii="Times New Roman" w:hAnsi="Times New Roman" w:cs="Times New Roman" w:eastAsia="Times New Roman" w:hint="default"/>
          <w:spacing w:val="-1"/>
          <w:w w:val="99"/>
          <w:sz w:val="21"/>
          <w:szCs w:val="21"/>
        </w:rPr>
        <w:t>Mobile</w:t>
      </w:r>
      <w:r>
        <w:rPr>
          <w:rFonts w:ascii="Times New Roman" w:hAnsi="Times New Roman" w:cs="Times New Roman" w:eastAsia="Times New Roman" w:hint="default"/>
          <w:sz w:val="21"/>
          <w:szCs w:val="21"/>
        </w:rPr>
        <w:t> Solutions </w:t>
      </w:r>
      <w:r>
        <w:rPr>
          <w:rFonts w:ascii="Times New Roman" w:hAnsi="Times New Roman" w:cs="Times New Roman" w:eastAsia="Times New Roman" w:hint="default"/>
          <w:spacing w:val="-4"/>
          <w:sz w:val="21"/>
          <w:szCs w:val="21"/>
        </w:rPr>
        <w:t>SRL</w:t>
      </w:r>
      <w:r>
        <w:rPr>
          <w:rFonts w:ascii="宋体" w:hAnsi="宋体" w:cs="宋体" w:eastAsia="宋体" w:hint="default"/>
          <w:spacing w:val="-4"/>
          <w:sz w:val="21"/>
          <w:szCs w:val="21"/>
        </w:rPr>
        <w:t>）三家子公司</w:t>
      </w:r>
      <w:r>
        <w:rPr>
          <w:rFonts w:ascii="宋体" w:hAnsi="宋体" w:cs="宋体" w:eastAsia="宋体" w:hint="default"/>
          <w:spacing w:val="-90"/>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的股权，购买价高于应享有的可辨认净资产公允价 值部分确认商誉所致；</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line="340" w:lineRule="auto" w:before="0"/>
        <w:ind w:left="857" w:right="211"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宋体" w:hAnsi="宋体" w:cs="宋体" w:eastAsia="宋体" w:hint="default"/>
          <w:sz w:val="21"/>
          <w:szCs w:val="21"/>
        </w:rPr>
        <w:t>、递延所得税资产较期初增加</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893</w:t>
      </w:r>
      <w:r>
        <w:rPr>
          <w:rFonts w:ascii="Times New Roman" w:hAnsi="Times New Roman" w:cs="Times New Roman" w:eastAsia="Times New Roman" w:hint="default"/>
          <w:spacing w:val="-12"/>
          <w:sz w:val="21"/>
          <w:szCs w:val="21"/>
        </w:rPr>
        <w:t> </w:t>
      </w:r>
      <w:r>
        <w:rPr>
          <w:rFonts w:ascii="宋体" w:hAnsi="宋体" w:cs="宋体" w:eastAsia="宋体" w:hint="default"/>
          <w:spacing w:val="-3"/>
          <w:sz w:val="21"/>
          <w:szCs w:val="21"/>
        </w:rPr>
        <w:t>万元，上升</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35.7%</w:t>
      </w:r>
      <w:r>
        <w:rPr>
          <w:rFonts w:ascii="宋体" w:hAnsi="宋体" w:cs="宋体" w:eastAsia="宋体" w:hint="default"/>
          <w:sz w:val="21"/>
          <w:szCs w:val="21"/>
        </w:rPr>
        <w:t>，主要由于报告期内预提员工 奖金、资产减值准备、外币远期结汇合同公允价值变动以及计入递延收益的政府补</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助等形成的可抵扣的暂时性差异较年初增加所致；</w:t>
      </w:r>
    </w:p>
    <w:p>
      <w:pPr>
        <w:spacing w:line="240" w:lineRule="auto" w:before="0"/>
        <w:rPr>
          <w:rFonts w:ascii="宋体" w:hAnsi="宋体" w:cs="宋体" w:eastAsia="宋体" w:hint="default"/>
          <w:sz w:val="20"/>
          <w:szCs w:val="20"/>
        </w:rPr>
      </w:pPr>
    </w:p>
    <w:p>
      <w:pPr>
        <w:spacing w:line="343" w:lineRule="auto" w:before="175"/>
        <w:ind w:left="857" w:right="211" w:hanging="1"/>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9</w:t>
      </w:r>
      <w:r>
        <w:rPr>
          <w:rFonts w:ascii="宋体" w:hAnsi="宋体" w:cs="宋体" w:eastAsia="宋体" w:hint="default"/>
          <w:spacing w:val="-3"/>
          <w:sz w:val="21"/>
          <w:szCs w:val="21"/>
        </w:rPr>
        <w:t>、交易性金融负债较期初减少</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876</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万元，主要由于本公司为锁定部分外汇变动风险 而签订的外币远期结汇合同，本报告期末根据公开市场汇率报价计算，将预计的浮</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动收益计入公允价值变动收益并作为交易性金融资产列报，同时冲回上年末确认的</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5"/>
          <w:sz w:val="21"/>
          <w:szCs w:val="21"/>
        </w:rPr>
        <w:t>交易性金融负债（差异亦计入公允价值变动收益）；</w:t>
      </w:r>
    </w:p>
    <w:p>
      <w:pPr>
        <w:spacing w:line="240" w:lineRule="auto" w:before="0"/>
        <w:rPr>
          <w:rFonts w:ascii="宋体" w:hAnsi="宋体" w:cs="宋体" w:eastAsia="宋体" w:hint="default"/>
          <w:sz w:val="20"/>
          <w:szCs w:val="20"/>
        </w:rPr>
      </w:pPr>
    </w:p>
    <w:p>
      <w:pPr>
        <w:spacing w:line="331" w:lineRule="auto" w:before="172"/>
        <w:ind w:left="857" w:right="211" w:firstLine="0"/>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10</w:t>
      </w:r>
      <w:r>
        <w:rPr>
          <w:rFonts w:ascii="宋体" w:hAnsi="宋体" w:cs="宋体" w:eastAsia="宋体" w:hint="default"/>
          <w:spacing w:val="-3"/>
          <w:sz w:val="21"/>
          <w:szCs w:val="21"/>
        </w:rPr>
        <w:t>、应付票据较期初增加</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2,962</w:t>
      </w:r>
      <w:r>
        <w:rPr>
          <w:rFonts w:ascii="Times New Roman" w:hAnsi="Times New Roman" w:cs="Times New Roman" w:eastAsia="Times New Roman" w:hint="default"/>
          <w:spacing w:val="-11"/>
          <w:sz w:val="21"/>
          <w:szCs w:val="21"/>
        </w:rPr>
        <w:t> </w:t>
      </w:r>
      <w:r>
        <w:rPr>
          <w:rFonts w:ascii="宋体" w:hAnsi="宋体" w:cs="宋体" w:eastAsia="宋体" w:hint="default"/>
          <w:spacing w:val="-7"/>
          <w:sz w:val="21"/>
          <w:szCs w:val="21"/>
        </w:rPr>
        <w:t>万元，上升</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30.1%</w:t>
      </w:r>
      <w:r>
        <w:rPr>
          <w:rFonts w:ascii="宋体" w:hAnsi="宋体" w:cs="宋体" w:eastAsia="宋体" w:hint="default"/>
          <w:sz w:val="21"/>
          <w:szCs w:val="21"/>
        </w:rPr>
        <w:t>，主要由于向供应商采购并根据合 同约定条款以票据方式结算的业务量增加所致；</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before="0"/>
        <w:ind w:left="857" w:right="0" w:firstLine="0"/>
        <w:jc w:val="both"/>
        <w:rPr>
          <w:rFonts w:ascii="宋体" w:hAnsi="宋体" w:cs="宋体" w:eastAsia="宋体" w:hint="default"/>
          <w:sz w:val="21"/>
          <w:szCs w:val="21"/>
        </w:rPr>
      </w:pPr>
      <w:r>
        <w:rPr>
          <w:rFonts w:ascii="Times New Roman" w:hAnsi="Times New Roman" w:cs="Times New Roman" w:eastAsia="Times New Roman" w:hint="default"/>
          <w:spacing w:val="-4"/>
          <w:sz w:val="21"/>
          <w:szCs w:val="21"/>
        </w:rPr>
        <w:t>11</w:t>
      </w:r>
      <w:r>
        <w:rPr>
          <w:rFonts w:ascii="宋体" w:hAnsi="宋体" w:cs="宋体" w:eastAsia="宋体" w:hint="default"/>
          <w:spacing w:val="-4"/>
          <w:sz w:val="21"/>
          <w:szCs w:val="21"/>
        </w:rPr>
        <w:t>、应交税费较期初增加</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1,334</w:t>
      </w:r>
      <w:r>
        <w:rPr>
          <w:rFonts w:ascii="Times New Roman" w:hAnsi="Times New Roman" w:cs="Times New Roman" w:eastAsia="Times New Roman" w:hint="default"/>
          <w:spacing w:val="-9"/>
          <w:sz w:val="21"/>
          <w:szCs w:val="21"/>
        </w:rPr>
        <w:t> </w:t>
      </w:r>
      <w:r>
        <w:rPr>
          <w:rFonts w:ascii="宋体" w:hAnsi="宋体" w:cs="宋体" w:eastAsia="宋体" w:hint="default"/>
          <w:spacing w:val="-6"/>
          <w:sz w:val="21"/>
          <w:szCs w:val="21"/>
        </w:rPr>
        <w:t>万元，上升</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49.2%</w:t>
      </w:r>
      <w:r>
        <w:rPr>
          <w:rFonts w:ascii="宋体" w:hAnsi="宋体" w:cs="宋体" w:eastAsia="宋体" w:hint="default"/>
          <w:sz w:val="21"/>
          <w:szCs w:val="21"/>
        </w:rPr>
        <w:t>，主要由于本公司报告期末应交企</w:t>
      </w:r>
    </w:p>
    <w:p>
      <w:pPr>
        <w:spacing w:after="0"/>
        <w:jc w:val="both"/>
        <w:rPr>
          <w:rFonts w:ascii="宋体" w:hAnsi="宋体" w:cs="宋体" w:eastAsia="宋体" w:hint="default"/>
          <w:sz w:val="21"/>
          <w:szCs w:val="21"/>
        </w:rPr>
        <w:sectPr>
          <w:pgSz w:w="11900" w:h="16840"/>
          <w:pgMar w:header="883" w:footer="1003" w:top="1540" w:bottom="1200" w:left="1660" w:right="1580"/>
        </w:sectPr>
      </w:pPr>
    </w:p>
    <w:p>
      <w:pPr>
        <w:spacing w:line="240" w:lineRule="auto" w:before="10"/>
        <w:rPr>
          <w:rFonts w:ascii="宋体" w:hAnsi="宋体" w:cs="宋体" w:eastAsia="宋体" w:hint="default"/>
          <w:sz w:val="8"/>
          <w:szCs w:val="8"/>
        </w:rPr>
      </w:pPr>
    </w:p>
    <w:p>
      <w:pPr>
        <w:spacing w:before="35"/>
        <w:ind w:left="857" w:right="0" w:firstLine="0"/>
        <w:jc w:val="both"/>
        <w:rPr>
          <w:rFonts w:ascii="宋体" w:hAnsi="宋体" w:cs="宋体" w:eastAsia="宋体" w:hint="default"/>
          <w:sz w:val="21"/>
          <w:szCs w:val="21"/>
        </w:rPr>
      </w:pPr>
      <w:r>
        <w:rPr>
          <w:rFonts w:ascii="宋体" w:hAnsi="宋体" w:cs="宋体" w:eastAsia="宋体" w:hint="default"/>
          <w:sz w:val="21"/>
          <w:szCs w:val="21"/>
        </w:rPr>
        <w:t>业所得税较期初增加</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1,287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万元所致；</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line="340" w:lineRule="auto" w:before="0"/>
        <w:ind w:left="857" w:right="151"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12</w:t>
      </w:r>
      <w:r>
        <w:rPr>
          <w:rFonts w:ascii="宋体" w:hAnsi="宋体" w:cs="宋体" w:eastAsia="宋体" w:hint="default"/>
          <w:sz w:val="21"/>
          <w:szCs w:val="21"/>
        </w:rPr>
        <w:t>、应付利息较期初减少</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11"/>
          <w:sz w:val="21"/>
          <w:szCs w:val="21"/>
        </w:rPr>
        <w:t> </w:t>
      </w:r>
      <w:r>
        <w:rPr>
          <w:rFonts w:ascii="宋体" w:hAnsi="宋体" w:cs="宋体" w:eastAsia="宋体" w:hint="default"/>
          <w:spacing w:val="-3"/>
          <w:sz w:val="21"/>
          <w:szCs w:val="21"/>
        </w:rPr>
        <w:t>万元，下降</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43.5%</w:t>
      </w:r>
      <w:r>
        <w:rPr>
          <w:rFonts w:ascii="宋体" w:hAnsi="宋体" w:cs="宋体" w:eastAsia="宋体" w:hint="default"/>
          <w:sz w:val="21"/>
          <w:szCs w:val="21"/>
        </w:rPr>
        <w:t>，主要由于本集团之子公司大连东软 软件园产业发展有限公司于报告期内偿付部分长期银行借款，本期末计提的应付利</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息因而少于上年末金额；</w:t>
      </w:r>
    </w:p>
    <w:p>
      <w:pPr>
        <w:spacing w:line="240" w:lineRule="auto" w:before="0"/>
        <w:rPr>
          <w:rFonts w:ascii="宋体" w:hAnsi="宋体" w:cs="宋体" w:eastAsia="宋体" w:hint="default"/>
          <w:sz w:val="20"/>
          <w:szCs w:val="20"/>
        </w:rPr>
      </w:pPr>
    </w:p>
    <w:p>
      <w:pPr>
        <w:spacing w:line="340" w:lineRule="auto" w:before="174"/>
        <w:ind w:left="857" w:right="151"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13</w:t>
      </w:r>
      <w:r>
        <w:rPr>
          <w:rFonts w:ascii="宋体" w:hAnsi="宋体" w:cs="宋体" w:eastAsia="宋体" w:hint="default"/>
          <w:sz w:val="21"/>
          <w:szCs w:val="21"/>
        </w:rPr>
        <w:t>、一年内到期的非流动负债较期初减少</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3,000</w:t>
      </w:r>
      <w:r>
        <w:rPr>
          <w:rFonts w:ascii="Times New Roman" w:hAnsi="Times New Roman" w:cs="Times New Roman" w:eastAsia="Times New Roman" w:hint="default"/>
          <w:spacing w:val="-12"/>
          <w:sz w:val="21"/>
          <w:szCs w:val="21"/>
        </w:rPr>
        <w:t> </w:t>
      </w:r>
      <w:r>
        <w:rPr>
          <w:rFonts w:ascii="宋体" w:hAnsi="宋体" w:cs="宋体" w:eastAsia="宋体" w:hint="default"/>
          <w:spacing w:val="-3"/>
          <w:sz w:val="21"/>
          <w:szCs w:val="21"/>
        </w:rPr>
        <w:t>万元，下降</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，主要由于本集团 之子公司大连东软软件园产业发展有限公司于本报告期内归还了将于一年内到期的</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长期银行借款所致；</w:t>
      </w:r>
    </w:p>
    <w:p>
      <w:pPr>
        <w:spacing w:line="240" w:lineRule="auto" w:before="0"/>
        <w:rPr>
          <w:rFonts w:ascii="宋体" w:hAnsi="宋体" w:cs="宋体" w:eastAsia="宋体" w:hint="default"/>
          <w:sz w:val="20"/>
          <w:szCs w:val="20"/>
        </w:rPr>
      </w:pPr>
    </w:p>
    <w:p>
      <w:pPr>
        <w:spacing w:line="338" w:lineRule="auto" w:before="175"/>
        <w:ind w:left="857" w:right="151" w:firstLine="0"/>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14</w:t>
      </w:r>
      <w:r>
        <w:rPr>
          <w:rFonts w:ascii="宋体" w:hAnsi="宋体" w:cs="宋体" w:eastAsia="宋体" w:hint="default"/>
          <w:spacing w:val="-3"/>
          <w:sz w:val="21"/>
          <w:szCs w:val="21"/>
        </w:rPr>
        <w:t>、其他流动负债较期初减少</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1,306</w:t>
      </w:r>
      <w:r>
        <w:rPr>
          <w:rFonts w:ascii="Times New Roman" w:hAnsi="Times New Roman" w:cs="Times New Roman" w:eastAsia="Times New Roman" w:hint="default"/>
          <w:spacing w:val="6"/>
          <w:sz w:val="21"/>
          <w:szCs w:val="21"/>
        </w:rPr>
        <w:t> </w:t>
      </w:r>
      <w:r>
        <w:rPr>
          <w:rFonts w:ascii="宋体" w:hAnsi="宋体" w:cs="宋体" w:eastAsia="宋体" w:hint="default"/>
          <w:spacing w:val="-7"/>
          <w:sz w:val="21"/>
          <w:szCs w:val="21"/>
        </w:rPr>
        <w:t>万元，下降</w:t>
      </w:r>
      <w:r>
        <w:rPr>
          <w:rFonts w:ascii="宋体" w:hAnsi="宋体" w:cs="宋体" w:eastAsia="宋体" w:hint="default"/>
          <w:spacing w:val="-46"/>
          <w:sz w:val="21"/>
          <w:szCs w:val="21"/>
        </w:rPr>
        <w:t> </w:t>
      </w:r>
      <w:r>
        <w:rPr>
          <w:rFonts w:ascii="Times New Roman" w:hAnsi="Times New Roman" w:cs="Times New Roman" w:eastAsia="Times New Roman" w:hint="default"/>
          <w:spacing w:val="-3"/>
          <w:sz w:val="21"/>
          <w:szCs w:val="21"/>
        </w:rPr>
        <w:t>59.4%</w:t>
      </w:r>
      <w:r>
        <w:rPr>
          <w:rFonts w:ascii="宋体" w:hAnsi="宋体" w:cs="宋体" w:eastAsia="宋体" w:hint="default"/>
          <w:spacing w:val="-3"/>
          <w:sz w:val="21"/>
          <w:szCs w:val="21"/>
        </w:rPr>
        <w:t>，主要由于上年同期本集团之</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子公司成都东软信息技术发展有限公司预提了在四川地震中受损的资产修复支出，</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本报告期内根据实际工程进度支付</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1,181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万元所致；</w:t>
      </w:r>
    </w:p>
    <w:p>
      <w:pPr>
        <w:spacing w:line="240" w:lineRule="auto" w:before="9"/>
        <w:rPr>
          <w:rFonts w:ascii="宋体" w:hAnsi="宋体" w:cs="宋体" w:eastAsia="宋体" w:hint="default"/>
          <w:sz w:val="31"/>
          <w:szCs w:val="31"/>
        </w:rPr>
      </w:pPr>
    </w:p>
    <w:p>
      <w:pPr>
        <w:spacing w:line="340" w:lineRule="auto" w:before="0"/>
        <w:ind w:left="857" w:right="151"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15</w:t>
      </w:r>
      <w:r>
        <w:rPr>
          <w:rFonts w:ascii="宋体" w:hAnsi="宋体" w:cs="宋体" w:eastAsia="宋体" w:hint="default"/>
          <w:sz w:val="21"/>
          <w:szCs w:val="21"/>
        </w:rPr>
        <w:t>、长期借款较期初减少</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12,300 </w:t>
      </w:r>
      <w:r>
        <w:rPr>
          <w:rFonts w:ascii="宋体" w:hAnsi="宋体" w:cs="宋体" w:eastAsia="宋体" w:hint="default"/>
          <w:sz w:val="21"/>
          <w:szCs w:val="21"/>
        </w:rPr>
        <w:t>万元，下降</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44.7%</w:t>
      </w:r>
      <w:r>
        <w:rPr>
          <w:rFonts w:ascii="宋体" w:hAnsi="宋体" w:cs="宋体" w:eastAsia="宋体" w:hint="default"/>
          <w:sz w:val="21"/>
          <w:szCs w:val="21"/>
        </w:rPr>
        <w:t>，主要由于本公司之子公司东软 集团（大连）有限公司及本集团之子公司大连东软软件园产业发展有限公司于本报</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告期内归还了长期银行借款所致；</w:t>
      </w:r>
    </w:p>
    <w:p>
      <w:pPr>
        <w:spacing w:line="240" w:lineRule="auto" w:before="0"/>
        <w:rPr>
          <w:rFonts w:ascii="宋体" w:hAnsi="宋体" w:cs="宋体" w:eastAsia="宋体" w:hint="default"/>
          <w:sz w:val="20"/>
          <w:szCs w:val="20"/>
        </w:rPr>
      </w:pPr>
    </w:p>
    <w:p>
      <w:pPr>
        <w:spacing w:line="340" w:lineRule="auto" w:before="174"/>
        <w:ind w:left="857" w:right="151"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16</w:t>
      </w:r>
      <w:r>
        <w:rPr>
          <w:rFonts w:ascii="宋体" w:hAnsi="宋体" w:cs="宋体" w:eastAsia="宋体" w:hint="default"/>
          <w:sz w:val="21"/>
          <w:szCs w:val="21"/>
        </w:rPr>
        <w:t>、递延所得税负债较期初减少 </w:t>
      </w:r>
      <w:r>
        <w:rPr>
          <w:rFonts w:ascii="Times New Roman" w:hAnsi="Times New Roman" w:cs="Times New Roman" w:eastAsia="Times New Roman" w:hint="default"/>
          <w:sz w:val="21"/>
          <w:szCs w:val="21"/>
        </w:rPr>
        <w:t>526 </w:t>
      </w:r>
      <w:r>
        <w:rPr>
          <w:rFonts w:ascii="宋体" w:hAnsi="宋体" w:cs="宋体" w:eastAsia="宋体" w:hint="default"/>
          <w:sz w:val="21"/>
          <w:szCs w:val="21"/>
        </w:rPr>
        <w:t>万元，下降</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66.5%</w:t>
      </w:r>
      <w:r>
        <w:rPr>
          <w:rFonts w:ascii="宋体" w:hAnsi="宋体" w:cs="宋体" w:eastAsia="宋体" w:hint="default"/>
          <w:sz w:val="21"/>
          <w:szCs w:val="21"/>
        </w:rPr>
        <w:t>，主要由于本公司报告期内 因处置按照公允价值计量的可供出售金融资产而使得应纳税暂时性差异较年初减少</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所致；</w:t>
      </w:r>
    </w:p>
    <w:p>
      <w:pPr>
        <w:spacing w:line="240" w:lineRule="auto" w:before="0"/>
        <w:rPr>
          <w:rFonts w:ascii="宋体" w:hAnsi="宋体" w:cs="宋体" w:eastAsia="宋体" w:hint="default"/>
          <w:sz w:val="20"/>
          <w:szCs w:val="20"/>
        </w:rPr>
      </w:pPr>
    </w:p>
    <w:p>
      <w:pPr>
        <w:spacing w:line="328" w:lineRule="auto" w:before="175"/>
        <w:ind w:left="857" w:right="152" w:firstLine="0"/>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17</w:t>
      </w:r>
      <w:r>
        <w:rPr>
          <w:rFonts w:ascii="宋体" w:hAnsi="宋体" w:cs="宋体" w:eastAsia="宋体" w:hint="default"/>
          <w:spacing w:val="-3"/>
          <w:sz w:val="21"/>
          <w:szCs w:val="21"/>
        </w:rPr>
        <w:t>、其他非流动负债较期初增加</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5,172</w:t>
      </w:r>
      <w:r>
        <w:rPr>
          <w:rFonts w:ascii="Times New Roman" w:hAnsi="Times New Roman" w:cs="Times New Roman" w:eastAsia="Times New Roman" w:hint="default"/>
          <w:spacing w:val="8"/>
          <w:sz w:val="21"/>
          <w:szCs w:val="21"/>
        </w:rPr>
        <w:t> </w:t>
      </w:r>
      <w:r>
        <w:rPr>
          <w:rFonts w:ascii="宋体" w:hAnsi="宋体" w:cs="宋体" w:eastAsia="宋体" w:hint="default"/>
          <w:spacing w:val="-8"/>
          <w:sz w:val="21"/>
          <w:szCs w:val="21"/>
        </w:rPr>
        <w:t>万元，上升</w:t>
      </w:r>
      <w:r>
        <w:rPr>
          <w:rFonts w:ascii="宋体" w:hAnsi="宋体" w:cs="宋体" w:eastAsia="宋体" w:hint="default"/>
          <w:spacing w:val="-45"/>
          <w:sz w:val="21"/>
          <w:szCs w:val="21"/>
        </w:rPr>
        <w:t> </w:t>
      </w:r>
      <w:r>
        <w:rPr>
          <w:rFonts w:ascii="Times New Roman" w:hAnsi="Times New Roman" w:cs="Times New Roman" w:eastAsia="Times New Roman" w:hint="default"/>
          <w:spacing w:val="-3"/>
          <w:sz w:val="21"/>
          <w:szCs w:val="21"/>
        </w:rPr>
        <w:t>46.0%</w:t>
      </w:r>
      <w:r>
        <w:rPr>
          <w:rFonts w:ascii="宋体" w:hAnsi="宋体" w:cs="宋体" w:eastAsia="宋体" w:hint="default"/>
          <w:spacing w:val="-3"/>
          <w:sz w:val="21"/>
          <w:szCs w:val="21"/>
        </w:rPr>
        <w:t>，主要由于报告期收到的尚</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未满足收益确认条件的政府补助较上年同期增加而使得递延收益增加所致；</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spacing w:line="328" w:lineRule="auto" w:before="0"/>
        <w:ind w:left="857" w:right="152"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18</w:t>
      </w:r>
      <w:r>
        <w:rPr>
          <w:rFonts w:ascii="宋体" w:hAnsi="宋体" w:cs="宋体" w:eastAsia="宋体" w:hint="default"/>
          <w:sz w:val="21"/>
          <w:szCs w:val="21"/>
        </w:rPr>
        <w:t>、未分配利润较期初增加</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55,770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万元，上升</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40.8%</w:t>
      </w:r>
      <w:r>
        <w:rPr>
          <w:rFonts w:ascii="宋体" w:hAnsi="宋体" w:cs="宋体" w:eastAsia="宋体" w:hint="default"/>
          <w:sz w:val="21"/>
          <w:szCs w:val="21"/>
        </w:rPr>
        <w:t>，主要由于报告期实现净利润 较上年同期增加所致；</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spacing w:line="328" w:lineRule="auto" w:before="0"/>
        <w:ind w:left="857" w:right="152"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19</w:t>
      </w:r>
      <w:r>
        <w:rPr>
          <w:rFonts w:ascii="宋体" w:hAnsi="宋体" w:cs="宋体" w:eastAsia="宋体" w:hint="default"/>
          <w:sz w:val="21"/>
          <w:szCs w:val="21"/>
        </w:rPr>
        <w:t>、财务费用较上年同期增加</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1,302 </w:t>
      </w:r>
      <w:r>
        <w:rPr>
          <w:rFonts w:ascii="宋体" w:hAnsi="宋体" w:cs="宋体" w:eastAsia="宋体" w:hint="default"/>
          <w:sz w:val="21"/>
          <w:szCs w:val="21"/>
        </w:rPr>
        <w:t>万元，上升</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289.4%</w:t>
      </w:r>
      <w:r>
        <w:rPr>
          <w:rFonts w:ascii="宋体" w:hAnsi="宋体" w:cs="宋体" w:eastAsia="宋体" w:hint="default"/>
          <w:sz w:val="21"/>
          <w:szCs w:val="21"/>
        </w:rPr>
        <w:t>，主要由于报告期汇兑损失 较上年同期增加所致；</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spacing w:line="338" w:lineRule="auto" w:before="0"/>
        <w:ind w:left="857" w:right="151" w:firstLine="0"/>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20</w:t>
      </w:r>
      <w:r>
        <w:rPr>
          <w:rFonts w:ascii="宋体" w:hAnsi="宋体" w:cs="宋体" w:eastAsia="宋体" w:hint="default"/>
          <w:spacing w:val="-3"/>
          <w:sz w:val="21"/>
          <w:szCs w:val="21"/>
        </w:rPr>
        <w:t>、资产减值损失较上年同期减少</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1,200</w:t>
      </w:r>
      <w:r>
        <w:rPr>
          <w:rFonts w:ascii="Times New Roman" w:hAnsi="Times New Roman" w:cs="Times New Roman" w:eastAsia="Times New Roman" w:hint="default"/>
          <w:spacing w:val="8"/>
          <w:sz w:val="21"/>
          <w:szCs w:val="21"/>
        </w:rPr>
        <w:t> </w:t>
      </w:r>
      <w:r>
        <w:rPr>
          <w:rFonts w:ascii="宋体" w:hAnsi="宋体" w:cs="宋体" w:eastAsia="宋体" w:hint="default"/>
          <w:spacing w:val="-7"/>
          <w:sz w:val="21"/>
          <w:szCs w:val="21"/>
        </w:rPr>
        <w:t>万元，下降</w:t>
      </w:r>
      <w:r>
        <w:rPr>
          <w:rFonts w:ascii="宋体" w:hAnsi="宋体" w:cs="宋体" w:eastAsia="宋体" w:hint="default"/>
          <w:spacing w:val="-45"/>
          <w:sz w:val="21"/>
          <w:szCs w:val="21"/>
        </w:rPr>
        <w:t> </w:t>
      </w:r>
      <w:r>
        <w:rPr>
          <w:rFonts w:ascii="Times New Roman" w:hAnsi="Times New Roman" w:cs="Times New Roman" w:eastAsia="Times New Roman" w:hint="default"/>
          <w:spacing w:val="-3"/>
          <w:sz w:val="21"/>
          <w:szCs w:val="21"/>
        </w:rPr>
        <w:t>48.4%</w:t>
      </w:r>
      <w:r>
        <w:rPr>
          <w:rFonts w:ascii="宋体" w:hAnsi="宋体" w:cs="宋体" w:eastAsia="宋体" w:hint="default"/>
          <w:spacing w:val="-3"/>
          <w:sz w:val="21"/>
          <w:szCs w:val="21"/>
        </w:rPr>
        <w:t>，主要由于报告期本集团</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6"/>
          <w:sz w:val="21"/>
          <w:szCs w:val="21"/>
        </w:rPr>
        <w:t>之子公司成都东软信息技术发展有限公司于上年计提的长期应收款坏账准备转回</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Times New Roman" w:hAnsi="Times New Roman" w:cs="Times New Roman" w:eastAsia="Times New Roman" w:hint="default"/>
          <w:sz w:val="21"/>
          <w:szCs w:val="21"/>
        </w:rPr>
        <w:t>1,340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万元所致；</w:t>
      </w:r>
    </w:p>
    <w:p>
      <w:pPr>
        <w:spacing w:after="0" w:line="338" w:lineRule="auto"/>
        <w:jc w:val="both"/>
        <w:rPr>
          <w:rFonts w:ascii="宋体" w:hAnsi="宋体" w:cs="宋体" w:eastAsia="宋体" w:hint="default"/>
          <w:sz w:val="21"/>
          <w:szCs w:val="21"/>
        </w:rPr>
        <w:sectPr>
          <w:pgSz w:w="11900" w:h="16840"/>
          <w:pgMar w:header="883" w:footer="1003" w:top="1540" w:bottom="1200" w:left="1660" w:right="1640"/>
        </w:sectPr>
      </w:pPr>
    </w:p>
    <w:p>
      <w:pPr>
        <w:spacing w:line="240" w:lineRule="auto" w:before="10"/>
        <w:rPr>
          <w:rFonts w:ascii="宋体" w:hAnsi="宋体" w:cs="宋体" w:eastAsia="宋体" w:hint="default"/>
          <w:sz w:val="8"/>
          <w:szCs w:val="8"/>
        </w:rPr>
      </w:pPr>
    </w:p>
    <w:p>
      <w:pPr>
        <w:spacing w:line="331" w:lineRule="auto" w:before="35"/>
        <w:ind w:left="857" w:right="152"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21</w:t>
      </w:r>
      <w:r>
        <w:rPr>
          <w:rFonts w:ascii="宋体" w:hAnsi="宋体" w:cs="宋体" w:eastAsia="宋体" w:hint="default"/>
          <w:sz w:val="21"/>
          <w:szCs w:val="21"/>
        </w:rPr>
        <w:t>、公允价值变动收益较上年同期增加</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1,796 </w:t>
      </w:r>
      <w:r>
        <w:rPr>
          <w:rFonts w:ascii="宋体" w:hAnsi="宋体" w:cs="宋体" w:eastAsia="宋体" w:hint="default"/>
          <w:sz w:val="21"/>
          <w:szCs w:val="21"/>
        </w:rPr>
        <w:t>万元，上升</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205.0%</w:t>
      </w:r>
      <w:r>
        <w:rPr>
          <w:rFonts w:ascii="宋体" w:hAnsi="宋体" w:cs="宋体" w:eastAsia="宋体" w:hint="default"/>
          <w:sz w:val="21"/>
          <w:szCs w:val="21"/>
        </w:rPr>
        <w:t>，主要由于外币远 期结汇合同公允价值变动所致，参见上述第（</w:t>
      </w:r>
      <w:r>
        <w:rPr>
          <w:rFonts w:ascii="Times New Roman" w:hAnsi="Times New Roman" w:cs="Times New Roman" w:eastAsia="Times New Roman" w:hint="default"/>
          <w:sz w:val="21"/>
          <w:szCs w:val="21"/>
        </w:rPr>
        <w:t>9</w:t>
      </w:r>
      <w:r>
        <w:rPr>
          <w:rFonts w:ascii="宋体" w:hAnsi="宋体" w:cs="宋体" w:eastAsia="宋体" w:hint="default"/>
          <w:sz w:val="21"/>
          <w:szCs w:val="21"/>
        </w:rPr>
        <w:t>）项；</w:t>
      </w:r>
    </w:p>
    <w:p>
      <w:pPr>
        <w:spacing w:line="240" w:lineRule="auto" w:before="1"/>
        <w:rPr>
          <w:rFonts w:ascii="宋体" w:hAnsi="宋体" w:cs="宋体" w:eastAsia="宋体" w:hint="default"/>
          <w:sz w:val="32"/>
          <w:szCs w:val="32"/>
        </w:rPr>
      </w:pPr>
    </w:p>
    <w:p>
      <w:pPr>
        <w:spacing w:line="331" w:lineRule="auto" w:before="0"/>
        <w:ind w:left="857" w:right="152"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22</w:t>
      </w:r>
      <w:r>
        <w:rPr>
          <w:rFonts w:ascii="宋体" w:hAnsi="宋体" w:cs="宋体" w:eastAsia="宋体" w:hint="default"/>
          <w:sz w:val="21"/>
          <w:szCs w:val="21"/>
        </w:rPr>
        <w:t>、投资收益较上年同期增加</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7,757 </w:t>
      </w:r>
      <w:r>
        <w:rPr>
          <w:rFonts w:ascii="宋体" w:hAnsi="宋体" w:cs="宋体" w:eastAsia="宋体" w:hint="default"/>
          <w:sz w:val="21"/>
          <w:szCs w:val="21"/>
        </w:rPr>
        <w:t>万元，上升</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223.9%</w:t>
      </w:r>
      <w:r>
        <w:rPr>
          <w:rFonts w:ascii="宋体" w:hAnsi="宋体" w:cs="宋体" w:eastAsia="宋体" w:hint="default"/>
          <w:sz w:val="21"/>
          <w:szCs w:val="21"/>
        </w:rPr>
        <w:t>，主要由于本报告期内处置 全部可供出售金融资产，投资收益较上年同期显著增加所致；</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line="340" w:lineRule="auto" w:before="0"/>
        <w:ind w:left="857" w:right="151" w:firstLine="0"/>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23</w:t>
      </w:r>
      <w:r>
        <w:rPr>
          <w:rFonts w:ascii="宋体" w:hAnsi="宋体" w:cs="宋体" w:eastAsia="宋体" w:hint="default"/>
          <w:spacing w:val="-3"/>
          <w:sz w:val="21"/>
          <w:szCs w:val="21"/>
        </w:rPr>
        <w:t>、营业外支出较上年同期减少</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2,277</w:t>
      </w:r>
      <w:r>
        <w:rPr>
          <w:rFonts w:ascii="Times New Roman" w:hAnsi="Times New Roman" w:cs="Times New Roman" w:eastAsia="Times New Roman" w:hint="default"/>
          <w:spacing w:val="8"/>
          <w:sz w:val="21"/>
          <w:szCs w:val="21"/>
        </w:rPr>
        <w:t> </w:t>
      </w:r>
      <w:r>
        <w:rPr>
          <w:rFonts w:ascii="宋体" w:hAnsi="宋体" w:cs="宋体" w:eastAsia="宋体" w:hint="default"/>
          <w:spacing w:val="-8"/>
          <w:sz w:val="21"/>
          <w:szCs w:val="21"/>
        </w:rPr>
        <w:t>万元，下降</w:t>
      </w:r>
      <w:r>
        <w:rPr>
          <w:rFonts w:ascii="宋体" w:hAnsi="宋体" w:cs="宋体" w:eastAsia="宋体" w:hint="default"/>
          <w:spacing w:val="-45"/>
          <w:sz w:val="21"/>
          <w:szCs w:val="21"/>
        </w:rPr>
        <w:t> </w:t>
      </w:r>
      <w:r>
        <w:rPr>
          <w:rFonts w:ascii="Times New Roman" w:hAnsi="Times New Roman" w:cs="Times New Roman" w:eastAsia="Times New Roman" w:hint="default"/>
          <w:spacing w:val="-3"/>
          <w:sz w:val="21"/>
          <w:szCs w:val="21"/>
        </w:rPr>
        <w:t>66.9%</w:t>
      </w:r>
      <w:r>
        <w:rPr>
          <w:rFonts w:ascii="宋体" w:hAnsi="宋体" w:cs="宋体" w:eastAsia="宋体" w:hint="default"/>
          <w:spacing w:val="-3"/>
          <w:sz w:val="21"/>
          <w:szCs w:val="21"/>
        </w:rPr>
        <w:t>，主要由于上年同期本集团</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2"/>
          <w:sz w:val="21"/>
          <w:szCs w:val="21"/>
        </w:rPr>
        <w:t>之子公司成都东软信息技术发展有限公司因四川地震预提了受损资产修复支出</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Times New Roman" w:hAnsi="Times New Roman" w:cs="Times New Roman" w:eastAsia="Times New Roman" w:hint="default"/>
          <w:sz w:val="21"/>
          <w:szCs w:val="21"/>
        </w:rPr>
        <w:t>2,922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万元而计入当期营业外支出所致；</w:t>
      </w:r>
    </w:p>
    <w:p>
      <w:pPr>
        <w:spacing w:line="240" w:lineRule="auto" w:before="6"/>
        <w:rPr>
          <w:rFonts w:ascii="宋体" w:hAnsi="宋体" w:cs="宋体" w:eastAsia="宋体" w:hint="default"/>
          <w:sz w:val="31"/>
          <w:szCs w:val="31"/>
        </w:rPr>
      </w:pPr>
    </w:p>
    <w:p>
      <w:pPr>
        <w:spacing w:line="328" w:lineRule="auto" w:before="0"/>
        <w:ind w:left="857" w:right="152"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24</w:t>
      </w:r>
      <w:r>
        <w:rPr>
          <w:rFonts w:ascii="宋体" w:hAnsi="宋体" w:cs="宋体" w:eastAsia="宋体" w:hint="default"/>
          <w:sz w:val="21"/>
          <w:szCs w:val="21"/>
        </w:rPr>
        <w:t>、少数股东损益较上年同期增加</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2,898 </w:t>
      </w:r>
      <w:r>
        <w:rPr>
          <w:rFonts w:ascii="宋体" w:hAnsi="宋体" w:cs="宋体" w:eastAsia="宋体" w:hint="default"/>
          <w:sz w:val="21"/>
          <w:szCs w:val="21"/>
        </w:rPr>
        <w:t>万元，上升</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156.9%</w:t>
      </w:r>
      <w:r>
        <w:rPr>
          <w:rFonts w:ascii="宋体" w:hAnsi="宋体" w:cs="宋体" w:eastAsia="宋体" w:hint="default"/>
          <w:sz w:val="21"/>
          <w:szCs w:val="21"/>
        </w:rPr>
        <w:t>，主要由于本集团之子 公司成都东软信息技术发展有限公司利润额较上年同期增加所致。</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spacing w:before="0"/>
        <w:ind w:left="125" w:right="3319" w:firstLine="0"/>
        <w:jc w:val="left"/>
        <w:rPr>
          <w:rFonts w:ascii="宋体" w:hAnsi="宋体" w:cs="宋体" w:eastAsia="宋体" w:hint="default"/>
          <w:sz w:val="21"/>
          <w:szCs w:val="21"/>
        </w:rPr>
      </w:pPr>
      <w:r>
        <w:rPr>
          <w:rFonts w:ascii="宋体" w:hAnsi="宋体" w:cs="宋体" w:eastAsia="宋体" w:hint="default"/>
          <w:sz w:val="21"/>
          <w:szCs w:val="21"/>
        </w:rPr>
        <w:t>十五、 财务报表的批准报出</w:t>
      </w:r>
    </w:p>
    <w:p>
      <w:pPr>
        <w:spacing w:before="125"/>
        <w:ind w:left="857" w:right="0" w:firstLine="0"/>
        <w:jc w:val="both"/>
        <w:rPr>
          <w:rFonts w:ascii="宋体" w:hAnsi="宋体" w:cs="宋体" w:eastAsia="宋体" w:hint="default"/>
          <w:sz w:val="21"/>
          <w:szCs w:val="21"/>
        </w:rPr>
      </w:pPr>
      <w:r>
        <w:rPr>
          <w:rFonts w:ascii="宋体" w:hAnsi="宋体" w:cs="宋体" w:eastAsia="宋体" w:hint="default"/>
          <w:sz w:val="21"/>
          <w:szCs w:val="21"/>
        </w:rPr>
        <w:t>本财务报表业经公司全体董事于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日批准报出。</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spacing w:line="698" w:lineRule="auto" w:before="0"/>
        <w:ind w:left="6128" w:right="151" w:firstLine="211"/>
        <w:jc w:val="right"/>
        <w:rPr>
          <w:rFonts w:ascii="宋体" w:hAnsi="宋体" w:cs="宋体" w:eastAsia="宋体" w:hint="default"/>
          <w:sz w:val="21"/>
          <w:szCs w:val="21"/>
        </w:rPr>
      </w:pPr>
      <w:r>
        <w:rPr>
          <w:rFonts w:ascii="宋体" w:hAnsi="宋体" w:cs="宋体" w:eastAsia="宋体" w:hint="default"/>
          <w:sz w:val="21"/>
          <w:szCs w:val="21"/>
        </w:rPr>
        <w:t>东软集团股份有限公司 二〇一〇年三月二十四日</w:t>
      </w:r>
    </w:p>
    <w:p>
      <w:pPr>
        <w:spacing w:after="0" w:line="698" w:lineRule="auto"/>
        <w:jc w:val="right"/>
        <w:rPr>
          <w:rFonts w:ascii="宋体" w:hAnsi="宋体" w:cs="宋体" w:eastAsia="宋体" w:hint="default"/>
          <w:sz w:val="21"/>
          <w:szCs w:val="21"/>
        </w:rPr>
        <w:sectPr>
          <w:pgSz w:w="11900" w:h="16840"/>
          <w:pgMar w:header="883" w:footer="1003" w:top="1540" w:bottom="1200" w:left="1660" w:right="1640"/>
        </w:sectPr>
      </w:pPr>
    </w:p>
    <w:p>
      <w:pPr>
        <w:spacing w:line="432" w:lineRule="exact" w:before="0"/>
        <w:ind w:left="1504" w:right="1621" w:firstLine="0"/>
        <w:jc w:val="center"/>
        <w:rPr>
          <w:rFonts w:ascii="黑体" w:hAnsi="黑体" w:cs="黑体" w:eastAsia="黑体" w:hint="default"/>
          <w:sz w:val="36"/>
          <w:szCs w:val="36"/>
        </w:rPr>
      </w:pPr>
      <w:bookmarkStart w:name="600718-东软集团-1-5-2009年东软集团内控自我评估报告.pdf" w:id="15"/>
      <w:bookmarkEnd w:id="15"/>
      <w:r>
        <w:rPr/>
      </w:r>
      <w:r>
        <w:rPr>
          <w:rFonts w:ascii="黑体" w:hAnsi="黑体" w:cs="黑体" w:eastAsia="黑体" w:hint="default"/>
          <w:b/>
          <w:bCs/>
          <w:sz w:val="36"/>
          <w:szCs w:val="36"/>
        </w:rPr>
        <w:t>东软集团股份有限公司</w:t>
      </w:r>
      <w:r>
        <w:rPr>
          <w:rFonts w:ascii="黑体" w:hAnsi="黑体" w:cs="黑体" w:eastAsia="黑体" w:hint="default"/>
          <w:sz w:val="36"/>
          <w:szCs w:val="36"/>
        </w:rPr>
      </w:r>
    </w:p>
    <w:p>
      <w:pPr>
        <w:spacing w:before="152"/>
        <w:ind w:left="1504" w:right="1621" w:firstLine="0"/>
        <w:jc w:val="center"/>
        <w:rPr>
          <w:rFonts w:ascii="黑体" w:hAnsi="黑体" w:cs="黑体" w:eastAsia="黑体" w:hint="default"/>
          <w:sz w:val="36"/>
          <w:szCs w:val="36"/>
        </w:rPr>
      </w:pPr>
      <w:r>
        <w:rPr>
          <w:rFonts w:ascii="Arial" w:hAnsi="Arial" w:cs="Arial" w:eastAsia="Arial" w:hint="default"/>
          <w:b/>
          <w:bCs/>
          <w:sz w:val="36"/>
          <w:szCs w:val="36"/>
        </w:rPr>
        <w:t>2009</w:t>
      </w:r>
      <w:r>
        <w:rPr>
          <w:rFonts w:ascii="黑体" w:hAnsi="黑体" w:cs="黑体" w:eastAsia="黑体" w:hint="default"/>
          <w:b/>
          <w:bCs/>
          <w:sz w:val="36"/>
          <w:szCs w:val="36"/>
        </w:rPr>
        <w:t>年度内部控制的自我评估报告</w:t>
      </w:r>
      <w:r>
        <w:rPr>
          <w:rFonts w:ascii="黑体" w:hAnsi="黑体" w:cs="黑体" w:eastAsia="黑体" w:hint="default"/>
          <w:sz w:val="36"/>
          <w:szCs w:val="36"/>
        </w:rPr>
      </w:r>
    </w:p>
    <w:p>
      <w:pPr>
        <w:spacing w:line="240" w:lineRule="auto" w:before="3"/>
        <w:rPr>
          <w:rFonts w:ascii="黑体" w:hAnsi="黑体" w:cs="黑体" w:eastAsia="黑体" w:hint="default"/>
          <w:b/>
          <w:bCs/>
          <w:sz w:val="36"/>
          <w:szCs w:val="36"/>
        </w:rPr>
      </w:pPr>
    </w:p>
    <w:p>
      <w:pPr>
        <w:pStyle w:val="Heading7"/>
        <w:spacing w:line="276" w:lineRule="auto"/>
        <w:ind w:left="119" w:right="103" w:firstLine="471"/>
        <w:jc w:val="left"/>
        <w:rPr>
          <w:rFonts w:ascii="宋体" w:hAnsi="宋体" w:cs="宋体" w:eastAsia="宋体" w:hint="default"/>
          <w:b w:val="0"/>
          <w:bCs w:val="0"/>
        </w:rPr>
      </w:pPr>
      <w:r>
        <w:rPr>
          <w:rFonts w:ascii="宋体" w:hAnsi="宋体" w:cs="宋体" w:eastAsia="宋体" w:hint="default"/>
        </w:rPr>
        <w:t>重要提示：本公司董事会及全体董事保证本公告内容不存在任何虚假记载、</w:t>
      </w:r>
      <w:r>
        <w:rPr>
          <w:rFonts w:ascii="宋体" w:hAnsi="宋体" w:cs="宋体" w:eastAsia="宋体" w:hint="default"/>
          <w:spacing w:val="1"/>
          <w:w w:val="99"/>
        </w:rPr>
        <w:t> </w:t>
      </w:r>
      <w:r>
        <w:rPr>
          <w:rFonts w:ascii="宋体" w:hAnsi="宋体" w:cs="宋体" w:eastAsia="宋体" w:hint="default"/>
          <w:spacing w:val="4"/>
        </w:rPr>
        <w:t>误导性陈述或者重大遗漏，并对其内容的真实性、准确性和完整性承担个别及</w:t>
      </w:r>
      <w:r>
        <w:rPr>
          <w:rFonts w:ascii="宋体" w:hAnsi="宋体" w:cs="宋体" w:eastAsia="宋体" w:hint="default"/>
          <w:spacing w:val="4"/>
          <w:w w:val="99"/>
        </w:rPr>
        <w:t> </w:t>
      </w:r>
      <w:r>
        <w:rPr>
          <w:rFonts w:ascii="宋体" w:hAnsi="宋体" w:cs="宋体" w:eastAsia="宋体" w:hint="default"/>
        </w:rPr>
        <w:t>连带责任。</w:t>
      </w:r>
      <w:r>
        <w:rPr>
          <w:rFonts w:ascii="宋体" w:hAnsi="宋体" w:cs="宋体" w:eastAsia="宋体" w:hint="default"/>
          <w:b w:val="0"/>
          <w:bCs w:val="0"/>
        </w:rPr>
      </w:r>
    </w:p>
    <w:p>
      <w:pPr>
        <w:spacing w:line="240" w:lineRule="auto" w:before="5"/>
        <w:rPr>
          <w:rFonts w:ascii="宋体" w:hAnsi="宋体" w:cs="宋体" w:eastAsia="宋体" w:hint="default"/>
          <w:b/>
          <w:bCs/>
          <w:sz w:val="23"/>
          <w:szCs w:val="23"/>
        </w:rPr>
      </w:pPr>
    </w:p>
    <w:p>
      <w:pPr>
        <w:pStyle w:val="BodyText"/>
        <w:spacing w:line="312" w:lineRule="exact"/>
        <w:ind w:left="119" w:right="230" w:firstLine="588"/>
        <w:jc w:val="left"/>
        <w:rPr>
          <w:rFonts w:ascii="宋体" w:hAnsi="宋体" w:cs="宋体" w:eastAsia="宋体" w:hint="default"/>
        </w:rPr>
      </w:pPr>
      <w:r>
        <w:rPr>
          <w:rFonts w:ascii="宋体" w:hAnsi="宋体" w:cs="宋体" w:eastAsia="宋体" w:hint="default"/>
          <w:color w:val="323232"/>
        </w:rPr>
        <w:t>2009年，公司按照《公司法》、《证券法》、财政部《企业内部控制基本 </w:t>
      </w:r>
      <w:r>
        <w:rPr>
          <w:rFonts w:ascii="宋体" w:hAnsi="宋体" w:cs="宋体" w:eastAsia="宋体" w:hint="default"/>
          <w:color w:val="323232"/>
          <w:spacing w:val="-3"/>
        </w:rPr>
        <w:t>规范》、《上市公司内部控制指引》等相关法律法规及本公司章程的规定，结合</w:t>
      </w:r>
      <w:r>
        <w:rPr>
          <w:rFonts w:ascii="宋体" w:hAnsi="宋体" w:cs="宋体" w:eastAsia="宋体" w:hint="default"/>
          <w:color w:val="323232"/>
          <w:spacing w:val="-113"/>
        </w:rPr>
        <w:t> </w:t>
      </w:r>
      <w:r>
        <w:rPr>
          <w:rFonts w:ascii="宋体" w:hAnsi="宋体" w:cs="宋体" w:eastAsia="宋体" w:hint="default"/>
          <w:color w:val="323232"/>
          <w:spacing w:val="-113"/>
        </w:rPr>
      </w:r>
      <w:r>
        <w:rPr>
          <w:rFonts w:ascii="宋体" w:hAnsi="宋体" w:cs="宋体" w:eastAsia="宋体" w:hint="default"/>
          <w:color w:val="323232"/>
          <w:spacing w:val="-3"/>
        </w:rPr>
        <w:t>公司经营管理的自身要求，进一步完善了公司治理结构和内部组织结构，进一步</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spacing w:val="-3"/>
        </w:rPr>
        <w:t>建立健全并有效地实施了内部控制制度，形成了科学的决策机制、执行机制和监</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spacing w:val="-3"/>
        </w:rPr>
        <w:t>督机制，合理保证了公司经营管理合法合规、资产安全、财务报告及相关信息的</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真实完整，提高了经营效率和效果，有力地促进了公司发展战略的实现。 </w:t>
      </w:r>
      <w:r>
        <w:rPr>
          <w:rFonts w:ascii="宋体" w:hAnsi="宋体" w:cs="宋体" w:eastAsia="宋体" w:hint="default"/>
          <w:b/>
          <w:bCs/>
          <w:color w:val="323232"/>
        </w:rPr>
        <w:t>一、公司内部控制综述</w:t>
      </w:r>
      <w:r>
        <w:rPr>
          <w:rFonts w:ascii="宋体" w:hAnsi="宋体" w:cs="宋体" w:eastAsia="宋体" w:hint="default"/>
        </w:rPr>
      </w:r>
    </w:p>
    <w:p>
      <w:pPr>
        <w:pStyle w:val="BodyText"/>
        <w:spacing w:line="312" w:lineRule="exact"/>
        <w:ind w:left="119" w:right="237" w:firstLine="480"/>
        <w:jc w:val="both"/>
        <w:rPr>
          <w:rFonts w:ascii="宋体" w:hAnsi="宋体" w:cs="宋体" w:eastAsia="宋体" w:hint="default"/>
        </w:rPr>
      </w:pPr>
      <w:r>
        <w:rPr>
          <w:rFonts w:ascii="宋体" w:hAnsi="宋体" w:cs="宋体" w:eastAsia="宋体" w:hint="default"/>
          <w:color w:val="323232"/>
          <w:spacing w:val="-3"/>
        </w:rPr>
        <w:t>在公司内控体系建设中，公司在持续改进现有业务流程的基础上，依据COSO</w:t>
      </w:r>
      <w:r>
        <w:rPr>
          <w:rFonts w:ascii="宋体" w:hAnsi="宋体" w:cs="宋体" w:eastAsia="宋体" w:hint="default"/>
          <w:color w:val="323232"/>
        </w:rPr>
        <w:t> </w:t>
      </w:r>
      <w:r>
        <w:rPr>
          <w:rFonts w:ascii="宋体" w:hAnsi="宋体" w:cs="宋体" w:eastAsia="宋体" w:hint="default"/>
          <w:color w:val="323232"/>
          <w:spacing w:val="-3"/>
        </w:rPr>
        <w:t>内控标准框架和《企业内部控制基本规范》及配套指引的要求，结合公司内部控</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制的多年实践经验，建立健全了内部控制体系。</w:t>
      </w:r>
      <w:r>
        <w:rPr>
          <w:rFonts w:ascii="宋体" w:hAnsi="宋体" w:cs="宋体" w:eastAsia="宋体" w:hint="default"/>
        </w:rPr>
      </w:r>
    </w:p>
    <w:p>
      <w:pPr>
        <w:pStyle w:val="BodyText"/>
        <w:spacing w:line="312" w:lineRule="exact"/>
        <w:ind w:left="119" w:right="237" w:firstLine="480"/>
        <w:jc w:val="both"/>
        <w:rPr>
          <w:rFonts w:ascii="宋体" w:hAnsi="宋体" w:cs="宋体" w:eastAsia="宋体" w:hint="default"/>
        </w:rPr>
      </w:pPr>
      <w:r>
        <w:rPr>
          <w:rFonts w:ascii="宋体" w:hAnsi="宋体" w:cs="宋体" w:eastAsia="宋体" w:hint="default"/>
          <w:color w:val="323232"/>
          <w:spacing w:val="-3"/>
        </w:rPr>
        <w:t>公司内部控制体系建设基本满足内控基本规范的相关要求，公司通过完善内</w:t>
      </w:r>
      <w:r>
        <w:rPr>
          <w:rFonts w:ascii="宋体" w:hAnsi="宋体" w:cs="宋体" w:eastAsia="宋体" w:hint="default"/>
          <w:color w:val="323232"/>
        </w:rPr>
        <w:t> </w:t>
      </w:r>
      <w:r>
        <w:rPr>
          <w:rFonts w:ascii="宋体" w:hAnsi="宋体" w:cs="宋体" w:eastAsia="宋体" w:hint="default"/>
          <w:color w:val="323232"/>
          <w:spacing w:val="-3"/>
        </w:rPr>
        <w:t>控体系，提高公司经营管理水平和风险防范能力，提升公司价值。同时，公司将</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借助自身在IT 服务领域的优势，建立与实施内部控制管理系统，实现内控体系 的自动化管理。</w:t>
      </w:r>
      <w:r>
        <w:rPr>
          <w:rFonts w:ascii="宋体" w:hAnsi="宋体" w:cs="宋体" w:eastAsia="宋体" w:hint="default"/>
        </w:rPr>
      </w:r>
    </w:p>
    <w:p>
      <w:pPr>
        <w:pStyle w:val="BodyText"/>
        <w:spacing w:line="312" w:lineRule="exact"/>
        <w:ind w:left="120" w:right="100" w:firstLine="480"/>
        <w:jc w:val="left"/>
        <w:rPr>
          <w:rFonts w:ascii="宋体" w:hAnsi="宋体" w:cs="宋体" w:eastAsia="宋体" w:hint="default"/>
        </w:rPr>
      </w:pPr>
      <w:r>
        <w:rPr>
          <w:rFonts w:ascii="宋体" w:hAnsi="宋体" w:cs="宋体" w:eastAsia="宋体" w:hint="default"/>
          <w:color w:val="323232"/>
          <w:spacing w:val="-6"/>
        </w:rPr>
        <w:t>2009年，公司内部控制在《企业内部控制基本规范》等相关法律法规指导下，</w:t>
      </w:r>
      <w:r>
        <w:rPr>
          <w:rFonts w:ascii="宋体" w:hAnsi="宋体" w:cs="宋体" w:eastAsia="宋体" w:hint="default"/>
          <w:color w:val="323232"/>
        </w:rPr>
        <w:t> 按照既定的目标及指导原则，取得了较大的进步。</w:t>
      </w:r>
      <w:r>
        <w:rPr>
          <w:rFonts w:ascii="宋体" w:hAnsi="宋体" w:cs="宋体" w:eastAsia="宋体" w:hint="default"/>
        </w:rPr>
      </w:r>
    </w:p>
    <w:p>
      <w:pPr>
        <w:pStyle w:val="Heading7"/>
        <w:spacing w:line="312" w:lineRule="exact"/>
        <w:ind w:left="120" w:right="6115"/>
        <w:jc w:val="left"/>
        <w:rPr>
          <w:rFonts w:ascii="宋体" w:hAnsi="宋体" w:cs="宋体" w:eastAsia="宋体" w:hint="default"/>
          <w:b w:val="0"/>
          <w:bCs w:val="0"/>
        </w:rPr>
      </w:pPr>
      <w:r>
        <w:rPr>
          <w:rFonts w:ascii="宋体" w:hAnsi="宋体" w:cs="宋体" w:eastAsia="宋体" w:hint="default"/>
          <w:color w:val="323232"/>
        </w:rPr>
        <w:t>二、公司内部控制要素</w:t>
      </w:r>
      <w:r>
        <w:rPr>
          <w:rFonts w:ascii="宋体" w:hAnsi="宋体" w:cs="宋体" w:eastAsia="宋体" w:hint="default"/>
          <w:color w:val="323232"/>
          <w:w w:val="99"/>
        </w:rPr>
        <w:t> </w:t>
      </w:r>
      <w:r>
        <w:rPr>
          <w:rFonts w:ascii="宋体" w:hAnsi="宋体" w:cs="宋体" w:eastAsia="宋体" w:hint="default"/>
          <w:color w:val="323232"/>
        </w:rPr>
        <w:t>(一)</w:t>
      </w:r>
      <w:r>
        <w:rPr>
          <w:rFonts w:ascii="宋体" w:hAnsi="宋体" w:cs="宋体" w:eastAsia="宋体" w:hint="default"/>
          <w:color w:val="323232"/>
          <w:spacing w:val="-1"/>
        </w:rPr>
        <w:t> </w:t>
      </w:r>
      <w:r>
        <w:rPr>
          <w:rFonts w:ascii="宋体" w:hAnsi="宋体" w:cs="宋体" w:eastAsia="宋体" w:hint="default"/>
          <w:color w:val="323232"/>
        </w:rPr>
        <w:t>内部环境</w:t>
      </w:r>
      <w:r>
        <w:rPr>
          <w:rFonts w:ascii="宋体" w:hAnsi="宋体" w:cs="宋体" w:eastAsia="宋体" w:hint="default"/>
          <w:color w:val="323232"/>
          <w:w w:val="99"/>
        </w:rPr>
        <w:t> </w:t>
      </w:r>
      <w:r>
        <w:rPr>
          <w:rFonts w:ascii="宋体" w:hAnsi="宋体" w:cs="宋体" w:eastAsia="宋体" w:hint="default"/>
          <w:color w:val="323232"/>
        </w:rPr>
        <w:t>1、公司治理结构</w:t>
      </w:r>
      <w:r>
        <w:rPr>
          <w:rFonts w:ascii="宋体" w:hAnsi="宋体" w:cs="宋体" w:eastAsia="宋体" w:hint="default"/>
          <w:b w:val="0"/>
          <w:bCs w:val="0"/>
        </w:rPr>
      </w:r>
    </w:p>
    <w:p>
      <w:pPr>
        <w:pStyle w:val="BodyText"/>
        <w:spacing w:line="312" w:lineRule="exact"/>
        <w:ind w:left="120" w:right="124" w:firstLine="480"/>
        <w:jc w:val="left"/>
        <w:rPr>
          <w:rFonts w:ascii="宋体" w:hAnsi="宋体" w:cs="宋体" w:eastAsia="宋体" w:hint="default"/>
        </w:rPr>
      </w:pPr>
      <w:r>
        <w:rPr>
          <w:rFonts w:ascii="宋体" w:hAnsi="宋体" w:cs="宋体" w:eastAsia="宋体" w:hint="default"/>
          <w:color w:val="323232"/>
          <w:spacing w:val="-3"/>
        </w:rPr>
        <w:t>公司在创立之初即十分重视公司治理，深知优秀的公司治理是保证上市公司</w:t>
      </w:r>
      <w:r>
        <w:rPr>
          <w:rFonts w:ascii="宋体" w:hAnsi="宋体" w:cs="宋体" w:eastAsia="宋体" w:hint="default"/>
          <w:color w:val="323232"/>
        </w:rPr>
        <w:t> </w:t>
      </w:r>
      <w:r>
        <w:rPr>
          <w:rFonts w:ascii="宋体" w:hAnsi="宋体" w:cs="宋体" w:eastAsia="宋体" w:hint="default"/>
          <w:color w:val="323232"/>
          <w:spacing w:val="-3"/>
        </w:rPr>
        <w:t>规范运作的基础。为此，公司长期致力于法人治理结构的构建和持续完善，严格</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按照《公司法》、《证券法》和中国证监会、证券交易所有关法律法规的要求， </w:t>
      </w:r>
      <w:r>
        <w:rPr>
          <w:rFonts w:ascii="宋体" w:hAnsi="宋体" w:cs="宋体" w:eastAsia="宋体" w:hint="default"/>
          <w:color w:val="323232"/>
          <w:spacing w:val="-3"/>
        </w:rPr>
        <w:t>不断完善公司法人治理结构，规范化运作，加强公司制度建设，公司按照《上市</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spacing w:val="-3"/>
        </w:rPr>
        <w:t>公司章程指引》、《上市公司治理准则》等规定修订了公司章程，制订、完善了</w:t>
      </w:r>
      <w:r>
        <w:rPr>
          <w:rFonts w:ascii="宋体" w:hAnsi="宋体" w:cs="宋体" w:eastAsia="宋体" w:hint="default"/>
          <w:spacing w:val="-3"/>
        </w:rPr>
      </w:r>
    </w:p>
    <w:p>
      <w:pPr>
        <w:pStyle w:val="BodyText"/>
        <w:spacing w:line="312" w:lineRule="exact"/>
        <w:ind w:left="120" w:right="236"/>
        <w:jc w:val="both"/>
        <w:rPr>
          <w:rFonts w:ascii="宋体" w:hAnsi="宋体" w:cs="宋体" w:eastAsia="宋体" w:hint="default"/>
        </w:rPr>
      </w:pPr>
      <w:r>
        <w:rPr>
          <w:rFonts w:ascii="宋体" w:hAnsi="宋体" w:cs="宋体" w:eastAsia="宋体" w:hint="default"/>
          <w:color w:val="323232"/>
          <w:spacing w:val="-3"/>
        </w:rPr>
        <w:t>《股东大会议事规则》、《董事会议事规则》、《监事会议事规则》、《投资者</w:t>
      </w:r>
      <w:r>
        <w:rPr>
          <w:rFonts w:ascii="宋体" w:hAnsi="宋体" w:cs="宋体" w:eastAsia="宋体" w:hint="default"/>
          <w:color w:val="323232"/>
          <w:spacing w:val="-114"/>
        </w:rPr>
        <w:t> </w:t>
      </w:r>
      <w:r>
        <w:rPr>
          <w:rFonts w:ascii="宋体" w:hAnsi="宋体" w:cs="宋体" w:eastAsia="宋体" w:hint="default"/>
          <w:color w:val="323232"/>
          <w:spacing w:val="-114"/>
        </w:rPr>
      </w:r>
      <w:r>
        <w:rPr>
          <w:rFonts w:ascii="宋体" w:hAnsi="宋体" w:cs="宋体" w:eastAsia="宋体" w:hint="default"/>
          <w:color w:val="323232"/>
          <w:spacing w:val="-3"/>
        </w:rPr>
        <w:t>关系管理制度》和《信息披露管理制度》等制度，建立了独立董事制度，公司治</w:t>
      </w:r>
      <w:r>
        <w:rPr>
          <w:rFonts w:ascii="宋体" w:hAnsi="宋体" w:cs="宋体" w:eastAsia="宋体" w:hint="default"/>
          <w:color w:val="323232"/>
          <w:spacing w:val="-115"/>
        </w:rPr>
        <w:t> </w:t>
      </w:r>
      <w:r>
        <w:rPr>
          <w:rFonts w:ascii="宋体" w:hAnsi="宋体" w:cs="宋体" w:eastAsia="宋体" w:hint="default"/>
          <w:color w:val="323232"/>
          <w:spacing w:val="-115"/>
        </w:rPr>
      </w:r>
      <w:r>
        <w:rPr>
          <w:rFonts w:ascii="宋体" w:hAnsi="宋体" w:cs="宋体" w:eastAsia="宋体" w:hint="default"/>
          <w:color w:val="323232"/>
        </w:rPr>
        <w:t>理结构基本符合《上市公司治理准则》的要求。</w:t>
      </w:r>
      <w:r>
        <w:rPr>
          <w:rFonts w:ascii="宋体" w:hAnsi="宋体" w:cs="宋体" w:eastAsia="宋体" w:hint="default"/>
        </w:rPr>
      </w:r>
    </w:p>
    <w:p>
      <w:pPr>
        <w:pStyle w:val="BodyText"/>
        <w:spacing w:line="312" w:lineRule="exact"/>
        <w:ind w:left="120" w:right="223" w:firstLine="480"/>
        <w:jc w:val="left"/>
        <w:rPr>
          <w:rFonts w:ascii="宋体" w:hAnsi="宋体" w:cs="宋体" w:eastAsia="宋体" w:hint="default"/>
        </w:rPr>
      </w:pPr>
      <w:r>
        <w:rPr>
          <w:rFonts w:ascii="宋体" w:hAnsi="宋体" w:cs="宋体" w:eastAsia="宋体" w:hint="default"/>
          <w:color w:val="323232"/>
          <w:spacing w:val="-3"/>
        </w:rPr>
        <w:t>在职责分工上，董事会负责内部控制的建立健全和有效实施，监事会对董事</w:t>
      </w:r>
      <w:r>
        <w:rPr>
          <w:rFonts w:ascii="宋体" w:hAnsi="宋体" w:cs="宋体" w:eastAsia="宋体" w:hint="default"/>
          <w:color w:val="323232"/>
        </w:rPr>
        <w:t> 会建立与实施内部控制进行监督。经营层负责组织领导企业内部控制的日常运 行。</w:t>
      </w:r>
      <w:r>
        <w:rPr>
          <w:rFonts w:ascii="宋体" w:hAnsi="宋体" w:cs="宋体" w:eastAsia="宋体" w:hint="default"/>
        </w:rPr>
      </w:r>
    </w:p>
    <w:p>
      <w:pPr>
        <w:pStyle w:val="BodyText"/>
        <w:spacing w:line="312" w:lineRule="exact"/>
        <w:ind w:left="120" w:right="237" w:firstLine="480"/>
        <w:jc w:val="both"/>
        <w:rPr>
          <w:rFonts w:ascii="宋体" w:hAnsi="宋体" w:cs="宋体" w:eastAsia="宋体" w:hint="default"/>
        </w:rPr>
      </w:pPr>
      <w:r>
        <w:rPr>
          <w:rFonts w:ascii="宋体" w:hAnsi="宋体" w:cs="宋体" w:eastAsia="宋体" w:hint="default"/>
          <w:color w:val="323232"/>
          <w:spacing w:val="-3"/>
        </w:rPr>
        <w:t>公司在董事会下设立审计委员会，审计委员会负责审查企业内部控制，监督</w:t>
      </w:r>
      <w:r>
        <w:rPr>
          <w:rFonts w:ascii="宋体" w:hAnsi="宋体" w:cs="宋体" w:eastAsia="宋体" w:hint="default"/>
          <w:color w:val="323232"/>
        </w:rPr>
        <w:t> </w:t>
      </w:r>
      <w:r>
        <w:rPr>
          <w:rFonts w:ascii="宋体" w:hAnsi="宋体" w:cs="宋体" w:eastAsia="宋体" w:hint="default"/>
          <w:color w:val="323232"/>
          <w:spacing w:val="-3"/>
        </w:rPr>
        <w:t>内部控制的有效实施和内部控制自我评价情况，协调内部控制审计及其他相关事</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rPr>
        <w:t>宜等。</w:t>
      </w:r>
      <w:r>
        <w:rPr>
          <w:rFonts w:ascii="宋体" w:hAnsi="宋体" w:cs="宋体" w:eastAsia="宋体" w:hint="default"/>
        </w:rPr>
      </w:r>
    </w:p>
    <w:p>
      <w:pPr>
        <w:pStyle w:val="BodyText"/>
        <w:spacing w:line="312" w:lineRule="exact"/>
        <w:ind w:left="120" w:right="229" w:firstLine="480"/>
        <w:jc w:val="left"/>
        <w:rPr>
          <w:rFonts w:ascii="宋体" w:hAnsi="宋体" w:cs="宋体" w:eastAsia="宋体" w:hint="default"/>
        </w:rPr>
      </w:pPr>
      <w:r>
        <w:rPr>
          <w:rFonts w:ascii="宋体" w:hAnsi="宋体" w:cs="宋体" w:eastAsia="宋体" w:hint="default"/>
          <w:color w:val="323232"/>
          <w:spacing w:val="-3"/>
        </w:rPr>
        <w:t>2009年，公司修订了《公司章程》和《董事会审计委员会年度财务报告审议</w:t>
      </w:r>
      <w:r>
        <w:rPr>
          <w:rFonts w:ascii="宋体" w:hAnsi="宋体" w:cs="宋体" w:eastAsia="宋体" w:hint="default"/>
          <w:color w:val="323232"/>
        </w:rPr>
        <w:t> 工作规程》，进一步完善了管理制度。</w:t>
      </w:r>
      <w:r>
        <w:rPr>
          <w:rFonts w:ascii="宋体" w:hAnsi="宋体" w:cs="宋体" w:eastAsia="宋体" w:hint="default"/>
        </w:rPr>
      </w:r>
    </w:p>
    <w:p>
      <w:pPr>
        <w:spacing w:after="0" w:line="312" w:lineRule="exact"/>
        <w:jc w:val="left"/>
        <w:rPr>
          <w:rFonts w:ascii="宋体" w:hAnsi="宋体" w:cs="宋体" w:eastAsia="宋体" w:hint="default"/>
        </w:rPr>
        <w:sectPr>
          <w:headerReference w:type="default" r:id="rId189"/>
          <w:footerReference w:type="default" r:id="rId190"/>
          <w:pgSz w:w="11910" w:h="16840"/>
          <w:pgMar w:header="0" w:footer="982" w:top="1500" w:bottom="1180" w:left="1680" w:right="1560"/>
          <w:pgNumType w:start="1"/>
        </w:sectPr>
      </w:pPr>
    </w:p>
    <w:p>
      <w:pPr>
        <w:pStyle w:val="BodyText"/>
        <w:spacing w:line="312" w:lineRule="exact" w:before="31"/>
        <w:ind w:left="120" w:right="124" w:firstLine="480"/>
        <w:jc w:val="left"/>
        <w:rPr>
          <w:rFonts w:ascii="宋体" w:hAnsi="宋体" w:cs="宋体" w:eastAsia="宋体" w:hint="default"/>
        </w:rPr>
      </w:pPr>
      <w:r>
        <w:rPr>
          <w:rFonts w:ascii="宋体" w:hAnsi="宋体" w:cs="宋体" w:eastAsia="宋体" w:hint="default"/>
          <w:color w:val="323232"/>
        </w:rPr>
        <w:t>2009年公司进一步加强了董事会的建设。公司董事会由9人组成，外部董事 </w:t>
      </w:r>
      <w:r>
        <w:rPr>
          <w:rFonts w:ascii="宋体" w:hAnsi="宋体" w:cs="宋体" w:eastAsia="宋体" w:hint="default"/>
          <w:color w:val="323232"/>
          <w:spacing w:val="-3"/>
        </w:rPr>
        <w:t>占董事会的半数以上，独立董事的人数占董事会人数的三分之一。公司三位独立</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spacing w:val="-3"/>
        </w:rPr>
        <w:t>董事分别是清华大学、南京大学和东北财经大学的教授，在企业管理、IT技术和</w:t>
      </w:r>
      <w:r>
        <w:rPr>
          <w:rFonts w:ascii="宋体" w:hAnsi="宋体" w:cs="宋体" w:eastAsia="宋体" w:hint="default"/>
          <w:color w:val="323232"/>
          <w:spacing w:val="-108"/>
        </w:rPr>
        <w:t> </w:t>
      </w:r>
      <w:r>
        <w:rPr>
          <w:rFonts w:ascii="宋体" w:hAnsi="宋体" w:cs="宋体" w:eastAsia="宋体" w:hint="default"/>
          <w:color w:val="323232"/>
          <w:spacing w:val="-108"/>
        </w:rPr>
      </w:r>
      <w:r>
        <w:rPr>
          <w:rFonts w:ascii="宋体" w:hAnsi="宋体" w:cs="宋体" w:eastAsia="宋体" w:hint="default"/>
          <w:color w:val="323232"/>
          <w:spacing w:val="-3"/>
        </w:rPr>
        <w:t>财务管理等方面分别具有很高的专业素质和行业积累，在经营决策和规范运作等</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rPr>
        <w:t>方面对公司给予了很大支持。公司董事还分别参加了董事会的战略决策、提名、 审计、薪酬与考核等四个专业委员会，对公司重大事项的决策发挥了重要作用。 </w:t>
      </w:r>
      <w:r>
        <w:rPr>
          <w:rFonts w:ascii="宋体" w:hAnsi="宋体" w:cs="宋体" w:eastAsia="宋体" w:hint="default"/>
          <w:b/>
          <w:bCs/>
          <w:color w:val="323232"/>
        </w:rPr>
        <w:t>2、机构设置及权责分配</w:t>
      </w:r>
      <w:r>
        <w:rPr>
          <w:rFonts w:ascii="宋体" w:hAnsi="宋体" w:cs="宋体" w:eastAsia="宋体" w:hint="default"/>
        </w:rPr>
      </w:r>
    </w:p>
    <w:p>
      <w:pPr>
        <w:pStyle w:val="BodyText"/>
        <w:spacing w:line="312" w:lineRule="exact"/>
        <w:ind w:left="120" w:right="100" w:firstLine="480"/>
        <w:jc w:val="left"/>
        <w:rPr>
          <w:rFonts w:ascii="宋体" w:hAnsi="宋体" w:cs="宋体" w:eastAsia="宋体" w:hint="default"/>
        </w:rPr>
      </w:pPr>
      <w:r>
        <w:rPr>
          <w:rFonts w:ascii="宋体" w:hAnsi="宋体" w:cs="宋体" w:eastAsia="宋体" w:hint="default"/>
          <w:color w:val="323232"/>
          <w:spacing w:val="-3"/>
        </w:rPr>
        <w:t>经过多年的经营实践与探索，公司已成功建立了符合公司业务特征和发展要</w:t>
      </w:r>
      <w:r>
        <w:rPr>
          <w:rFonts w:ascii="宋体" w:hAnsi="宋体" w:cs="宋体" w:eastAsia="宋体" w:hint="default"/>
          <w:color w:val="323232"/>
        </w:rPr>
        <w:t> </w:t>
      </w:r>
      <w:r>
        <w:rPr>
          <w:rFonts w:ascii="宋体" w:hAnsi="宋体" w:cs="宋体" w:eastAsia="宋体" w:hint="default"/>
          <w:color w:val="323232"/>
          <w:spacing w:val="-6"/>
        </w:rPr>
        <w:t>求的集团式矩阵式管理模式，公司纵向线，包括行业解决方案及服务业务事业群、</w:t>
      </w:r>
      <w:r>
        <w:rPr>
          <w:rFonts w:ascii="宋体" w:hAnsi="宋体" w:cs="宋体" w:eastAsia="宋体" w:hint="default"/>
          <w:color w:val="323232"/>
          <w:spacing w:val="-118"/>
        </w:rPr>
        <w:t> </w:t>
      </w:r>
      <w:r>
        <w:rPr>
          <w:rFonts w:ascii="宋体" w:hAnsi="宋体" w:cs="宋体" w:eastAsia="宋体" w:hint="default"/>
          <w:color w:val="323232"/>
          <w:spacing w:val="-118"/>
        </w:rPr>
      </w:r>
      <w:r>
        <w:rPr>
          <w:rFonts w:ascii="宋体" w:hAnsi="宋体" w:cs="宋体" w:eastAsia="宋体" w:hint="default"/>
          <w:color w:val="323232"/>
          <w:spacing w:val="-3"/>
        </w:rPr>
        <w:t>产品及服务业务事业群和产品工程及服务业务事业群，与公司国内、国际大区及</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spacing w:val="-3"/>
        </w:rPr>
        <w:t>子公司等业务单元，在公司管理层的领导下，在公司各职能平台的支撑下，形成</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了独立承担经营责任，相互依托、优势互补的矩阵式管理模式。</w:t>
      </w:r>
      <w:r>
        <w:rPr>
          <w:rFonts w:ascii="宋体" w:hAnsi="宋体" w:cs="宋体" w:eastAsia="宋体" w:hint="default"/>
        </w:rPr>
      </w:r>
    </w:p>
    <w:p>
      <w:pPr>
        <w:pStyle w:val="BodyText"/>
        <w:spacing w:line="312" w:lineRule="exact"/>
        <w:ind w:left="120" w:right="226" w:firstLine="480"/>
        <w:jc w:val="left"/>
        <w:rPr>
          <w:rFonts w:ascii="宋体" w:hAnsi="宋体" w:cs="宋体" w:eastAsia="宋体" w:hint="default"/>
        </w:rPr>
      </w:pPr>
      <w:r>
        <w:rPr>
          <w:rFonts w:ascii="宋体" w:hAnsi="宋体" w:cs="宋体" w:eastAsia="宋体" w:hint="default"/>
          <w:color w:val="323232"/>
          <w:spacing w:val="-3"/>
        </w:rPr>
        <w:t>公司结合管理特点构建了相应的营销/运营管理平台、技术/开发平台、人力</w:t>
      </w:r>
      <w:r>
        <w:rPr>
          <w:rFonts w:ascii="宋体" w:hAnsi="宋体" w:cs="宋体" w:eastAsia="宋体" w:hint="default"/>
          <w:color w:val="323232"/>
        </w:rPr>
        <w:t> 行政平台、财务平台、投资与法律平台，以支撑业务的持续运行与发展；</w:t>
      </w:r>
      <w:r>
        <w:rPr>
          <w:rFonts w:ascii="宋体" w:hAnsi="宋体" w:cs="宋体" w:eastAsia="宋体" w:hint="default"/>
        </w:rPr>
      </w:r>
    </w:p>
    <w:p>
      <w:pPr>
        <w:pStyle w:val="BodyText"/>
        <w:spacing w:line="312" w:lineRule="exact"/>
        <w:ind w:left="120" w:right="223" w:firstLine="480"/>
        <w:jc w:val="left"/>
        <w:rPr>
          <w:rFonts w:ascii="宋体" w:hAnsi="宋体" w:cs="宋体" w:eastAsia="宋体" w:hint="default"/>
        </w:rPr>
      </w:pPr>
      <w:r>
        <w:rPr>
          <w:rFonts w:ascii="宋体" w:hAnsi="宋体" w:cs="宋体" w:eastAsia="宋体" w:hint="default"/>
          <w:color w:val="323232"/>
          <w:spacing w:val="-3"/>
        </w:rPr>
        <w:t>公司在组织机构上，管理层次分明，责任清晰，权责统一，有利地支撑了公</w:t>
      </w:r>
      <w:r>
        <w:rPr>
          <w:rFonts w:ascii="宋体" w:hAnsi="宋体" w:cs="宋体" w:eastAsia="宋体" w:hint="default"/>
          <w:color w:val="323232"/>
        </w:rPr>
        <w:t> 司的业务发展。</w:t>
      </w:r>
      <w:r>
        <w:rPr>
          <w:rFonts w:ascii="宋体" w:hAnsi="宋体" w:cs="宋体" w:eastAsia="宋体" w:hint="default"/>
        </w:rPr>
      </w:r>
    </w:p>
    <w:p>
      <w:pPr>
        <w:spacing w:line="312" w:lineRule="exact" w:before="0"/>
        <w:ind w:left="600" w:right="223" w:hanging="480"/>
        <w:jc w:val="left"/>
        <w:rPr>
          <w:rFonts w:ascii="宋体" w:hAnsi="宋体" w:cs="宋体" w:eastAsia="宋体" w:hint="default"/>
          <w:sz w:val="24"/>
          <w:szCs w:val="24"/>
        </w:rPr>
      </w:pPr>
      <w:r>
        <w:rPr>
          <w:rFonts w:ascii="宋体" w:hAnsi="宋体" w:cs="宋体" w:eastAsia="宋体" w:hint="default"/>
          <w:b/>
          <w:bCs/>
          <w:color w:val="323232"/>
          <w:sz w:val="24"/>
          <w:szCs w:val="24"/>
        </w:rPr>
        <w:t>3、财务管理控制体系</w:t>
      </w:r>
      <w:r>
        <w:rPr>
          <w:rFonts w:ascii="宋体" w:hAnsi="宋体" w:cs="宋体" w:eastAsia="宋体" w:hint="default"/>
          <w:b/>
          <w:bCs/>
          <w:color w:val="323232"/>
          <w:w w:val="99"/>
          <w:sz w:val="24"/>
          <w:szCs w:val="24"/>
        </w:rPr>
        <w:t> </w:t>
      </w:r>
      <w:r>
        <w:rPr>
          <w:rFonts w:ascii="宋体" w:hAnsi="宋体" w:cs="宋体" w:eastAsia="宋体" w:hint="default"/>
          <w:color w:val="323232"/>
          <w:spacing w:val="-3"/>
          <w:sz w:val="24"/>
          <w:szCs w:val="24"/>
        </w:rPr>
        <w:t>与公司的矩阵式组织结构相配合，公司建立了矩阵式、全过程、全方位的财</w:t>
      </w:r>
      <w:r>
        <w:rPr>
          <w:rFonts w:ascii="宋体" w:hAnsi="宋体" w:cs="宋体" w:eastAsia="宋体" w:hint="default"/>
          <w:spacing w:val="-3"/>
          <w:sz w:val="24"/>
          <w:szCs w:val="24"/>
        </w:rPr>
      </w:r>
    </w:p>
    <w:p>
      <w:pPr>
        <w:pStyle w:val="BodyText"/>
        <w:spacing w:line="312" w:lineRule="exact"/>
        <w:ind w:left="120" w:right="100"/>
        <w:jc w:val="left"/>
        <w:rPr>
          <w:rFonts w:ascii="宋体" w:hAnsi="宋体" w:cs="宋体" w:eastAsia="宋体" w:hint="default"/>
        </w:rPr>
      </w:pPr>
      <w:r>
        <w:rPr>
          <w:rFonts w:ascii="宋体" w:hAnsi="宋体" w:cs="宋体" w:eastAsia="宋体" w:hint="default"/>
          <w:color w:val="323232"/>
          <w:spacing w:val="-6"/>
        </w:rPr>
        <w:t>务管理控制体系。按纵横各业务单元，划分经营责任，按照周、月、季度、半年、</w:t>
      </w:r>
      <w:r>
        <w:rPr>
          <w:rFonts w:ascii="宋体" w:hAnsi="宋体" w:cs="宋体" w:eastAsia="宋体" w:hint="default"/>
          <w:color w:val="323232"/>
        </w:rPr>
        <w:t> </w:t>
      </w:r>
      <w:r>
        <w:rPr>
          <w:rFonts w:ascii="宋体" w:hAnsi="宋体" w:cs="宋体" w:eastAsia="宋体" w:hint="default"/>
          <w:color w:val="323232"/>
          <w:spacing w:val="-3"/>
        </w:rPr>
        <w:t>年度管理周期，进行全面预算管理和经营数据的汇报与分析，并通过科学的关键</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rPr>
        <w:t>绩效目标设定与考核，对各业务单元和全体员工的业绩进行定期考核和客观评 </w:t>
      </w:r>
      <w:r>
        <w:rPr>
          <w:rFonts w:ascii="宋体" w:hAnsi="宋体" w:cs="宋体" w:eastAsia="宋体" w:hint="default"/>
          <w:color w:val="323232"/>
          <w:spacing w:val="-3"/>
        </w:rPr>
        <w:t>价，并将考评结果作为确定业务单元薪酬水平的主要依据。财务管理控制体系在</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spacing w:val="-3"/>
        </w:rPr>
        <w:t>公司内部控制过程中，处于核心地位，完善的财务管理控制体系已成为帮助公司</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rPr>
        <w:t>贯彻执行战略目标和经营策略的有效保障。</w:t>
      </w:r>
      <w:r>
        <w:rPr>
          <w:rFonts w:ascii="宋体" w:hAnsi="宋体" w:cs="宋体" w:eastAsia="宋体" w:hint="default"/>
        </w:rPr>
      </w:r>
    </w:p>
    <w:p>
      <w:pPr>
        <w:pStyle w:val="Heading7"/>
        <w:spacing w:line="282" w:lineRule="exact"/>
        <w:ind w:left="120" w:right="103"/>
        <w:jc w:val="left"/>
        <w:rPr>
          <w:rFonts w:ascii="宋体" w:hAnsi="宋体" w:cs="宋体" w:eastAsia="宋体" w:hint="default"/>
          <w:b w:val="0"/>
          <w:bCs w:val="0"/>
        </w:rPr>
      </w:pPr>
      <w:r>
        <w:rPr>
          <w:rFonts w:ascii="宋体" w:hAnsi="宋体" w:cs="宋体" w:eastAsia="宋体" w:hint="default"/>
          <w:color w:val="323232"/>
        </w:rPr>
        <w:t>4、内部审计</w:t>
      </w:r>
      <w:r>
        <w:rPr>
          <w:rFonts w:ascii="宋体" w:hAnsi="宋体" w:cs="宋体" w:eastAsia="宋体" w:hint="default"/>
          <w:b w:val="0"/>
          <w:bCs w:val="0"/>
        </w:rPr>
      </w:r>
    </w:p>
    <w:p>
      <w:pPr>
        <w:pStyle w:val="BodyText"/>
        <w:spacing w:line="312" w:lineRule="exact" w:before="29"/>
        <w:ind w:left="120" w:right="237" w:firstLine="480"/>
        <w:jc w:val="both"/>
        <w:rPr>
          <w:rFonts w:ascii="宋体" w:hAnsi="宋体" w:cs="宋体" w:eastAsia="宋体" w:hint="default"/>
        </w:rPr>
      </w:pPr>
      <w:r>
        <w:rPr>
          <w:rFonts w:ascii="宋体" w:hAnsi="宋体" w:cs="宋体" w:eastAsia="宋体" w:hint="default"/>
          <w:color w:val="323232"/>
          <w:spacing w:val="-3"/>
        </w:rPr>
        <w:t>公司设立了“投资审计部”作为公司专门的内控检查监督部门，内部审计机</w:t>
      </w:r>
      <w:r>
        <w:rPr>
          <w:rFonts w:ascii="宋体" w:hAnsi="宋体" w:cs="宋体" w:eastAsia="宋体" w:hint="default"/>
          <w:color w:val="323232"/>
        </w:rPr>
        <w:t> </w:t>
      </w:r>
      <w:r>
        <w:rPr>
          <w:rFonts w:ascii="宋体" w:hAnsi="宋体" w:cs="宋体" w:eastAsia="宋体" w:hint="default"/>
          <w:color w:val="323232"/>
          <w:spacing w:val="-3"/>
        </w:rPr>
        <w:t>构和内审人员独立行使职权，在董事会审计委员会的指导下，履行对公司内部控</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rPr>
        <w:t>制的监督、检查职能，并独立处理相关问题。</w:t>
      </w:r>
      <w:r>
        <w:rPr>
          <w:rFonts w:ascii="宋体" w:hAnsi="宋体" w:cs="宋体" w:eastAsia="宋体" w:hint="default"/>
        </w:rPr>
      </w:r>
    </w:p>
    <w:p>
      <w:pPr>
        <w:pStyle w:val="BodyText"/>
        <w:spacing w:line="312" w:lineRule="exact"/>
        <w:ind w:left="120" w:right="100" w:firstLine="480"/>
        <w:jc w:val="left"/>
        <w:rPr>
          <w:rFonts w:ascii="宋体" w:hAnsi="宋体" w:cs="宋体" w:eastAsia="宋体" w:hint="default"/>
        </w:rPr>
      </w:pPr>
      <w:r>
        <w:rPr>
          <w:rFonts w:ascii="宋体" w:hAnsi="宋体" w:cs="宋体" w:eastAsia="宋体" w:hint="default"/>
          <w:color w:val="323232"/>
          <w:spacing w:val="-3"/>
        </w:rPr>
        <w:t>公司设立“监察部”，配置专职监察人员，受董事会委托负责对公司高级干</w:t>
      </w:r>
      <w:r>
        <w:rPr>
          <w:rFonts w:ascii="宋体" w:hAnsi="宋体" w:cs="宋体" w:eastAsia="宋体" w:hint="default"/>
          <w:color w:val="323232"/>
        </w:rPr>
        <w:t> </w:t>
      </w:r>
      <w:r>
        <w:rPr>
          <w:rFonts w:ascii="宋体" w:hAnsi="宋体" w:cs="宋体" w:eastAsia="宋体" w:hint="default"/>
          <w:color w:val="323232"/>
          <w:spacing w:val="-6"/>
        </w:rPr>
        <w:t>部的审计与监督，对公司干部管理政策、规章、制度和规则的执行进行监督检查。</w:t>
      </w:r>
      <w:r>
        <w:rPr>
          <w:rFonts w:ascii="宋体" w:hAnsi="宋体" w:cs="宋体" w:eastAsia="宋体" w:hint="default"/>
          <w:color w:val="323232"/>
          <w:spacing w:val="-117"/>
        </w:rPr>
        <w:t> </w:t>
      </w:r>
      <w:r>
        <w:rPr>
          <w:rFonts w:ascii="宋体" w:hAnsi="宋体" w:cs="宋体" w:eastAsia="宋体" w:hint="default"/>
          <w:color w:val="323232"/>
          <w:spacing w:val="-117"/>
        </w:rPr>
      </w:r>
      <w:r>
        <w:rPr>
          <w:rFonts w:ascii="宋体" w:hAnsi="宋体" w:cs="宋体" w:eastAsia="宋体" w:hint="default"/>
          <w:b/>
          <w:bCs/>
          <w:color w:val="323232"/>
        </w:rPr>
        <w:t>5、人力资源政策</w:t>
      </w:r>
      <w:r>
        <w:rPr>
          <w:rFonts w:ascii="宋体" w:hAnsi="宋体" w:cs="宋体" w:eastAsia="宋体" w:hint="default"/>
        </w:rPr>
      </w:r>
    </w:p>
    <w:p>
      <w:pPr>
        <w:pStyle w:val="BodyText"/>
        <w:spacing w:line="312" w:lineRule="exact"/>
        <w:ind w:left="120" w:right="117" w:firstLine="480"/>
        <w:jc w:val="both"/>
        <w:rPr>
          <w:rFonts w:ascii="宋体" w:hAnsi="宋体" w:cs="宋体" w:eastAsia="宋体" w:hint="default"/>
        </w:rPr>
      </w:pPr>
      <w:r>
        <w:rPr>
          <w:rFonts w:ascii="宋体" w:hAnsi="宋体" w:cs="宋体" w:eastAsia="宋体" w:hint="default"/>
          <w:color w:val="323232"/>
          <w:spacing w:val="-3"/>
        </w:rPr>
        <w:t>公司在人力资源方面已经建立起一套基本完善的、涵盖人力资源管理全流程</w:t>
      </w:r>
      <w:r>
        <w:rPr>
          <w:rFonts w:ascii="宋体" w:hAnsi="宋体" w:cs="宋体" w:eastAsia="宋体" w:hint="default"/>
          <w:color w:val="323232"/>
        </w:rPr>
        <w:t> </w:t>
      </w:r>
      <w:r>
        <w:rPr>
          <w:rFonts w:ascii="宋体" w:hAnsi="宋体" w:cs="宋体" w:eastAsia="宋体" w:hint="default"/>
          <w:color w:val="323232"/>
          <w:spacing w:val="-3"/>
        </w:rPr>
        <w:t>的制度与政策体系，对员工的聘用、培训、辞退与辞职、薪酬、考核、晋升与奖</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spacing w:val="-3"/>
        </w:rPr>
        <w:t>惩、关键岗位员工的强制休假、定期岗位轮换、员工保密等各方面进行了详细规</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spacing w:val="-3"/>
        </w:rPr>
        <w:t>范。在2008年国内率先通过PCMM</w:t>
      </w:r>
      <w:r>
        <w:rPr>
          <w:rFonts w:ascii="宋体" w:hAnsi="宋体" w:cs="宋体" w:eastAsia="宋体" w:hint="default"/>
          <w:color w:val="323232"/>
          <w:spacing w:val="-42"/>
        </w:rPr>
        <w:t> </w:t>
      </w:r>
      <w:r>
        <w:rPr>
          <w:rFonts w:ascii="宋体" w:hAnsi="宋体" w:cs="宋体" w:eastAsia="宋体" w:hint="default"/>
          <w:color w:val="323232"/>
          <w:spacing w:val="-5"/>
        </w:rPr>
        <w:t>3级评估基础上，2009年启动了“人才变革项目”</w:t>
      </w:r>
      <w:r>
        <w:rPr>
          <w:rFonts w:ascii="宋体" w:hAnsi="宋体" w:cs="宋体" w:eastAsia="宋体" w:hint="default"/>
          <w:spacing w:val="-5"/>
        </w:rPr>
      </w:r>
    </w:p>
    <w:p>
      <w:pPr>
        <w:pStyle w:val="BodyText"/>
        <w:spacing w:line="312" w:lineRule="exact"/>
        <w:ind w:left="120" w:right="237"/>
        <w:jc w:val="both"/>
        <w:rPr>
          <w:rFonts w:ascii="宋体" w:hAnsi="宋体" w:cs="宋体" w:eastAsia="宋体" w:hint="default"/>
        </w:rPr>
      </w:pPr>
      <w:r>
        <w:rPr>
          <w:rFonts w:ascii="宋体" w:hAnsi="宋体" w:cs="宋体" w:eastAsia="宋体" w:hint="default"/>
          <w:color w:val="323232"/>
        </w:rPr>
        <w:t>（Talent Transformation</w:t>
      </w:r>
      <w:r>
        <w:rPr>
          <w:rFonts w:ascii="宋体" w:hAnsi="宋体" w:cs="宋体" w:eastAsia="宋体" w:hint="default"/>
          <w:color w:val="323232"/>
          <w:spacing w:val="-94"/>
        </w:rPr>
        <w:t> </w:t>
      </w:r>
      <w:r>
        <w:rPr>
          <w:rFonts w:ascii="宋体" w:hAnsi="宋体" w:cs="宋体" w:eastAsia="宋体" w:hint="default"/>
          <w:color w:val="323232"/>
        </w:rPr>
        <w:t>Initiative），在部分事业部试点，计划在2010年10</w:t>
      </w:r>
      <w:r>
        <w:rPr>
          <w:rFonts w:ascii="宋体" w:hAnsi="宋体" w:cs="宋体" w:eastAsia="宋体" w:hint="default"/>
          <w:color w:val="323232"/>
        </w:rPr>
        <w:t> 月底国内率先通过PCMM</w:t>
      </w:r>
      <w:r>
        <w:rPr>
          <w:rFonts w:ascii="宋体" w:hAnsi="宋体" w:cs="宋体" w:eastAsia="宋体" w:hint="default"/>
          <w:color w:val="323232"/>
          <w:spacing w:val="-91"/>
        </w:rPr>
        <w:t> </w:t>
      </w:r>
      <w:r>
        <w:rPr>
          <w:rFonts w:ascii="宋体" w:hAnsi="宋体" w:cs="宋体" w:eastAsia="宋体" w:hint="default"/>
          <w:color w:val="323232"/>
        </w:rPr>
        <w:t>5级评估，确保公司人力资本管理在业界的声誉和领先地</w:t>
      </w:r>
      <w:r>
        <w:rPr>
          <w:rFonts w:ascii="宋体" w:hAnsi="宋体" w:cs="宋体" w:eastAsia="宋体" w:hint="default"/>
          <w:color w:val="323232"/>
        </w:rPr>
        <w:t> </w:t>
      </w:r>
      <w:r>
        <w:rPr>
          <w:rFonts w:ascii="宋体" w:hAnsi="宋体" w:cs="宋体" w:eastAsia="宋体" w:hint="default"/>
          <w:color w:val="323232"/>
          <w:spacing w:val="-3"/>
        </w:rPr>
        <w:t>位，进一步推动了人力资源管理国际化。此外，公司进一步加强了在岗位职位体</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spacing w:val="-3"/>
        </w:rPr>
        <w:t>系建设、干部领导力培养、员工行为规范等方面的工作，有力地支撑了公司业务</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的快速稳健发展。</w:t>
      </w:r>
      <w:r>
        <w:rPr>
          <w:rFonts w:ascii="宋体" w:hAnsi="宋体" w:cs="宋体" w:eastAsia="宋体" w:hint="default"/>
        </w:rPr>
      </w:r>
    </w:p>
    <w:p>
      <w:pPr>
        <w:pStyle w:val="Heading7"/>
        <w:spacing w:line="282" w:lineRule="exact"/>
        <w:ind w:left="120" w:right="103"/>
        <w:jc w:val="left"/>
        <w:rPr>
          <w:rFonts w:ascii="宋体" w:hAnsi="宋体" w:cs="宋体" w:eastAsia="宋体" w:hint="default"/>
          <w:b w:val="0"/>
          <w:bCs w:val="0"/>
        </w:rPr>
      </w:pPr>
      <w:r>
        <w:rPr>
          <w:rFonts w:ascii="宋体" w:hAnsi="宋体" w:cs="宋体" w:eastAsia="宋体" w:hint="default"/>
          <w:color w:val="323232"/>
        </w:rPr>
        <w:t>6、企业文化</w:t>
      </w:r>
      <w:r>
        <w:rPr>
          <w:rFonts w:ascii="宋体" w:hAnsi="宋体" w:cs="宋体" w:eastAsia="宋体" w:hint="default"/>
          <w:b w:val="0"/>
          <w:bCs w:val="0"/>
        </w:rPr>
      </w:r>
    </w:p>
    <w:p>
      <w:pPr>
        <w:pStyle w:val="BodyText"/>
        <w:spacing w:line="312" w:lineRule="exact" w:before="29"/>
        <w:ind w:left="120" w:right="237" w:firstLine="480"/>
        <w:jc w:val="both"/>
        <w:rPr>
          <w:rFonts w:ascii="宋体" w:hAnsi="宋体" w:cs="宋体" w:eastAsia="宋体" w:hint="default"/>
        </w:rPr>
      </w:pPr>
      <w:r>
        <w:rPr>
          <w:rFonts w:ascii="宋体" w:hAnsi="宋体" w:cs="宋体" w:eastAsia="宋体" w:hint="default"/>
          <w:color w:val="323232"/>
        </w:rPr>
        <w:t>公司一直奉行以简单 、负责、合作、尊重、诚信为核心的价值观，在为客 </w:t>
      </w:r>
      <w:r>
        <w:rPr>
          <w:rFonts w:ascii="宋体" w:hAnsi="宋体" w:cs="宋体" w:eastAsia="宋体" w:hint="default"/>
          <w:color w:val="323232"/>
          <w:spacing w:val="-3"/>
        </w:rPr>
        <w:t>户、社会创造价值的同时，尊重员工的个性，为员工竞争能力的提升和快乐工作</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而投资，并为员工的贡献给予合理的回报。</w:t>
      </w:r>
      <w:r>
        <w:rPr>
          <w:rFonts w:ascii="宋体" w:hAnsi="宋体" w:cs="宋体" w:eastAsia="宋体" w:hint="default"/>
        </w:rPr>
      </w:r>
    </w:p>
    <w:p>
      <w:pPr>
        <w:spacing w:after="0" w:line="312" w:lineRule="exact"/>
        <w:jc w:val="both"/>
        <w:rPr>
          <w:rFonts w:ascii="宋体" w:hAnsi="宋体" w:cs="宋体" w:eastAsia="宋体" w:hint="default"/>
        </w:rPr>
        <w:sectPr>
          <w:headerReference w:type="default" r:id="rId191"/>
          <w:footerReference w:type="default" r:id="rId192"/>
          <w:pgSz w:w="11910" w:h="16840"/>
          <w:pgMar w:header="0" w:footer="982" w:top="1400" w:bottom="1180" w:left="1680" w:right="1560"/>
          <w:pgNumType w:start="2"/>
        </w:sectPr>
      </w:pPr>
    </w:p>
    <w:p>
      <w:pPr>
        <w:pStyle w:val="BodyText"/>
        <w:spacing w:line="312" w:lineRule="exact" w:before="31"/>
        <w:ind w:left="119" w:right="103" w:firstLine="480"/>
        <w:jc w:val="left"/>
        <w:rPr>
          <w:rFonts w:ascii="宋体" w:hAnsi="宋体" w:cs="宋体" w:eastAsia="宋体" w:hint="default"/>
        </w:rPr>
      </w:pPr>
      <w:r>
        <w:rPr>
          <w:rFonts w:ascii="宋体" w:hAnsi="宋体" w:cs="宋体" w:eastAsia="宋体" w:hint="default"/>
          <w:color w:val="323232"/>
          <w:spacing w:val="-7"/>
        </w:rPr>
        <w:t>公司通过设计与执行网状职业发展通路、进行始业教育、推进新员工导师制、</w:t>
      </w:r>
      <w:r>
        <w:rPr>
          <w:rFonts w:ascii="宋体" w:hAnsi="宋体" w:cs="宋体" w:eastAsia="宋体" w:hint="default"/>
          <w:color w:val="323232"/>
        </w:rPr>
        <w:t> 设计完善“成长性”的全面薪酬体系、营造“GOS”（Garden Office Sports） 式的工作环境、向员工开放了“CEO”信箱，并每年定期组织“员工与CEO对话” 等措施，建立发展了良好的企业文化环境。</w:t>
      </w:r>
      <w:r>
        <w:rPr>
          <w:rFonts w:ascii="宋体" w:hAnsi="宋体" w:cs="宋体" w:eastAsia="宋体" w:hint="default"/>
        </w:rPr>
      </w:r>
    </w:p>
    <w:p>
      <w:pPr>
        <w:pStyle w:val="BodyText"/>
        <w:spacing w:line="312" w:lineRule="exact"/>
        <w:ind w:left="119" w:right="237" w:firstLine="480"/>
        <w:jc w:val="both"/>
        <w:rPr>
          <w:rFonts w:ascii="宋体" w:hAnsi="宋体" w:cs="宋体" w:eastAsia="宋体" w:hint="default"/>
        </w:rPr>
      </w:pPr>
      <w:r>
        <w:rPr>
          <w:rFonts w:ascii="宋体" w:hAnsi="宋体" w:cs="宋体" w:eastAsia="宋体" w:hint="default"/>
          <w:color w:val="323232"/>
          <w:spacing w:val="-3"/>
        </w:rPr>
        <w:t>公司高度重视法制教育，增强了全体员工的法制观念，严格依法决策、依法</w:t>
      </w:r>
      <w:r>
        <w:rPr>
          <w:rFonts w:ascii="宋体" w:hAnsi="宋体" w:cs="宋体" w:eastAsia="宋体" w:hint="default"/>
          <w:color w:val="323232"/>
        </w:rPr>
        <w:t> </w:t>
      </w:r>
      <w:r>
        <w:rPr>
          <w:rFonts w:ascii="宋体" w:hAnsi="宋体" w:cs="宋体" w:eastAsia="宋体" w:hint="default"/>
          <w:color w:val="323232"/>
          <w:spacing w:val="-3"/>
        </w:rPr>
        <w:t>办事、依法监督。公司设有专门的法律部门，负责法务事务，聘请法律顾问，并</w:t>
      </w:r>
      <w:r>
        <w:rPr>
          <w:rFonts w:ascii="宋体" w:hAnsi="宋体" w:cs="宋体" w:eastAsia="宋体" w:hint="default"/>
          <w:color w:val="323232"/>
          <w:spacing w:val="-113"/>
        </w:rPr>
        <w:t> </w:t>
      </w:r>
      <w:r>
        <w:rPr>
          <w:rFonts w:ascii="宋体" w:hAnsi="宋体" w:cs="宋体" w:eastAsia="宋体" w:hint="default"/>
          <w:color w:val="323232"/>
          <w:spacing w:val="-113"/>
        </w:rPr>
      </w:r>
      <w:r>
        <w:rPr>
          <w:rFonts w:ascii="宋体" w:hAnsi="宋体" w:cs="宋体" w:eastAsia="宋体" w:hint="default"/>
          <w:color w:val="323232"/>
        </w:rPr>
        <w:t>建立健全了重大法律纠纷案件快速通报及备案制度。</w:t>
      </w:r>
      <w:r>
        <w:rPr>
          <w:rFonts w:ascii="宋体" w:hAnsi="宋体" w:cs="宋体" w:eastAsia="宋体" w:hint="default"/>
        </w:rPr>
      </w:r>
    </w:p>
    <w:p>
      <w:pPr>
        <w:pStyle w:val="BodyText"/>
        <w:spacing w:line="312" w:lineRule="exact"/>
        <w:ind w:left="119" w:right="224" w:firstLine="480"/>
        <w:jc w:val="left"/>
        <w:rPr>
          <w:rFonts w:ascii="宋体" w:hAnsi="宋体" w:cs="宋体" w:eastAsia="宋体" w:hint="default"/>
        </w:rPr>
      </w:pPr>
      <w:r>
        <w:rPr>
          <w:rFonts w:ascii="宋体" w:hAnsi="宋体" w:cs="宋体" w:eastAsia="宋体" w:hint="default"/>
          <w:color w:val="323232"/>
          <w:spacing w:val="-3"/>
        </w:rPr>
        <w:t>董事、监事、经营层以及其他公司管理人员在企业文化建设中发挥了示范作</w:t>
      </w:r>
      <w:r>
        <w:rPr>
          <w:rFonts w:ascii="宋体" w:hAnsi="宋体" w:cs="宋体" w:eastAsia="宋体" w:hint="default"/>
          <w:color w:val="323232"/>
        </w:rPr>
        <w:t> 用。</w:t>
      </w:r>
      <w:r>
        <w:rPr>
          <w:rFonts w:ascii="宋体" w:hAnsi="宋体" w:cs="宋体" w:eastAsia="宋体" w:hint="default"/>
        </w:rPr>
      </w:r>
    </w:p>
    <w:p>
      <w:pPr>
        <w:spacing w:line="312" w:lineRule="exact" w:before="0"/>
        <w:ind w:left="599" w:right="224" w:hanging="360"/>
        <w:jc w:val="left"/>
        <w:rPr>
          <w:rFonts w:ascii="宋体" w:hAnsi="宋体" w:cs="宋体" w:eastAsia="宋体" w:hint="default"/>
          <w:sz w:val="24"/>
          <w:szCs w:val="24"/>
        </w:rPr>
      </w:pPr>
      <w:r>
        <w:rPr>
          <w:rFonts w:ascii="宋体" w:hAnsi="宋体" w:cs="宋体" w:eastAsia="宋体" w:hint="default"/>
          <w:b/>
          <w:bCs/>
          <w:color w:val="323232"/>
          <w:sz w:val="24"/>
          <w:szCs w:val="24"/>
        </w:rPr>
        <w:t>(二) 风险评估</w:t>
      </w:r>
      <w:r>
        <w:rPr>
          <w:rFonts w:ascii="宋体" w:hAnsi="宋体" w:cs="宋体" w:eastAsia="宋体" w:hint="default"/>
          <w:b/>
          <w:bCs/>
          <w:color w:val="323232"/>
          <w:w w:val="99"/>
          <w:sz w:val="24"/>
          <w:szCs w:val="24"/>
        </w:rPr>
        <w:t> </w:t>
      </w:r>
      <w:r>
        <w:rPr>
          <w:rFonts w:ascii="宋体" w:hAnsi="宋体" w:cs="宋体" w:eastAsia="宋体" w:hint="default"/>
          <w:color w:val="323232"/>
          <w:spacing w:val="-3"/>
          <w:sz w:val="24"/>
          <w:szCs w:val="24"/>
        </w:rPr>
        <w:t>通过完善公司治理结构，董事会下设战略管理委员会，对公司长期发展战略</w:t>
      </w:r>
      <w:r>
        <w:rPr>
          <w:rFonts w:ascii="宋体" w:hAnsi="宋体" w:cs="宋体" w:eastAsia="宋体" w:hint="default"/>
          <w:spacing w:val="-3"/>
          <w:sz w:val="24"/>
          <w:szCs w:val="24"/>
        </w:rPr>
      </w:r>
    </w:p>
    <w:p>
      <w:pPr>
        <w:pStyle w:val="BodyText"/>
        <w:spacing w:line="312" w:lineRule="exact"/>
        <w:ind w:left="119" w:right="230"/>
        <w:jc w:val="left"/>
        <w:rPr>
          <w:rFonts w:ascii="宋体" w:hAnsi="宋体" w:cs="宋体" w:eastAsia="宋体" w:hint="default"/>
        </w:rPr>
      </w:pPr>
      <w:r>
        <w:rPr>
          <w:rFonts w:ascii="宋体" w:hAnsi="宋体" w:cs="宋体" w:eastAsia="宋体" w:hint="default"/>
          <w:color w:val="323232"/>
          <w:spacing w:val="-3"/>
        </w:rPr>
        <w:t>进行评估；公司经营管理层每年发布年度经营策略，通过策略制定过程中的风险</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rPr>
        <w:t>评估与考量，加强了战略风险控制；</w:t>
      </w:r>
      <w:r>
        <w:rPr>
          <w:rFonts w:ascii="宋体" w:hAnsi="宋体" w:cs="宋体" w:eastAsia="宋体" w:hint="default"/>
        </w:rPr>
      </w:r>
    </w:p>
    <w:p>
      <w:pPr>
        <w:pStyle w:val="BodyText"/>
        <w:spacing w:line="312" w:lineRule="exact"/>
        <w:ind w:left="119" w:right="103" w:firstLine="480"/>
        <w:jc w:val="left"/>
        <w:rPr>
          <w:rFonts w:ascii="宋体" w:hAnsi="宋体" w:cs="宋体" w:eastAsia="宋体" w:hint="default"/>
        </w:rPr>
      </w:pPr>
      <w:r>
        <w:rPr>
          <w:rFonts w:ascii="宋体" w:hAnsi="宋体" w:cs="宋体" w:eastAsia="宋体" w:hint="default"/>
          <w:color w:val="323232"/>
          <w:spacing w:val="-7"/>
        </w:rPr>
        <w:t>公司根据战略发展目标，结合业务特点，系统地建立了有效的风险评估体系。</w:t>
      </w:r>
      <w:r>
        <w:rPr>
          <w:rFonts w:ascii="宋体" w:hAnsi="宋体" w:cs="宋体" w:eastAsia="宋体" w:hint="default"/>
          <w:color w:val="323232"/>
        </w:rPr>
        <w:t> 在公司年度总体策略的指导下，各经营单元和职能部门通过制定年度商业计划、 </w:t>
      </w:r>
      <w:r>
        <w:rPr>
          <w:rFonts w:ascii="宋体" w:hAnsi="宋体" w:cs="宋体" w:eastAsia="宋体" w:hint="default"/>
          <w:color w:val="323232"/>
          <w:spacing w:val="-3"/>
        </w:rPr>
        <w:t>月度跟踪与报告、季度总结与调整等管理手段，根据设定的控制目标，全面系统</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spacing w:val="-3"/>
        </w:rPr>
        <w:t>地收集相关信息，准确识别内部风险和外部风险，针对内部、外部风险进行专项</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分析与评估，做到风险可控。</w:t>
      </w:r>
      <w:r>
        <w:rPr>
          <w:rFonts w:ascii="宋体" w:hAnsi="宋体" w:cs="宋体" w:eastAsia="宋体" w:hint="default"/>
        </w:rPr>
      </w:r>
    </w:p>
    <w:p>
      <w:pPr>
        <w:pStyle w:val="BodyText"/>
        <w:spacing w:line="312" w:lineRule="exact"/>
        <w:ind w:left="119" w:right="237" w:firstLine="480"/>
        <w:jc w:val="both"/>
        <w:rPr>
          <w:rFonts w:ascii="宋体" w:hAnsi="宋体" w:cs="宋体" w:eastAsia="宋体" w:hint="default"/>
        </w:rPr>
      </w:pPr>
      <w:r>
        <w:rPr>
          <w:rFonts w:ascii="宋体" w:hAnsi="宋体" w:cs="宋体" w:eastAsia="宋体" w:hint="default"/>
          <w:color w:val="323232"/>
          <w:spacing w:val="-3"/>
        </w:rPr>
        <w:t>同时，公司根据经营中发现与预测的重要风险点，有针对性地及时调整相关</w:t>
      </w:r>
      <w:r>
        <w:rPr>
          <w:rFonts w:ascii="宋体" w:hAnsi="宋体" w:cs="宋体" w:eastAsia="宋体" w:hint="default"/>
          <w:color w:val="323232"/>
        </w:rPr>
        <w:t> </w:t>
      </w:r>
      <w:r>
        <w:rPr>
          <w:rFonts w:ascii="宋体" w:hAnsi="宋体" w:cs="宋体" w:eastAsia="宋体" w:hint="default"/>
          <w:color w:val="323232"/>
          <w:spacing w:val="-3"/>
        </w:rPr>
        <w:t>制度与政策，使之能够得到有效地管理和控制。2009年，公司重点针对知识产权</w:t>
      </w:r>
      <w:r>
        <w:rPr>
          <w:rFonts w:ascii="宋体" w:hAnsi="宋体" w:cs="宋体" w:eastAsia="宋体" w:hint="default"/>
          <w:color w:val="323232"/>
          <w:spacing w:val="-105"/>
        </w:rPr>
        <w:t> </w:t>
      </w:r>
      <w:r>
        <w:rPr>
          <w:rFonts w:ascii="宋体" w:hAnsi="宋体" w:cs="宋体" w:eastAsia="宋体" w:hint="default"/>
          <w:color w:val="323232"/>
          <w:spacing w:val="-105"/>
        </w:rPr>
      </w:r>
      <w:r>
        <w:rPr>
          <w:rFonts w:ascii="宋体" w:hAnsi="宋体" w:cs="宋体" w:eastAsia="宋体" w:hint="default"/>
          <w:color w:val="323232"/>
          <w:spacing w:val="-3"/>
        </w:rPr>
        <w:t>领域、IT信息安全管理等方面的不足，采用国际通用的信息安全标准，进行专项</w:t>
      </w:r>
      <w:r>
        <w:rPr>
          <w:rFonts w:ascii="宋体" w:hAnsi="宋体" w:cs="宋体" w:eastAsia="宋体" w:hint="default"/>
          <w:color w:val="323232"/>
          <w:spacing w:val="-108"/>
        </w:rPr>
        <w:t> </w:t>
      </w:r>
      <w:r>
        <w:rPr>
          <w:rFonts w:ascii="宋体" w:hAnsi="宋体" w:cs="宋体" w:eastAsia="宋体" w:hint="default"/>
          <w:color w:val="323232"/>
          <w:spacing w:val="-108"/>
        </w:rPr>
      </w:r>
      <w:r>
        <w:rPr>
          <w:rFonts w:ascii="宋体" w:hAnsi="宋体" w:cs="宋体" w:eastAsia="宋体" w:hint="default"/>
          <w:color w:val="323232"/>
        </w:rPr>
        <w:t>整治，并取得良好效果。</w:t>
      </w:r>
      <w:r>
        <w:rPr>
          <w:rFonts w:ascii="宋体" w:hAnsi="宋体" w:cs="宋体" w:eastAsia="宋体" w:hint="default"/>
        </w:rPr>
      </w:r>
    </w:p>
    <w:p>
      <w:pPr>
        <w:pStyle w:val="BodyText"/>
        <w:spacing w:line="312" w:lineRule="exact"/>
        <w:ind w:left="119" w:right="224" w:firstLine="480"/>
        <w:jc w:val="left"/>
        <w:rPr>
          <w:rFonts w:ascii="宋体" w:hAnsi="宋体" w:cs="宋体" w:eastAsia="宋体" w:hint="default"/>
        </w:rPr>
      </w:pPr>
      <w:r>
        <w:rPr>
          <w:rFonts w:ascii="宋体" w:hAnsi="宋体" w:cs="宋体" w:eastAsia="宋体" w:hint="default"/>
          <w:color w:val="323232"/>
          <w:spacing w:val="-3"/>
        </w:rPr>
        <w:t>公司在风险管理上，将进一步增强风险管理的系统性规划，有计划地推动此</w:t>
      </w:r>
      <w:r>
        <w:rPr>
          <w:rFonts w:ascii="宋体" w:hAnsi="宋体" w:cs="宋体" w:eastAsia="宋体" w:hint="default"/>
          <w:color w:val="323232"/>
        </w:rPr>
        <w:t> 项工作的常规化，进行总结、提炼、提高。</w:t>
      </w:r>
      <w:r>
        <w:rPr>
          <w:rFonts w:ascii="宋体" w:hAnsi="宋体" w:cs="宋体" w:eastAsia="宋体" w:hint="default"/>
        </w:rPr>
      </w:r>
    </w:p>
    <w:p>
      <w:pPr>
        <w:pStyle w:val="Heading7"/>
        <w:spacing w:line="312" w:lineRule="exact"/>
        <w:ind w:left="119" w:right="6717"/>
        <w:jc w:val="left"/>
        <w:rPr>
          <w:rFonts w:ascii="宋体" w:hAnsi="宋体" w:cs="宋体" w:eastAsia="宋体" w:hint="default"/>
          <w:b w:val="0"/>
          <w:bCs w:val="0"/>
        </w:rPr>
      </w:pPr>
      <w:r>
        <w:rPr>
          <w:rFonts w:ascii="宋体" w:hAnsi="宋体" w:cs="宋体" w:eastAsia="宋体" w:hint="default"/>
          <w:color w:val="323232"/>
        </w:rPr>
        <w:t>（三）控制活动</w:t>
      </w:r>
      <w:r>
        <w:rPr>
          <w:rFonts w:ascii="宋体" w:hAnsi="宋体" w:cs="宋体" w:eastAsia="宋体" w:hint="default"/>
          <w:color w:val="323232"/>
          <w:spacing w:val="1"/>
          <w:w w:val="99"/>
        </w:rPr>
        <w:t> </w:t>
      </w:r>
      <w:r>
        <w:rPr>
          <w:rFonts w:ascii="宋体" w:hAnsi="宋体" w:cs="宋体" w:eastAsia="宋体" w:hint="default"/>
          <w:color w:val="323232"/>
        </w:rPr>
        <w:t>1、内控制度建设</w:t>
      </w:r>
      <w:r>
        <w:rPr>
          <w:rFonts w:ascii="宋体" w:hAnsi="宋体" w:cs="宋体" w:eastAsia="宋体" w:hint="default"/>
          <w:b w:val="0"/>
          <w:bCs w:val="0"/>
        </w:rPr>
      </w:r>
    </w:p>
    <w:p>
      <w:pPr>
        <w:pStyle w:val="BodyText"/>
        <w:spacing w:line="312" w:lineRule="exact"/>
        <w:ind w:left="119" w:right="237" w:firstLine="480"/>
        <w:jc w:val="both"/>
        <w:rPr>
          <w:rFonts w:ascii="宋体" w:hAnsi="宋体" w:cs="宋体" w:eastAsia="宋体" w:hint="default"/>
        </w:rPr>
      </w:pPr>
      <w:r>
        <w:rPr>
          <w:rFonts w:ascii="宋体" w:hAnsi="宋体" w:cs="宋体" w:eastAsia="宋体" w:hint="default"/>
          <w:color w:val="323232"/>
          <w:spacing w:val="-3"/>
        </w:rPr>
        <w:t>公司根据财政部等部委发布的《企业内部控制基本规范》及上海证券交易所</w:t>
      </w:r>
      <w:r>
        <w:rPr>
          <w:rFonts w:ascii="宋体" w:hAnsi="宋体" w:cs="宋体" w:eastAsia="宋体" w:hint="default"/>
          <w:color w:val="323232"/>
        </w:rPr>
        <w:t> </w:t>
      </w:r>
      <w:r>
        <w:rPr>
          <w:rFonts w:ascii="宋体" w:hAnsi="宋体" w:cs="宋体" w:eastAsia="宋体" w:hint="default"/>
          <w:color w:val="323232"/>
          <w:spacing w:val="-3"/>
        </w:rPr>
        <w:t>发布的《上海证券交易所上市公司内部控制指引》规定的有关要求，根据公司的</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生产经营情况及战略发展需求，建立健全了较为完善的内部控制制度。</w:t>
      </w:r>
      <w:r>
        <w:rPr>
          <w:rFonts w:ascii="宋体" w:hAnsi="宋体" w:cs="宋体" w:eastAsia="宋体" w:hint="default"/>
        </w:rPr>
      </w:r>
    </w:p>
    <w:p>
      <w:pPr>
        <w:pStyle w:val="BodyText"/>
        <w:spacing w:line="312" w:lineRule="exact"/>
        <w:ind w:left="119" w:right="125" w:firstLine="480"/>
        <w:jc w:val="left"/>
        <w:rPr>
          <w:rFonts w:ascii="宋体" w:hAnsi="宋体" w:cs="宋体" w:eastAsia="宋体" w:hint="default"/>
        </w:rPr>
      </w:pPr>
      <w:r>
        <w:rPr>
          <w:rFonts w:ascii="宋体" w:hAnsi="宋体" w:cs="宋体" w:eastAsia="宋体" w:hint="default"/>
          <w:color w:val="323232"/>
          <w:spacing w:val="-3"/>
        </w:rPr>
        <w:t>在生产经营方面进一步完善了关于采购管理、销售管理、经营业务管理、项</w:t>
      </w:r>
      <w:r>
        <w:rPr>
          <w:rFonts w:ascii="宋体" w:hAnsi="宋体" w:cs="宋体" w:eastAsia="宋体" w:hint="default"/>
          <w:color w:val="323232"/>
        </w:rPr>
        <w:t> </w:t>
      </w:r>
      <w:r>
        <w:rPr>
          <w:rFonts w:ascii="宋体" w:hAnsi="宋体" w:cs="宋体" w:eastAsia="宋体" w:hint="default"/>
          <w:color w:val="323232"/>
          <w:spacing w:val="-3"/>
        </w:rPr>
        <w:t>目管理、质量管理等系列内部控制制度，修订了采购流程管理规定，在供应商选</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spacing w:val="-3"/>
        </w:rPr>
        <w:t>择、集中采购、外购分包、仓储安全与物流安全等方面进行了详细完善；在财务</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spacing w:val="-3"/>
        </w:rPr>
        <w:t>管理控制方面进一步健全了关于预算管理、绩效考核、资产管理、资金管理、投</w:t>
      </w:r>
      <w:r>
        <w:rPr>
          <w:rFonts w:ascii="宋体" w:hAnsi="宋体" w:cs="宋体" w:eastAsia="宋体" w:hint="default"/>
          <w:color w:val="323232"/>
          <w:spacing w:val="-110"/>
        </w:rPr>
        <w:t> </w:t>
      </w:r>
      <w:r>
        <w:rPr>
          <w:rFonts w:ascii="宋体" w:hAnsi="宋体" w:cs="宋体" w:eastAsia="宋体" w:hint="default"/>
          <w:color w:val="323232"/>
          <w:spacing w:val="-110"/>
        </w:rPr>
      </w:r>
      <w:r>
        <w:rPr>
          <w:rFonts w:ascii="宋体" w:hAnsi="宋体" w:cs="宋体" w:eastAsia="宋体" w:hint="default"/>
          <w:color w:val="323232"/>
          <w:spacing w:val="-3"/>
        </w:rPr>
        <w:t>资管理等系列内部控制制度；在人力资源方面进一步完善了人才举荐、劳动合同</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spacing w:val="-3"/>
        </w:rPr>
        <w:t>管理、能力发展与培训管理、员工行为规范、绩效管理、沟通及文化管理等系列</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spacing w:val="-3"/>
        </w:rPr>
        <w:t>内部控制制度；在IT信息安全管理方面，结合国际信息安全标准（ISO27001）的</w:t>
      </w:r>
      <w:r>
        <w:rPr>
          <w:rFonts w:ascii="宋体" w:hAnsi="宋体" w:cs="宋体" w:eastAsia="宋体" w:hint="default"/>
          <w:color w:val="323232"/>
          <w:spacing w:val="-95"/>
        </w:rPr>
        <w:t> </w:t>
      </w:r>
      <w:r>
        <w:rPr>
          <w:rFonts w:ascii="宋体" w:hAnsi="宋体" w:cs="宋体" w:eastAsia="宋体" w:hint="default"/>
          <w:color w:val="323232"/>
          <w:spacing w:val="-95"/>
        </w:rPr>
      </w:r>
      <w:r>
        <w:rPr>
          <w:rFonts w:ascii="宋体" w:hAnsi="宋体" w:cs="宋体" w:eastAsia="宋体" w:hint="default"/>
          <w:color w:val="323232"/>
          <w:spacing w:val="-3"/>
        </w:rPr>
        <w:t>要求，建立健全了项目信息安全管理、有形信息资产管理、信息备份、网络安全</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spacing w:val="-3"/>
        </w:rPr>
        <w:t>管理、桌面安全管理、信息安全事件管理等系列内部控制制度，修订并发布《东</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软信息安全管理办法》，详细规定了公司信息安全管理、禁止行为及相应责任； </w:t>
      </w:r>
      <w:r>
        <w:rPr>
          <w:rFonts w:ascii="宋体" w:hAnsi="宋体" w:cs="宋体" w:eastAsia="宋体" w:hint="default"/>
          <w:color w:val="323232"/>
          <w:spacing w:val="-3"/>
        </w:rPr>
        <w:t>同时，公司2009年重点强化了知识资产管理，出台了东软专利管理办法等系列内</w:t>
      </w:r>
      <w:r>
        <w:rPr>
          <w:rFonts w:ascii="宋体" w:hAnsi="宋体" w:cs="宋体" w:eastAsia="宋体" w:hint="default"/>
          <w:color w:val="323232"/>
          <w:spacing w:val="-103"/>
        </w:rPr>
        <w:t> </w:t>
      </w:r>
      <w:r>
        <w:rPr>
          <w:rFonts w:ascii="宋体" w:hAnsi="宋体" w:cs="宋体" w:eastAsia="宋体" w:hint="default"/>
          <w:color w:val="323232"/>
          <w:spacing w:val="-103"/>
        </w:rPr>
      </w:r>
      <w:r>
        <w:rPr>
          <w:rFonts w:ascii="宋体" w:hAnsi="宋体" w:cs="宋体" w:eastAsia="宋体" w:hint="default"/>
          <w:color w:val="323232"/>
        </w:rPr>
        <w:t>部控制制度。</w:t>
      </w:r>
      <w:r>
        <w:rPr>
          <w:rFonts w:ascii="宋体" w:hAnsi="宋体" w:cs="宋体" w:eastAsia="宋体" w:hint="default"/>
        </w:rPr>
      </w:r>
    </w:p>
    <w:p>
      <w:pPr>
        <w:pStyle w:val="Heading7"/>
        <w:spacing w:line="282" w:lineRule="exact"/>
        <w:ind w:left="119" w:right="103"/>
        <w:jc w:val="left"/>
        <w:rPr>
          <w:rFonts w:ascii="宋体" w:hAnsi="宋体" w:cs="宋体" w:eastAsia="宋体" w:hint="default"/>
          <w:b w:val="0"/>
          <w:bCs w:val="0"/>
        </w:rPr>
      </w:pPr>
      <w:r>
        <w:rPr>
          <w:rFonts w:ascii="宋体" w:hAnsi="宋体" w:cs="宋体" w:eastAsia="宋体" w:hint="default"/>
          <w:color w:val="323232"/>
        </w:rPr>
        <w:t>2、控制措施</w:t>
      </w:r>
      <w:r>
        <w:rPr>
          <w:rFonts w:ascii="宋体" w:hAnsi="宋体" w:cs="宋体" w:eastAsia="宋体" w:hint="default"/>
          <w:b w:val="0"/>
          <w:bCs w:val="0"/>
        </w:rPr>
      </w:r>
    </w:p>
    <w:p>
      <w:pPr>
        <w:pStyle w:val="BodyText"/>
        <w:spacing w:line="312" w:lineRule="exact"/>
        <w:ind w:left="599" w:right="103"/>
        <w:jc w:val="left"/>
        <w:rPr>
          <w:rFonts w:ascii="宋体" w:hAnsi="宋体" w:cs="宋体" w:eastAsia="宋体" w:hint="default"/>
        </w:rPr>
      </w:pPr>
      <w:r>
        <w:rPr>
          <w:rFonts w:ascii="宋体" w:hAnsi="宋体" w:cs="宋体" w:eastAsia="宋体" w:hint="default"/>
          <w:color w:val="323232"/>
        </w:rPr>
        <w:t>公司通过内控制度及相关流程，建立起相对严密的控制措施：</w:t>
      </w:r>
      <w:r>
        <w:rPr>
          <w:rFonts w:ascii="宋体" w:hAnsi="宋体" w:cs="宋体" w:eastAsia="宋体" w:hint="default"/>
        </w:rPr>
      </w:r>
    </w:p>
    <w:p>
      <w:pPr>
        <w:pStyle w:val="Heading7"/>
        <w:spacing w:line="313" w:lineRule="exact"/>
        <w:ind w:left="119" w:right="103"/>
        <w:jc w:val="left"/>
        <w:rPr>
          <w:rFonts w:ascii="宋体" w:hAnsi="宋体" w:cs="宋体" w:eastAsia="宋体" w:hint="default"/>
          <w:b w:val="0"/>
          <w:bCs w:val="0"/>
        </w:rPr>
      </w:pPr>
      <w:r>
        <w:rPr>
          <w:rFonts w:ascii="宋体" w:hAnsi="宋体" w:cs="宋体" w:eastAsia="宋体" w:hint="default"/>
          <w:color w:val="323232"/>
        </w:rPr>
        <w:t>（1）不相容职务分离控制</w:t>
      </w:r>
      <w:r>
        <w:rPr>
          <w:rFonts w:ascii="宋体" w:hAnsi="宋体" w:cs="宋体" w:eastAsia="宋体" w:hint="default"/>
          <w:b w:val="0"/>
          <w:bCs w:val="0"/>
        </w:rPr>
      </w:r>
    </w:p>
    <w:p>
      <w:pPr>
        <w:spacing w:after="0" w:line="313" w:lineRule="exact"/>
        <w:jc w:val="left"/>
        <w:rPr>
          <w:rFonts w:ascii="宋体" w:hAnsi="宋体" w:cs="宋体" w:eastAsia="宋体" w:hint="default"/>
        </w:rPr>
        <w:sectPr>
          <w:headerReference w:type="default" r:id="rId193"/>
          <w:footerReference w:type="default" r:id="rId194"/>
          <w:pgSz w:w="11910" w:h="16840"/>
          <w:pgMar w:header="0" w:footer="982" w:top="1400" w:bottom="1180" w:left="1680" w:right="1560"/>
          <w:pgNumType w:start="3"/>
        </w:sectPr>
      </w:pPr>
    </w:p>
    <w:p>
      <w:pPr>
        <w:pStyle w:val="BodyText"/>
        <w:spacing w:line="312" w:lineRule="exact" w:before="31"/>
        <w:ind w:left="120" w:right="223" w:firstLine="480"/>
        <w:jc w:val="left"/>
        <w:rPr>
          <w:rFonts w:ascii="宋体" w:hAnsi="宋体" w:cs="宋体" w:eastAsia="宋体" w:hint="default"/>
        </w:rPr>
      </w:pPr>
      <w:r>
        <w:rPr>
          <w:rFonts w:ascii="宋体" w:hAnsi="宋体" w:cs="宋体" w:eastAsia="宋体" w:hint="default"/>
          <w:color w:val="323232"/>
          <w:spacing w:val="-3"/>
        </w:rPr>
        <w:t>通过公司职位体系设计，建立了子公司重要岗位的平台领导与纵向业务领导</w:t>
      </w:r>
      <w:r>
        <w:rPr>
          <w:rFonts w:ascii="宋体" w:hAnsi="宋体" w:cs="宋体" w:eastAsia="宋体" w:hint="default"/>
          <w:color w:val="323232"/>
        </w:rPr>
        <w:t> 相对平衡的双重领导机制；</w:t>
      </w:r>
      <w:r>
        <w:rPr>
          <w:rFonts w:ascii="宋体" w:hAnsi="宋体" w:cs="宋体" w:eastAsia="宋体" w:hint="default"/>
        </w:rPr>
      </w:r>
    </w:p>
    <w:p>
      <w:pPr>
        <w:pStyle w:val="BodyText"/>
        <w:spacing w:line="312" w:lineRule="exact"/>
        <w:ind w:left="120" w:right="223" w:firstLine="480"/>
        <w:jc w:val="left"/>
        <w:rPr>
          <w:rFonts w:ascii="宋体" w:hAnsi="宋体" w:cs="宋体" w:eastAsia="宋体" w:hint="default"/>
        </w:rPr>
      </w:pPr>
      <w:r>
        <w:rPr>
          <w:rFonts w:ascii="宋体" w:hAnsi="宋体" w:cs="宋体" w:eastAsia="宋体" w:hint="default"/>
          <w:color w:val="323232"/>
          <w:spacing w:val="-3"/>
        </w:rPr>
        <w:t>在业务细节上，对各个业务经营环节制定了一系列较为详尽的岗位职责分工</w:t>
      </w:r>
      <w:r>
        <w:rPr>
          <w:rFonts w:ascii="宋体" w:hAnsi="宋体" w:cs="宋体" w:eastAsia="宋体" w:hint="default"/>
          <w:color w:val="323232"/>
        </w:rPr>
        <w:t> 制度，将各项交易业务的授权审批与具体经办人员分离等。</w:t>
      </w:r>
      <w:r>
        <w:rPr>
          <w:rFonts w:ascii="宋体" w:hAnsi="宋体" w:cs="宋体" w:eastAsia="宋体" w:hint="default"/>
        </w:rPr>
      </w:r>
    </w:p>
    <w:p>
      <w:pPr>
        <w:spacing w:line="312" w:lineRule="exact" w:before="0"/>
        <w:ind w:left="600" w:right="223" w:hanging="480"/>
        <w:jc w:val="left"/>
        <w:rPr>
          <w:rFonts w:ascii="宋体" w:hAnsi="宋体" w:cs="宋体" w:eastAsia="宋体" w:hint="default"/>
          <w:sz w:val="24"/>
          <w:szCs w:val="24"/>
        </w:rPr>
      </w:pPr>
      <w:r>
        <w:rPr>
          <w:rFonts w:ascii="宋体" w:hAnsi="宋体" w:cs="宋体" w:eastAsia="宋体" w:hint="default"/>
          <w:b/>
          <w:bCs/>
          <w:color w:val="323232"/>
          <w:sz w:val="24"/>
          <w:szCs w:val="24"/>
        </w:rPr>
        <w:t>（2）授权审批控制</w:t>
      </w:r>
      <w:r>
        <w:rPr>
          <w:rFonts w:ascii="宋体" w:hAnsi="宋体" w:cs="宋体" w:eastAsia="宋体" w:hint="default"/>
          <w:b/>
          <w:bCs/>
          <w:color w:val="323232"/>
          <w:spacing w:val="1"/>
          <w:w w:val="99"/>
          <w:sz w:val="24"/>
          <w:szCs w:val="24"/>
        </w:rPr>
        <w:t> </w:t>
      </w:r>
      <w:r>
        <w:rPr>
          <w:rFonts w:ascii="宋体" w:hAnsi="宋体" w:cs="宋体" w:eastAsia="宋体" w:hint="default"/>
          <w:color w:val="323232"/>
          <w:spacing w:val="-3"/>
          <w:sz w:val="24"/>
          <w:szCs w:val="24"/>
        </w:rPr>
        <w:t>建立了各级管理人员在授权范围内行使职权和承担责任，重大事项执行会签</w:t>
      </w:r>
      <w:r>
        <w:rPr>
          <w:rFonts w:ascii="宋体" w:hAnsi="宋体" w:cs="宋体" w:eastAsia="宋体" w:hint="default"/>
          <w:spacing w:val="-3"/>
          <w:sz w:val="24"/>
          <w:szCs w:val="24"/>
        </w:rPr>
      </w:r>
    </w:p>
    <w:p>
      <w:pPr>
        <w:pStyle w:val="BodyText"/>
        <w:spacing w:line="282" w:lineRule="exact"/>
        <w:ind w:left="120" w:right="103"/>
        <w:jc w:val="left"/>
        <w:rPr>
          <w:rFonts w:ascii="宋体" w:hAnsi="宋体" w:cs="宋体" w:eastAsia="宋体" w:hint="default"/>
        </w:rPr>
      </w:pPr>
      <w:r>
        <w:rPr>
          <w:rFonts w:ascii="宋体" w:hAnsi="宋体" w:cs="宋体" w:eastAsia="宋体" w:hint="default"/>
          <w:color w:val="323232"/>
        </w:rPr>
        <w:t>制度；</w:t>
      </w:r>
      <w:r>
        <w:rPr>
          <w:rFonts w:ascii="宋体" w:hAnsi="宋体" w:cs="宋体" w:eastAsia="宋体" w:hint="default"/>
        </w:rPr>
      </w:r>
    </w:p>
    <w:p>
      <w:pPr>
        <w:pStyle w:val="BodyText"/>
        <w:spacing w:line="312" w:lineRule="exact" w:before="29"/>
        <w:ind w:left="120" w:right="103" w:firstLine="480"/>
        <w:jc w:val="left"/>
        <w:rPr>
          <w:rFonts w:ascii="宋体" w:hAnsi="宋体" w:cs="宋体" w:eastAsia="宋体" w:hint="default"/>
        </w:rPr>
      </w:pPr>
      <w:r>
        <w:rPr>
          <w:rFonts w:ascii="宋体" w:hAnsi="宋体" w:cs="宋体" w:eastAsia="宋体" w:hint="default"/>
          <w:color w:val="323232"/>
          <w:spacing w:val="-7"/>
        </w:rPr>
        <w:t>公司根据相关法律规定，以及公司权限规则的规定，按经营事项的重大程度、</w:t>
      </w:r>
      <w:r>
        <w:rPr>
          <w:rFonts w:ascii="宋体" w:hAnsi="宋体" w:cs="宋体" w:eastAsia="宋体" w:hint="default"/>
          <w:color w:val="323232"/>
        </w:rPr>
        <w:t> </w:t>
      </w:r>
      <w:r>
        <w:rPr>
          <w:rFonts w:ascii="宋体" w:hAnsi="宋体" w:cs="宋体" w:eastAsia="宋体" w:hint="default"/>
          <w:color w:val="323232"/>
          <w:spacing w:val="-3"/>
        </w:rPr>
        <w:t>风险性质划分管理权限。划分了股东大会、董事会、董事长特别授权、经营领导</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日常经营决策、以及业务单元日常经营决策等各级权限，保证公司的正常运行。</w:t>
      </w:r>
      <w:r>
        <w:rPr>
          <w:rFonts w:ascii="宋体" w:hAnsi="宋体" w:cs="宋体" w:eastAsia="宋体" w:hint="default"/>
        </w:rPr>
      </w:r>
    </w:p>
    <w:p>
      <w:pPr>
        <w:pStyle w:val="BodyText"/>
        <w:spacing w:line="312" w:lineRule="exact"/>
        <w:ind w:left="120" w:right="223" w:firstLine="480"/>
        <w:jc w:val="left"/>
        <w:rPr>
          <w:rFonts w:ascii="宋体" w:hAnsi="宋体" w:cs="宋体" w:eastAsia="宋体" w:hint="default"/>
        </w:rPr>
      </w:pPr>
      <w:r>
        <w:rPr>
          <w:rFonts w:ascii="宋体" w:hAnsi="宋体" w:cs="宋体" w:eastAsia="宋体" w:hint="default"/>
          <w:color w:val="323232"/>
          <w:spacing w:val="-3"/>
        </w:rPr>
        <w:t>公司通过全面预算管理，业务流程管理，并辅之以信息系统手段，设置和保</w:t>
      </w:r>
      <w:r>
        <w:rPr>
          <w:rFonts w:ascii="宋体" w:hAnsi="宋体" w:cs="宋体" w:eastAsia="宋体" w:hint="default"/>
          <w:color w:val="323232"/>
        </w:rPr>
        <w:t> 证了授权审批控制的有效实施。</w:t>
      </w:r>
      <w:r>
        <w:rPr>
          <w:rFonts w:ascii="宋体" w:hAnsi="宋体" w:cs="宋体" w:eastAsia="宋体" w:hint="default"/>
        </w:rPr>
      </w:r>
    </w:p>
    <w:p>
      <w:pPr>
        <w:spacing w:line="312" w:lineRule="exact" w:before="0"/>
        <w:ind w:left="600" w:right="223" w:hanging="480"/>
        <w:jc w:val="left"/>
        <w:rPr>
          <w:rFonts w:ascii="宋体" w:hAnsi="宋体" w:cs="宋体" w:eastAsia="宋体" w:hint="default"/>
          <w:sz w:val="24"/>
          <w:szCs w:val="24"/>
        </w:rPr>
      </w:pPr>
      <w:r>
        <w:rPr>
          <w:rFonts w:ascii="宋体" w:hAnsi="宋体" w:cs="宋体" w:eastAsia="宋体" w:hint="default"/>
          <w:b/>
          <w:bCs/>
          <w:color w:val="323232"/>
          <w:sz w:val="24"/>
          <w:szCs w:val="24"/>
        </w:rPr>
        <w:t>（3）会计系统控制</w:t>
      </w:r>
      <w:r>
        <w:rPr>
          <w:rFonts w:ascii="宋体" w:hAnsi="宋体" w:cs="宋体" w:eastAsia="宋体" w:hint="default"/>
          <w:b/>
          <w:bCs/>
          <w:color w:val="323232"/>
          <w:spacing w:val="1"/>
          <w:w w:val="99"/>
          <w:sz w:val="24"/>
          <w:szCs w:val="24"/>
        </w:rPr>
        <w:t> </w:t>
      </w:r>
      <w:r>
        <w:rPr>
          <w:rFonts w:ascii="宋体" w:hAnsi="宋体" w:cs="宋体" w:eastAsia="宋体" w:hint="default"/>
          <w:color w:val="323232"/>
          <w:spacing w:val="-3"/>
          <w:sz w:val="24"/>
          <w:szCs w:val="24"/>
        </w:rPr>
        <w:t>公司制定并根据实际情况定期修订财务管理相关制度，制定了较为完善的凭</w:t>
      </w:r>
      <w:r>
        <w:rPr>
          <w:rFonts w:ascii="宋体" w:hAnsi="宋体" w:cs="宋体" w:eastAsia="宋体" w:hint="default"/>
          <w:spacing w:val="-3"/>
          <w:sz w:val="24"/>
          <w:szCs w:val="24"/>
        </w:rPr>
      </w:r>
    </w:p>
    <w:p>
      <w:pPr>
        <w:pStyle w:val="BodyText"/>
        <w:spacing w:line="312" w:lineRule="exact"/>
        <w:ind w:left="120" w:right="237"/>
        <w:jc w:val="both"/>
        <w:rPr>
          <w:rFonts w:ascii="宋体" w:hAnsi="宋体" w:cs="宋体" w:eastAsia="宋体" w:hint="default"/>
        </w:rPr>
      </w:pPr>
      <w:r>
        <w:rPr>
          <w:rFonts w:ascii="宋体" w:hAnsi="宋体" w:cs="宋体" w:eastAsia="宋体" w:hint="default"/>
          <w:color w:val="323232"/>
          <w:spacing w:val="-3"/>
        </w:rPr>
        <w:t>证与记录的控制程序，通过财务信息系统化手段，对所有经济业务往来和操作过</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rPr>
        <w:t>程进行控制</w:t>
      </w:r>
      <w:r>
        <w:rPr>
          <w:rFonts w:ascii="宋体" w:hAnsi="宋体" w:cs="宋体" w:eastAsia="宋体" w:hint="default"/>
        </w:rPr>
      </w:r>
    </w:p>
    <w:p>
      <w:pPr>
        <w:pStyle w:val="BodyText"/>
        <w:spacing w:line="312" w:lineRule="exact"/>
        <w:ind w:left="120" w:right="100" w:firstLine="480"/>
        <w:jc w:val="left"/>
        <w:rPr>
          <w:rFonts w:ascii="宋体" w:hAnsi="宋体" w:cs="宋体" w:eastAsia="宋体" w:hint="default"/>
        </w:rPr>
      </w:pPr>
      <w:r>
        <w:rPr>
          <w:rFonts w:ascii="宋体" w:hAnsi="宋体" w:cs="宋体" w:eastAsia="宋体" w:hint="default"/>
          <w:color w:val="323232"/>
        </w:rPr>
        <w:t>设立投资审计部，配置了专职人员，对公司及控股子公司的经济运行质量、 </w:t>
      </w:r>
      <w:r>
        <w:rPr>
          <w:rFonts w:ascii="宋体" w:hAnsi="宋体" w:cs="宋体" w:eastAsia="宋体" w:hint="default"/>
          <w:color w:val="323232"/>
          <w:spacing w:val="-6"/>
        </w:rPr>
        <w:t>经济效益、内控的制度和执行、各项费用的支出以及资产保护等进行审计和监督。</w:t>
      </w:r>
      <w:r>
        <w:rPr>
          <w:rFonts w:ascii="宋体" w:hAnsi="宋体" w:cs="宋体" w:eastAsia="宋体" w:hint="default"/>
          <w:spacing w:val="-6"/>
        </w:rPr>
      </w:r>
    </w:p>
    <w:p>
      <w:pPr>
        <w:spacing w:line="312" w:lineRule="exact" w:before="0"/>
        <w:ind w:left="599" w:right="224" w:hanging="480"/>
        <w:jc w:val="left"/>
        <w:rPr>
          <w:rFonts w:ascii="宋体" w:hAnsi="宋体" w:cs="宋体" w:eastAsia="宋体" w:hint="default"/>
          <w:sz w:val="24"/>
          <w:szCs w:val="24"/>
        </w:rPr>
      </w:pPr>
      <w:r>
        <w:rPr>
          <w:rFonts w:ascii="宋体" w:hAnsi="宋体" w:cs="宋体" w:eastAsia="宋体" w:hint="default"/>
          <w:b/>
          <w:bCs/>
          <w:color w:val="323232"/>
          <w:sz w:val="24"/>
          <w:szCs w:val="24"/>
        </w:rPr>
        <w:t>（4）财产保护控制</w:t>
      </w:r>
      <w:r>
        <w:rPr>
          <w:rFonts w:ascii="宋体" w:hAnsi="宋体" w:cs="宋体" w:eastAsia="宋体" w:hint="default"/>
          <w:b/>
          <w:bCs/>
          <w:color w:val="323232"/>
          <w:spacing w:val="1"/>
          <w:w w:val="99"/>
          <w:sz w:val="24"/>
          <w:szCs w:val="24"/>
        </w:rPr>
        <w:t> </w:t>
      </w:r>
      <w:r>
        <w:rPr>
          <w:rFonts w:ascii="宋体" w:hAnsi="宋体" w:cs="宋体" w:eastAsia="宋体" w:hint="default"/>
          <w:color w:val="323232"/>
          <w:spacing w:val="-3"/>
          <w:sz w:val="24"/>
          <w:szCs w:val="24"/>
        </w:rPr>
        <w:t>公司制定并有效执行财务管理、行政管理相关制度，制定会计记录和重要业</w:t>
      </w:r>
      <w:r>
        <w:rPr>
          <w:rFonts w:ascii="宋体" w:hAnsi="宋体" w:cs="宋体" w:eastAsia="宋体" w:hint="default"/>
          <w:spacing w:val="-3"/>
          <w:sz w:val="24"/>
          <w:szCs w:val="24"/>
        </w:rPr>
      </w:r>
    </w:p>
    <w:p>
      <w:pPr>
        <w:pStyle w:val="BodyText"/>
        <w:spacing w:line="312" w:lineRule="exact"/>
        <w:ind w:left="119" w:right="237"/>
        <w:jc w:val="both"/>
        <w:rPr>
          <w:rFonts w:ascii="宋体" w:hAnsi="宋体" w:cs="宋体" w:eastAsia="宋体" w:hint="default"/>
        </w:rPr>
      </w:pPr>
      <w:r>
        <w:rPr>
          <w:rFonts w:ascii="宋体" w:hAnsi="宋体" w:cs="宋体" w:eastAsia="宋体" w:hint="default"/>
          <w:color w:val="323232"/>
          <w:spacing w:val="-3"/>
        </w:rPr>
        <w:t>务记录的管理方式；制定固定资产的保管责任及流程；实行每年定期盘点和专项</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spacing w:val="-3"/>
        </w:rPr>
        <w:t>资产清查结合等控制措施；公司统一制定和实施了财产保险业务，设定了保险范</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rPr>
        <w:t>围和保护程度，使公司财产得到比较全面的保险保护。</w:t>
      </w:r>
      <w:r>
        <w:rPr>
          <w:rFonts w:ascii="宋体" w:hAnsi="宋体" w:cs="宋体" w:eastAsia="宋体" w:hint="default"/>
        </w:rPr>
      </w:r>
    </w:p>
    <w:p>
      <w:pPr>
        <w:pStyle w:val="BodyText"/>
        <w:spacing w:line="312" w:lineRule="exact"/>
        <w:ind w:left="119" w:right="116" w:firstLine="480"/>
        <w:jc w:val="left"/>
        <w:rPr>
          <w:rFonts w:ascii="宋体" w:hAnsi="宋体" w:cs="宋体" w:eastAsia="宋体" w:hint="default"/>
        </w:rPr>
      </w:pPr>
      <w:r>
        <w:rPr>
          <w:rFonts w:ascii="宋体" w:hAnsi="宋体" w:cs="宋体" w:eastAsia="宋体" w:hint="default"/>
          <w:color w:val="323232"/>
          <w:spacing w:val="-3"/>
        </w:rPr>
        <w:t>2009年，公司重点加强了产品和解决方案的安全管理，通过加强移动存贮介</w:t>
      </w:r>
      <w:r>
        <w:rPr>
          <w:rFonts w:ascii="宋体" w:hAnsi="宋体" w:cs="宋体" w:eastAsia="宋体" w:hint="default"/>
          <w:color w:val="323232"/>
        </w:rPr>
        <w:t> </w:t>
      </w:r>
      <w:r>
        <w:rPr>
          <w:rFonts w:ascii="宋体" w:hAnsi="宋体" w:cs="宋体" w:eastAsia="宋体" w:hint="default"/>
          <w:color w:val="323232"/>
          <w:spacing w:val="-3"/>
        </w:rPr>
        <w:t>质管理，封闭USB端口，监控外送邮件，采用终端安全产品对终端安全进行管理，</w:t>
      </w:r>
      <w:r>
        <w:rPr>
          <w:rFonts w:ascii="宋体" w:hAnsi="宋体" w:cs="宋体" w:eastAsia="宋体" w:hint="default"/>
          <w:color w:val="323232"/>
          <w:spacing w:val="-105"/>
        </w:rPr>
        <w:t> </w:t>
      </w:r>
      <w:r>
        <w:rPr>
          <w:rFonts w:ascii="宋体" w:hAnsi="宋体" w:cs="宋体" w:eastAsia="宋体" w:hint="default"/>
          <w:color w:val="323232"/>
          <w:spacing w:val="-105"/>
        </w:rPr>
      </w:r>
      <w:r>
        <w:rPr>
          <w:rFonts w:ascii="宋体" w:hAnsi="宋体" w:cs="宋体" w:eastAsia="宋体" w:hint="default"/>
          <w:color w:val="323232"/>
        </w:rPr>
        <w:t>加强打印管理等多种方式确保了公司信息资产安全。</w:t>
      </w:r>
      <w:r>
        <w:rPr>
          <w:rFonts w:ascii="宋体" w:hAnsi="宋体" w:cs="宋体" w:eastAsia="宋体" w:hint="default"/>
        </w:rPr>
      </w:r>
    </w:p>
    <w:p>
      <w:pPr>
        <w:pStyle w:val="Heading7"/>
        <w:spacing w:line="282" w:lineRule="exact"/>
        <w:ind w:left="119" w:right="103"/>
        <w:jc w:val="left"/>
        <w:rPr>
          <w:rFonts w:ascii="宋体" w:hAnsi="宋体" w:cs="宋体" w:eastAsia="宋体" w:hint="default"/>
          <w:b w:val="0"/>
          <w:bCs w:val="0"/>
        </w:rPr>
      </w:pPr>
      <w:r>
        <w:rPr>
          <w:rFonts w:ascii="宋体" w:hAnsi="宋体" w:cs="宋体" w:eastAsia="宋体" w:hint="default"/>
          <w:color w:val="323232"/>
        </w:rPr>
        <w:t>（5）预算控制</w:t>
      </w:r>
      <w:r>
        <w:rPr>
          <w:rFonts w:ascii="宋体" w:hAnsi="宋体" w:cs="宋体" w:eastAsia="宋体" w:hint="default"/>
          <w:b w:val="0"/>
          <w:bCs w:val="0"/>
        </w:rPr>
      </w:r>
    </w:p>
    <w:p>
      <w:pPr>
        <w:pStyle w:val="BodyText"/>
        <w:spacing w:line="312" w:lineRule="exact" w:before="29"/>
        <w:ind w:left="119" w:right="237" w:firstLine="480"/>
        <w:jc w:val="both"/>
        <w:rPr>
          <w:rFonts w:ascii="宋体" w:hAnsi="宋体" w:cs="宋体" w:eastAsia="宋体" w:hint="default"/>
        </w:rPr>
      </w:pPr>
      <w:r>
        <w:rPr>
          <w:rFonts w:ascii="宋体" w:hAnsi="宋体" w:cs="宋体" w:eastAsia="宋体" w:hint="default"/>
          <w:color w:val="323232"/>
          <w:spacing w:val="-3"/>
        </w:rPr>
        <w:t>公司已建立并成功实施了与矩阵式组织相配合的、全过程、全方位的全面预</w:t>
      </w:r>
      <w:r>
        <w:rPr>
          <w:rFonts w:ascii="宋体" w:hAnsi="宋体" w:cs="宋体" w:eastAsia="宋体" w:hint="default"/>
          <w:color w:val="323232"/>
        </w:rPr>
        <w:t> </w:t>
      </w:r>
      <w:r>
        <w:rPr>
          <w:rFonts w:ascii="宋体" w:hAnsi="宋体" w:cs="宋体" w:eastAsia="宋体" w:hint="default"/>
          <w:color w:val="323232"/>
          <w:spacing w:val="-3"/>
        </w:rPr>
        <w:t>算管理体系，公司各部门、各业务单元在预算管理中严格按照制度规定的职责权</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rPr>
        <w:t>限和程序进行预算管理。</w:t>
      </w:r>
      <w:r>
        <w:rPr>
          <w:rFonts w:ascii="宋体" w:hAnsi="宋体" w:cs="宋体" w:eastAsia="宋体" w:hint="default"/>
        </w:rPr>
      </w:r>
    </w:p>
    <w:p>
      <w:pPr>
        <w:spacing w:line="312" w:lineRule="exact" w:before="0"/>
        <w:ind w:left="599" w:right="224" w:hanging="480"/>
        <w:jc w:val="left"/>
        <w:rPr>
          <w:rFonts w:ascii="宋体" w:hAnsi="宋体" w:cs="宋体" w:eastAsia="宋体" w:hint="default"/>
          <w:sz w:val="24"/>
          <w:szCs w:val="24"/>
        </w:rPr>
      </w:pPr>
      <w:r>
        <w:rPr>
          <w:rFonts w:ascii="宋体" w:hAnsi="宋体" w:cs="宋体" w:eastAsia="宋体" w:hint="default"/>
          <w:b/>
          <w:bCs/>
          <w:color w:val="323232"/>
          <w:sz w:val="24"/>
          <w:szCs w:val="24"/>
        </w:rPr>
        <w:t>（6）运营分析控制</w:t>
      </w:r>
      <w:r>
        <w:rPr>
          <w:rFonts w:ascii="宋体" w:hAnsi="宋体" w:cs="宋体" w:eastAsia="宋体" w:hint="default"/>
          <w:b/>
          <w:bCs/>
          <w:color w:val="323232"/>
          <w:spacing w:val="1"/>
          <w:w w:val="99"/>
          <w:sz w:val="24"/>
          <w:szCs w:val="24"/>
        </w:rPr>
        <w:t> </w:t>
      </w:r>
      <w:r>
        <w:rPr>
          <w:rFonts w:ascii="宋体" w:hAnsi="宋体" w:cs="宋体" w:eastAsia="宋体" w:hint="default"/>
          <w:color w:val="323232"/>
          <w:spacing w:val="-3"/>
          <w:sz w:val="24"/>
          <w:szCs w:val="24"/>
        </w:rPr>
        <w:t>公司运营分析控制在全面预算系统的基础上，按周、月、季度、半年、全年</w:t>
      </w:r>
      <w:r>
        <w:rPr>
          <w:rFonts w:ascii="宋体" w:hAnsi="宋体" w:cs="宋体" w:eastAsia="宋体" w:hint="default"/>
          <w:spacing w:val="-3"/>
          <w:sz w:val="24"/>
          <w:szCs w:val="24"/>
        </w:rPr>
      </w:r>
    </w:p>
    <w:p>
      <w:pPr>
        <w:pStyle w:val="BodyText"/>
        <w:spacing w:line="312" w:lineRule="exact"/>
        <w:ind w:left="119" w:right="237"/>
        <w:jc w:val="both"/>
        <w:rPr>
          <w:rFonts w:ascii="宋体" w:hAnsi="宋体" w:cs="宋体" w:eastAsia="宋体" w:hint="default"/>
        </w:rPr>
      </w:pPr>
      <w:r>
        <w:rPr>
          <w:rFonts w:ascii="宋体" w:hAnsi="宋体" w:cs="宋体" w:eastAsia="宋体" w:hint="default"/>
          <w:color w:val="323232"/>
          <w:spacing w:val="-3"/>
        </w:rPr>
        <w:t>的不同时点定期综合考量公司各业务单元的运行状况，分析内外部环境变化，预</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spacing w:val="-3"/>
        </w:rPr>
        <w:t>算差异产生原因等，发现存在的问题，及时查明原因并加以改进。公司各业务单</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元内部也按公司规定开展运营分析控制。</w:t>
      </w:r>
      <w:r>
        <w:rPr>
          <w:rFonts w:ascii="宋体" w:hAnsi="宋体" w:cs="宋体" w:eastAsia="宋体" w:hint="default"/>
        </w:rPr>
      </w:r>
    </w:p>
    <w:p>
      <w:pPr>
        <w:spacing w:line="312" w:lineRule="exact" w:before="0"/>
        <w:ind w:left="599" w:right="125" w:hanging="480"/>
        <w:jc w:val="left"/>
        <w:rPr>
          <w:rFonts w:ascii="宋体" w:hAnsi="宋体" w:cs="宋体" w:eastAsia="宋体" w:hint="default"/>
          <w:sz w:val="24"/>
          <w:szCs w:val="24"/>
        </w:rPr>
      </w:pPr>
      <w:r>
        <w:rPr>
          <w:rFonts w:ascii="宋体" w:hAnsi="宋体" w:cs="宋体" w:eastAsia="宋体" w:hint="default"/>
          <w:b/>
          <w:bCs/>
          <w:color w:val="323232"/>
          <w:sz w:val="24"/>
          <w:szCs w:val="24"/>
        </w:rPr>
        <w:t>（7）绩效考评控制</w:t>
      </w:r>
      <w:r>
        <w:rPr>
          <w:rFonts w:ascii="宋体" w:hAnsi="宋体" w:cs="宋体" w:eastAsia="宋体" w:hint="default"/>
          <w:b/>
          <w:bCs/>
          <w:color w:val="323232"/>
          <w:spacing w:val="1"/>
          <w:w w:val="99"/>
          <w:sz w:val="24"/>
          <w:szCs w:val="24"/>
        </w:rPr>
        <w:t> </w:t>
      </w:r>
      <w:r>
        <w:rPr>
          <w:rFonts w:ascii="宋体" w:hAnsi="宋体" w:cs="宋体" w:eastAsia="宋体" w:hint="default"/>
          <w:color w:val="323232"/>
          <w:sz w:val="24"/>
          <w:szCs w:val="24"/>
        </w:rPr>
        <w:t>公司已建立和实施较为完备的绩效考评制度，通过员工个人绩效目标设定、</w:t>
      </w:r>
      <w:r>
        <w:rPr>
          <w:rFonts w:ascii="宋体" w:hAnsi="宋体" w:cs="宋体" w:eastAsia="宋体" w:hint="default"/>
          <w:sz w:val="24"/>
          <w:szCs w:val="24"/>
        </w:rPr>
      </w:r>
    </w:p>
    <w:p>
      <w:pPr>
        <w:pStyle w:val="BodyText"/>
        <w:spacing w:line="312" w:lineRule="exact"/>
        <w:ind w:left="119" w:right="237"/>
        <w:jc w:val="both"/>
        <w:rPr>
          <w:rFonts w:ascii="宋体" w:hAnsi="宋体" w:cs="宋体" w:eastAsia="宋体" w:hint="default"/>
        </w:rPr>
      </w:pPr>
      <w:r>
        <w:rPr>
          <w:rFonts w:ascii="宋体" w:hAnsi="宋体" w:cs="宋体" w:eastAsia="宋体" w:hint="default"/>
          <w:color w:val="323232"/>
        </w:rPr>
        <w:t>领导力360度评估、领导职位述职体系、业务单元定期报告体系等方式，通过科 </w:t>
      </w:r>
      <w:r>
        <w:rPr>
          <w:rFonts w:ascii="宋体" w:hAnsi="宋体" w:cs="宋体" w:eastAsia="宋体" w:hint="default"/>
          <w:color w:val="323232"/>
          <w:spacing w:val="-3"/>
        </w:rPr>
        <w:t>学的关键绩效目标设定与考核，对各业务单元和全体员工的业绩进行定期考核和</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spacing w:val="-3"/>
        </w:rPr>
        <w:t>客观评价，并将考评结果作为确定业务单元薪酬水平，员工个人薪酬以及职务晋</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rPr>
        <w:t>升、评优、降级、调岗、辞退等的依据。</w:t>
      </w:r>
      <w:r>
        <w:rPr>
          <w:rFonts w:ascii="宋体" w:hAnsi="宋体" w:cs="宋体" w:eastAsia="宋体" w:hint="default"/>
        </w:rPr>
      </w:r>
    </w:p>
    <w:p>
      <w:pPr>
        <w:spacing w:line="312" w:lineRule="exact" w:before="0"/>
        <w:ind w:left="599" w:right="224" w:hanging="480"/>
        <w:jc w:val="left"/>
        <w:rPr>
          <w:rFonts w:ascii="宋体" w:hAnsi="宋体" w:cs="宋体" w:eastAsia="宋体" w:hint="default"/>
          <w:sz w:val="24"/>
          <w:szCs w:val="24"/>
        </w:rPr>
      </w:pPr>
      <w:r>
        <w:rPr>
          <w:rFonts w:ascii="宋体" w:hAnsi="宋体" w:cs="宋体" w:eastAsia="宋体" w:hint="default"/>
          <w:b/>
          <w:bCs/>
          <w:color w:val="323232"/>
          <w:sz w:val="24"/>
          <w:szCs w:val="24"/>
        </w:rPr>
        <w:t>（8）重大风险预警与突发事件应急处理控制</w:t>
      </w:r>
      <w:r>
        <w:rPr>
          <w:rFonts w:ascii="宋体" w:hAnsi="宋体" w:cs="宋体" w:eastAsia="宋体" w:hint="default"/>
          <w:b/>
          <w:bCs/>
          <w:color w:val="323232"/>
          <w:w w:val="99"/>
          <w:sz w:val="24"/>
          <w:szCs w:val="24"/>
        </w:rPr>
        <w:t> </w:t>
      </w:r>
      <w:r>
        <w:rPr>
          <w:rFonts w:ascii="宋体" w:hAnsi="宋体" w:cs="宋体" w:eastAsia="宋体" w:hint="default"/>
          <w:color w:val="323232"/>
          <w:spacing w:val="-3"/>
          <w:sz w:val="24"/>
          <w:szCs w:val="24"/>
        </w:rPr>
        <w:t>公司建立了重大风险预警机制和突发事件应急处理机制，对可能发生的重大</w:t>
      </w:r>
      <w:r>
        <w:rPr>
          <w:rFonts w:ascii="宋体" w:hAnsi="宋体" w:cs="宋体" w:eastAsia="宋体" w:hint="default"/>
          <w:spacing w:val="-3"/>
          <w:sz w:val="24"/>
          <w:szCs w:val="24"/>
        </w:rPr>
      </w:r>
    </w:p>
    <w:p>
      <w:pPr>
        <w:pStyle w:val="BodyText"/>
        <w:spacing w:line="283" w:lineRule="exact"/>
        <w:ind w:left="119" w:right="103"/>
        <w:jc w:val="left"/>
        <w:rPr>
          <w:rFonts w:ascii="宋体" w:hAnsi="宋体" w:cs="宋体" w:eastAsia="宋体" w:hint="default"/>
        </w:rPr>
      </w:pPr>
      <w:r>
        <w:rPr>
          <w:rFonts w:ascii="宋体" w:hAnsi="宋体" w:cs="宋体" w:eastAsia="宋体" w:hint="default"/>
          <w:color w:val="323232"/>
          <w:spacing w:val="-3"/>
        </w:rPr>
        <w:t>风险或突发事件，制定应急预案、明确责任人员、规范处置程序，确保突发事件</w:t>
      </w:r>
      <w:r>
        <w:rPr>
          <w:rFonts w:ascii="宋体" w:hAnsi="宋体" w:cs="宋体" w:eastAsia="宋体" w:hint="default"/>
          <w:spacing w:val="-3"/>
        </w:rPr>
      </w:r>
    </w:p>
    <w:p>
      <w:pPr>
        <w:spacing w:after="0" w:line="283" w:lineRule="exact"/>
        <w:jc w:val="left"/>
        <w:rPr>
          <w:rFonts w:ascii="宋体" w:hAnsi="宋体" w:cs="宋体" w:eastAsia="宋体" w:hint="default"/>
        </w:rPr>
        <w:sectPr>
          <w:headerReference w:type="default" r:id="rId195"/>
          <w:footerReference w:type="default" r:id="rId196"/>
          <w:pgSz w:w="11910" w:h="16840"/>
          <w:pgMar w:header="0" w:footer="982" w:top="1400" w:bottom="1180" w:left="1680" w:right="1560"/>
          <w:pgNumType w:start="4"/>
        </w:sectPr>
      </w:pPr>
    </w:p>
    <w:p>
      <w:pPr>
        <w:spacing w:line="312" w:lineRule="exact" w:before="31"/>
        <w:ind w:left="120" w:right="6324" w:firstLine="0"/>
        <w:jc w:val="left"/>
        <w:rPr>
          <w:rFonts w:ascii="宋体" w:hAnsi="宋体" w:cs="宋体" w:eastAsia="宋体" w:hint="default"/>
          <w:sz w:val="24"/>
          <w:szCs w:val="24"/>
        </w:rPr>
      </w:pPr>
      <w:r>
        <w:rPr>
          <w:rFonts w:ascii="宋体" w:hAnsi="宋体" w:cs="宋体" w:eastAsia="宋体" w:hint="default"/>
          <w:color w:val="323232"/>
          <w:sz w:val="24"/>
          <w:szCs w:val="24"/>
        </w:rPr>
        <w:t>得到及时妥善处理。 </w:t>
      </w:r>
      <w:r>
        <w:rPr>
          <w:rFonts w:ascii="宋体" w:hAnsi="宋体" w:cs="宋体" w:eastAsia="宋体" w:hint="default"/>
          <w:b/>
          <w:bCs/>
          <w:color w:val="323232"/>
          <w:sz w:val="24"/>
          <w:szCs w:val="24"/>
        </w:rPr>
        <w:t>3、重点控制</w:t>
      </w:r>
      <w:r>
        <w:rPr>
          <w:rFonts w:ascii="宋体" w:hAnsi="宋体" w:cs="宋体" w:eastAsia="宋体" w:hint="default"/>
          <w:sz w:val="24"/>
          <w:szCs w:val="24"/>
        </w:rPr>
      </w:r>
    </w:p>
    <w:p>
      <w:pPr>
        <w:spacing w:line="312" w:lineRule="exact" w:before="0"/>
        <w:ind w:left="600" w:right="183" w:hanging="480"/>
        <w:jc w:val="left"/>
        <w:rPr>
          <w:rFonts w:ascii="宋体" w:hAnsi="宋体" w:cs="宋体" w:eastAsia="宋体" w:hint="default"/>
          <w:sz w:val="24"/>
          <w:szCs w:val="24"/>
        </w:rPr>
      </w:pPr>
      <w:r>
        <w:rPr>
          <w:rFonts w:ascii="宋体" w:hAnsi="宋体" w:cs="宋体" w:eastAsia="宋体" w:hint="default"/>
          <w:b/>
          <w:bCs/>
          <w:color w:val="323232"/>
          <w:sz w:val="24"/>
          <w:szCs w:val="24"/>
        </w:rPr>
        <w:t>（1）对全资及控股子公司的管理控制</w:t>
      </w:r>
      <w:r>
        <w:rPr>
          <w:rFonts w:ascii="宋体" w:hAnsi="宋体" w:cs="宋体" w:eastAsia="宋体" w:hint="default"/>
          <w:b/>
          <w:bCs/>
          <w:color w:val="323232"/>
          <w:spacing w:val="1"/>
          <w:w w:val="99"/>
          <w:sz w:val="24"/>
          <w:szCs w:val="24"/>
        </w:rPr>
        <w:t> </w:t>
      </w:r>
      <w:r>
        <w:rPr>
          <w:rFonts w:ascii="宋体" w:hAnsi="宋体" w:cs="宋体" w:eastAsia="宋体" w:hint="default"/>
          <w:color w:val="323232"/>
          <w:spacing w:val="-3"/>
          <w:sz w:val="24"/>
          <w:szCs w:val="24"/>
        </w:rPr>
        <w:t>公司通过向全资及控股子公司委派董事、监事及重要高级管理人员；将全资</w:t>
      </w:r>
      <w:r>
        <w:rPr>
          <w:rFonts w:ascii="宋体" w:hAnsi="宋体" w:cs="宋体" w:eastAsia="宋体" w:hint="default"/>
          <w:spacing w:val="-3"/>
          <w:sz w:val="24"/>
          <w:szCs w:val="24"/>
        </w:rPr>
      </w:r>
    </w:p>
    <w:p>
      <w:pPr>
        <w:pStyle w:val="BodyText"/>
        <w:spacing w:line="312" w:lineRule="exact"/>
        <w:ind w:left="120" w:right="197"/>
        <w:jc w:val="both"/>
        <w:rPr>
          <w:rFonts w:ascii="宋体" w:hAnsi="宋体" w:cs="宋体" w:eastAsia="宋体" w:hint="default"/>
        </w:rPr>
      </w:pPr>
      <w:r>
        <w:rPr>
          <w:rFonts w:ascii="宋体" w:hAnsi="宋体" w:cs="宋体" w:eastAsia="宋体" w:hint="default"/>
          <w:color w:val="323232"/>
          <w:spacing w:val="-3"/>
        </w:rPr>
        <w:t>及控股子公司纳入公司全面预算管理体系；加强对全资及控股子公司的关键职能</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spacing w:val="-3"/>
        </w:rPr>
        <w:t>岗位的纵向领导；强化内部审计机制等措施，实现了对全资及控股子公司的一体</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rPr>
        <w:t>化管理控制。</w:t>
      </w:r>
      <w:r>
        <w:rPr>
          <w:rFonts w:ascii="宋体" w:hAnsi="宋体" w:cs="宋体" w:eastAsia="宋体" w:hint="default"/>
        </w:rPr>
      </w:r>
    </w:p>
    <w:p>
      <w:pPr>
        <w:spacing w:line="312" w:lineRule="exact" w:before="0"/>
        <w:ind w:left="600" w:right="183" w:hanging="480"/>
        <w:jc w:val="left"/>
        <w:rPr>
          <w:rFonts w:ascii="宋体" w:hAnsi="宋体" w:cs="宋体" w:eastAsia="宋体" w:hint="default"/>
          <w:sz w:val="24"/>
          <w:szCs w:val="24"/>
        </w:rPr>
      </w:pPr>
      <w:r>
        <w:rPr>
          <w:rFonts w:ascii="宋体" w:hAnsi="宋体" w:cs="宋体" w:eastAsia="宋体" w:hint="default"/>
          <w:b/>
          <w:bCs/>
          <w:color w:val="323232"/>
          <w:sz w:val="24"/>
          <w:szCs w:val="24"/>
        </w:rPr>
        <w:t>（2）关联交易的内部控制</w:t>
      </w:r>
      <w:r>
        <w:rPr>
          <w:rFonts w:ascii="宋体" w:hAnsi="宋体" w:cs="宋体" w:eastAsia="宋体" w:hint="default"/>
          <w:b/>
          <w:bCs/>
          <w:color w:val="323232"/>
          <w:spacing w:val="1"/>
          <w:w w:val="99"/>
          <w:sz w:val="24"/>
          <w:szCs w:val="24"/>
        </w:rPr>
        <w:t> </w:t>
      </w:r>
      <w:r>
        <w:rPr>
          <w:rFonts w:ascii="宋体" w:hAnsi="宋体" w:cs="宋体" w:eastAsia="宋体" w:hint="default"/>
          <w:color w:val="323232"/>
          <w:spacing w:val="-3"/>
          <w:sz w:val="24"/>
          <w:szCs w:val="24"/>
        </w:rPr>
        <w:t>公司切实执行了证监会、交易所的相关规定，规范与关联方的交易行为，力</w:t>
      </w:r>
      <w:r>
        <w:rPr>
          <w:rFonts w:ascii="宋体" w:hAnsi="宋体" w:cs="宋体" w:eastAsia="宋体" w:hint="default"/>
          <w:spacing w:val="-3"/>
          <w:sz w:val="24"/>
          <w:szCs w:val="24"/>
        </w:rPr>
      </w:r>
    </w:p>
    <w:p>
      <w:pPr>
        <w:pStyle w:val="BodyText"/>
        <w:spacing w:line="282" w:lineRule="exact"/>
        <w:ind w:left="120" w:right="0"/>
        <w:jc w:val="both"/>
        <w:rPr>
          <w:rFonts w:ascii="宋体" w:hAnsi="宋体" w:cs="宋体" w:eastAsia="宋体" w:hint="default"/>
        </w:rPr>
      </w:pPr>
      <w:r>
        <w:rPr>
          <w:rFonts w:ascii="宋体" w:hAnsi="宋体" w:cs="宋体" w:eastAsia="宋体" w:hint="default"/>
          <w:color w:val="323232"/>
        </w:rPr>
        <w:t>求遵循诚实信用、公正、公平、公开的原则，保护公司及中小股东的利益。</w:t>
      </w:r>
      <w:r>
        <w:rPr>
          <w:rFonts w:ascii="宋体" w:hAnsi="宋体" w:cs="宋体" w:eastAsia="宋体" w:hint="default"/>
        </w:rPr>
      </w:r>
    </w:p>
    <w:p>
      <w:pPr>
        <w:spacing w:line="312" w:lineRule="exact" w:before="29"/>
        <w:ind w:left="600" w:right="183" w:hanging="480"/>
        <w:jc w:val="left"/>
        <w:rPr>
          <w:rFonts w:ascii="宋体" w:hAnsi="宋体" w:cs="宋体" w:eastAsia="宋体" w:hint="default"/>
          <w:sz w:val="24"/>
          <w:szCs w:val="24"/>
        </w:rPr>
      </w:pPr>
      <w:r>
        <w:rPr>
          <w:rFonts w:ascii="宋体" w:hAnsi="宋体" w:cs="宋体" w:eastAsia="宋体" w:hint="default"/>
          <w:b/>
          <w:bCs/>
          <w:color w:val="323232"/>
          <w:sz w:val="24"/>
          <w:szCs w:val="24"/>
        </w:rPr>
        <w:t>（3）对外担保的内部控制</w:t>
      </w:r>
      <w:r>
        <w:rPr>
          <w:rFonts w:ascii="宋体" w:hAnsi="宋体" w:cs="宋体" w:eastAsia="宋体" w:hint="default"/>
          <w:b/>
          <w:bCs/>
          <w:color w:val="323232"/>
          <w:spacing w:val="1"/>
          <w:w w:val="99"/>
          <w:sz w:val="24"/>
          <w:szCs w:val="24"/>
        </w:rPr>
        <w:t> </w:t>
      </w:r>
      <w:r>
        <w:rPr>
          <w:rFonts w:ascii="宋体" w:hAnsi="宋体" w:cs="宋体" w:eastAsia="宋体" w:hint="default"/>
          <w:color w:val="323232"/>
          <w:spacing w:val="-3"/>
          <w:sz w:val="24"/>
          <w:szCs w:val="24"/>
        </w:rPr>
        <w:t>公司根据公司章程、股东大会及董事会相关议事规则，切实落实对外担保内</w:t>
      </w:r>
      <w:r>
        <w:rPr>
          <w:rFonts w:ascii="宋体" w:hAnsi="宋体" w:cs="宋体" w:eastAsia="宋体" w:hint="default"/>
          <w:spacing w:val="-3"/>
          <w:sz w:val="24"/>
          <w:szCs w:val="24"/>
        </w:rPr>
      </w:r>
    </w:p>
    <w:p>
      <w:pPr>
        <w:pStyle w:val="BodyText"/>
        <w:spacing w:line="282" w:lineRule="exact"/>
        <w:ind w:left="120" w:right="0"/>
        <w:jc w:val="both"/>
        <w:rPr>
          <w:rFonts w:ascii="宋体" w:hAnsi="宋体" w:cs="宋体" w:eastAsia="宋体" w:hint="default"/>
        </w:rPr>
      </w:pPr>
      <w:r>
        <w:rPr>
          <w:rFonts w:ascii="宋体" w:hAnsi="宋体" w:cs="宋体" w:eastAsia="宋体" w:hint="default"/>
          <w:color w:val="323232"/>
        </w:rPr>
        <w:t>部控制审批与决策程序，保护公司及股东的利益。</w:t>
      </w:r>
      <w:r>
        <w:rPr>
          <w:rFonts w:ascii="宋体" w:hAnsi="宋体" w:cs="宋体" w:eastAsia="宋体" w:hint="default"/>
        </w:rPr>
      </w:r>
    </w:p>
    <w:p>
      <w:pPr>
        <w:spacing w:line="312" w:lineRule="exact" w:before="29"/>
        <w:ind w:left="600" w:right="183" w:hanging="480"/>
        <w:jc w:val="left"/>
        <w:rPr>
          <w:rFonts w:ascii="宋体" w:hAnsi="宋体" w:cs="宋体" w:eastAsia="宋体" w:hint="default"/>
          <w:sz w:val="24"/>
          <w:szCs w:val="24"/>
        </w:rPr>
      </w:pPr>
      <w:r>
        <w:rPr>
          <w:rFonts w:ascii="宋体" w:hAnsi="宋体" w:cs="宋体" w:eastAsia="宋体" w:hint="default"/>
          <w:b/>
          <w:bCs/>
          <w:color w:val="323232"/>
          <w:sz w:val="24"/>
          <w:szCs w:val="24"/>
        </w:rPr>
        <w:t>（4）重大投资的内部控制</w:t>
      </w:r>
      <w:r>
        <w:rPr>
          <w:rFonts w:ascii="宋体" w:hAnsi="宋体" w:cs="宋体" w:eastAsia="宋体" w:hint="default"/>
          <w:b/>
          <w:bCs/>
          <w:color w:val="323232"/>
          <w:spacing w:val="1"/>
          <w:w w:val="99"/>
          <w:sz w:val="24"/>
          <w:szCs w:val="24"/>
        </w:rPr>
        <w:t> </w:t>
      </w:r>
      <w:r>
        <w:rPr>
          <w:rFonts w:ascii="宋体" w:hAnsi="宋体" w:cs="宋体" w:eastAsia="宋体" w:hint="default"/>
          <w:color w:val="323232"/>
          <w:spacing w:val="-3"/>
          <w:sz w:val="24"/>
          <w:szCs w:val="24"/>
        </w:rPr>
        <w:t>公司根据公司章程、股东大会及董事会相关议事规则，制定完善了公司投资</w:t>
      </w:r>
      <w:r>
        <w:rPr>
          <w:rFonts w:ascii="宋体" w:hAnsi="宋体" w:cs="宋体" w:eastAsia="宋体" w:hint="default"/>
          <w:spacing w:val="-3"/>
          <w:sz w:val="24"/>
          <w:szCs w:val="24"/>
        </w:rPr>
      </w:r>
    </w:p>
    <w:p>
      <w:pPr>
        <w:pStyle w:val="BodyText"/>
        <w:spacing w:line="312" w:lineRule="exact"/>
        <w:ind w:left="120" w:right="197"/>
        <w:jc w:val="both"/>
        <w:rPr>
          <w:rFonts w:ascii="宋体" w:hAnsi="宋体" w:cs="宋体" w:eastAsia="宋体" w:hint="default"/>
        </w:rPr>
      </w:pPr>
      <w:r>
        <w:rPr>
          <w:rFonts w:ascii="宋体" w:hAnsi="宋体" w:cs="宋体" w:eastAsia="宋体" w:hint="default"/>
          <w:color w:val="323232"/>
          <w:spacing w:val="-3"/>
        </w:rPr>
        <w:t>管理制度，对公司对外投资的投资类别、投资对象以及相应的决策程序、决策权</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spacing w:val="-3"/>
        </w:rPr>
        <w:t>限等方面作了明确规定，公司在所有对外投资过程中，都严格遵循了相关规则和</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rPr>
        <w:t>制度的规定。</w:t>
      </w:r>
      <w:r>
        <w:rPr>
          <w:rFonts w:ascii="宋体" w:hAnsi="宋体" w:cs="宋体" w:eastAsia="宋体" w:hint="default"/>
        </w:rPr>
      </w:r>
    </w:p>
    <w:p>
      <w:pPr>
        <w:pStyle w:val="BodyText"/>
        <w:spacing w:line="312" w:lineRule="exact"/>
        <w:ind w:left="120" w:right="197" w:firstLine="480"/>
        <w:jc w:val="both"/>
        <w:rPr>
          <w:rFonts w:ascii="宋体" w:hAnsi="宋体" w:cs="宋体" w:eastAsia="宋体" w:hint="default"/>
        </w:rPr>
      </w:pPr>
      <w:r>
        <w:rPr>
          <w:rFonts w:ascii="宋体" w:hAnsi="宋体" w:cs="宋体" w:eastAsia="宋体" w:hint="default"/>
          <w:color w:val="323232"/>
        </w:rPr>
        <w:t>2009年，公司成功地在欧洲并购了芬兰Sesca下属的三家子公司、在美国并 购了Taproot的手机业务，在国内并购了几家行业解决方案公司，公司在投资决 </w:t>
      </w:r>
      <w:r>
        <w:rPr>
          <w:rFonts w:ascii="宋体" w:hAnsi="宋体" w:cs="宋体" w:eastAsia="宋体" w:hint="default"/>
          <w:color w:val="323232"/>
          <w:spacing w:val="-3"/>
        </w:rPr>
        <w:t>策之前，聘请有关机构和专家进行财务、法务咨询，科学地分析投资项目的收益</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与风险，促进公司业务发展的同时，也有效地控制了风险。</w:t>
      </w:r>
      <w:r>
        <w:rPr>
          <w:rFonts w:ascii="宋体" w:hAnsi="宋体" w:cs="宋体" w:eastAsia="宋体" w:hint="default"/>
        </w:rPr>
      </w:r>
    </w:p>
    <w:p>
      <w:pPr>
        <w:spacing w:line="312" w:lineRule="exact" w:before="0"/>
        <w:ind w:left="600" w:right="183" w:hanging="480"/>
        <w:jc w:val="left"/>
        <w:rPr>
          <w:rFonts w:ascii="宋体" w:hAnsi="宋体" w:cs="宋体" w:eastAsia="宋体" w:hint="default"/>
          <w:sz w:val="24"/>
          <w:szCs w:val="24"/>
        </w:rPr>
      </w:pPr>
      <w:r>
        <w:rPr>
          <w:rFonts w:ascii="宋体" w:hAnsi="宋体" w:cs="宋体" w:eastAsia="宋体" w:hint="default"/>
          <w:b/>
          <w:bCs/>
          <w:color w:val="323232"/>
          <w:sz w:val="24"/>
          <w:szCs w:val="24"/>
        </w:rPr>
        <w:t>（5）信息披露的内部控制</w:t>
      </w:r>
      <w:r>
        <w:rPr>
          <w:rFonts w:ascii="宋体" w:hAnsi="宋体" w:cs="宋体" w:eastAsia="宋体" w:hint="default"/>
          <w:b/>
          <w:bCs/>
          <w:color w:val="323232"/>
          <w:spacing w:val="1"/>
          <w:w w:val="99"/>
          <w:sz w:val="24"/>
          <w:szCs w:val="24"/>
        </w:rPr>
        <w:t> </w:t>
      </w:r>
      <w:r>
        <w:rPr>
          <w:rFonts w:ascii="宋体" w:hAnsi="宋体" w:cs="宋体" w:eastAsia="宋体" w:hint="default"/>
          <w:color w:val="323232"/>
          <w:spacing w:val="-3"/>
          <w:sz w:val="24"/>
          <w:szCs w:val="24"/>
        </w:rPr>
        <w:t>公司建立健全了信息披露事务管理制度，从信息披露机构和人员、信息披露</w:t>
      </w:r>
      <w:r>
        <w:rPr>
          <w:rFonts w:ascii="宋体" w:hAnsi="宋体" w:cs="宋体" w:eastAsia="宋体" w:hint="default"/>
          <w:spacing w:val="-3"/>
          <w:sz w:val="24"/>
          <w:szCs w:val="24"/>
        </w:rPr>
      </w:r>
    </w:p>
    <w:p>
      <w:pPr>
        <w:pStyle w:val="BodyText"/>
        <w:spacing w:line="312" w:lineRule="exact"/>
        <w:ind w:left="120" w:right="197"/>
        <w:jc w:val="both"/>
        <w:rPr>
          <w:rFonts w:ascii="宋体" w:hAnsi="宋体" w:cs="宋体" w:eastAsia="宋体" w:hint="default"/>
        </w:rPr>
      </w:pPr>
      <w:r>
        <w:rPr>
          <w:rFonts w:ascii="宋体" w:hAnsi="宋体" w:cs="宋体" w:eastAsia="宋体" w:hint="default"/>
          <w:color w:val="323232"/>
          <w:spacing w:val="-3"/>
        </w:rPr>
        <w:t>文件、事务管理、披露程序、信息报告、保密措施、档案管理、责任追究等方面</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spacing w:val="-3"/>
        </w:rPr>
        <w:t>作了详细规定。公司2009年切实执行了信息披露内部控制，没有违反内外部规定</w:t>
      </w:r>
      <w:r>
        <w:rPr>
          <w:rFonts w:ascii="宋体" w:hAnsi="宋体" w:cs="宋体" w:eastAsia="宋体" w:hint="default"/>
          <w:color w:val="323232"/>
          <w:spacing w:val="-103"/>
        </w:rPr>
        <w:t> </w:t>
      </w:r>
      <w:r>
        <w:rPr>
          <w:rFonts w:ascii="宋体" w:hAnsi="宋体" w:cs="宋体" w:eastAsia="宋体" w:hint="default"/>
          <w:color w:val="323232"/>
          <w:spacing w:val="-103"/>
        </w:rPr>
      </w:r>
      <w:r>
        <w:rPr>
          <w:rFonts w:ascii="宋体" w:hAnsi="宋体" w:cs="宋体" w:eastAsia="宋体" w:hint="default"/>
          <w:color w:val="323232"/>
        </w:rPr>
        <w:t>的事件。</w:t>
      </w:r>
      <w:r>
        <w:rPr>
          <w:rFonts w:ascii="宋体" w:hAnsi="宋体" w:cs="宋体" w:eastAsia="宋体" w:hint="default"/>
        </w:rPr>
      </w:r>
    </w:p>
    <w:p>
      <w:pPr>
        <w:spacing w:line="312" w:lineRule="exact" w:before="0"/>
        <w:ind w:left="600" w:right="183" w:hanging="480"/>
        <w:jc w:val="left"/>
        <w:rPr>
          <w:rFonts w:ascii="宋体" w:hAnsi="宋体" w:cs="宋体" w:eastAsia="宋体" w:hint="default"/>
          <w:sz w:val="24"/>
          <w:szCs w:val="24"/>
        </w:rPr>
      </w:pPr>
      <w:r>
        <w:rPr>
          <w:rFonts w:ascii="宋体" w:hAnsi="宋体" w:cs="宋体" w:eastAsia="宋体" w:hint="default"/>
          <w:b/>
          <w:bCs/>
          <w:color w:val="323232"/>
          <w:sz w:val="24"/>
          <w:szCs w:val="24"/>
        </w:rPr>
        <w:t>（四）信息与沟通</w:t>
      </w:r>
      <w:r>
        <w:rPr>
          <w:rFonts w:ascii="宋体" w:hAnsi="宋体" w:cs="宋体" w:eastAsia="宋体" w:hint="default"/>
          <w:b/>
          <w:bCs/>
          <w:color w:val="323232"/>
          <w:spacing w:val="1"/>
          <w:w w:val="99"/>
          <w:sz w:val="24"/>
          <w:szCs w:val="24"/>
        </w:rPr>
        <w:t> </w:t>
      </w:r>
      <w:r>
        <w:rPr>
          <w:rFonts w:ascii="宋体" w:hAnsi="宋体" w:cs="宋体" w:eastAsia="宋体" w:hint="default"/>
          <w:color w:val="323232"/>
          <w:spacing w:val="-3"/>
          <w:sz w:val="24"/>
          <w:szCs w:val="24"/>
        </w:rPr>
        <w:t>公司通过完善信息系统进行业务层的信息及时沟通与控制，同时，利用内部</w:t>
      </w:r>
      <w:r>
        <w:rPr>
          <w:rFonts w:ascii="宋体" w:hAnsi="宋体" w:cs="宋体" w:eastAsia="宋体" w:hint="default"/>
          <w:spacing w:val="-3"/>
          <w:sz w:val="24"/>
          <w:szCs w:val="24"/>
        </w:rPr>
      </w:r>
    </w:p>
    <w:p>
      <w:pPr>
        <w:pStyle w:val="BodyText"/>
        <w:spacing w:line="312" w:lineRule="exact"/>
        <w:ind w:left="120" w:right="102"/>
        <w:jc w:val="both"/>
        <w:rPr>
          <w:rFonts w:ascii="宋体" w:hAnsi="宋体" w:cs="宋体" w:eastAsia="宋体" w:hint="default"/>
        </w:rPr>
      </w:pPr>
      <w:r>
        <w:rPr>
          <w:rFonts w:ascii="宋体" w:hAnsi="宋体" w:cs="宋体" w:eastAsia="宋体" w:hint="default"/>
          <w:color w:val="323232"/>
        </w:rPr>
        <w:t>局域网、内部电子邮件系统、内外部网站等现代化信息平台，使得各管理层级、 各部门以及员工与管理层之间信息传递更迅速和顺畅。</w:t>
      </w:r>
      <w:r>
        <w:rPr>
          <w:rFonts w:ascii="宋体" w:hAnsi="宋体" w:cs="宋体" w:eastAsia="宋体" w:hint="default"/>
        </w:rPr>
      </w:r>
    </w:p>
    <w:p>
      <w:pPr>
        <w:pStyle w:val="BodyText"/>
        <w:spacing w:line="312" w:lineRule="exact"/>
        <w:ind w:left="120" w:right="197" w:firstLine="480"/>
        <w:jc w:val="both"/>
        <w:rPr>
          <w:rFonts w:ascii="宋体" w:hAnsi="宋体" w:cs="宋体" w:eastAsia="宋体" w:hint="default"/>
        </w:rPr>
      </w:pPr>
      <w:r>
        <w:rPr>
          <w:rFonts w:ascii="宋体" w:hAnsi="宋体" w:cs="宋体" w:eastAsia="宋体" w:hint="default"/>
          <w:color w:val="323232"/>
          <w:spacing w:val="-3"/>
        </w:rPr>
        <w:t>公司非常重视全面的沟通与反馈，公司定期开展客户满意度调查、供应商评</w:t>
      </w:r>
      <w:r>
        <w:rPr>
          <w:rFonts w:ascii="宋体" w:hAnsi="宋体" w:cs="宋体" w:eastAsia="宋体" w:hint="default"/>
          <w:color w:val="323232"/>
        </w:rPr>
        <w:t> 估、员工敬业度调查、员工满意度调查、职能部门满意度调查、领导力360度评 </w:t>
      </w:r>
      <w:r>
        <w:rPr>
          <w:rFonts w:ascii="宋体" w:hAnsi="宋体" w:cs="宋体" w:eastAsia="宋体" w:hint="default"/>
          <w:color w:val="323232"/>
          <w:spacing w:val="-3"/>
        </w:rPr>
        <w:t>估等内外部调查与评估工作，充分了解客户、员工意见，吸取有利于公司发展的</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建议。</w:t>
      </w:r>
      <w:r>
        <w:rPr>
          <w:rFonts w:ascii="宋体" w:hAnsi="宋体" w:cs="宋体" w:eastAsia="宋体" w:hint="default"/>
        </w:rPr>
      </w:r>
    </w:p>
    <w:p>
      <w:pPr>
        <w:pStyle w:val="BodyText"/>
        <w:spacing w:line="312" w:lineRule="exact"/>
        <w:ind w:left="120" w:right="197" w:firstLine="480"/>
        <w:jc w:val="both"/>
        <w:rPr>
          <w:rFonts w:ascii="宋体" w:hAnsi="宋体" w:cs="宋体" w:eastAsia="宋体" w:hint="default"/>
        </w:rPr>
      </w:pPr>
      <w:r>
        <w:rPr>
          <w:rFonts w:ascii="宋体" w:hAnsi="宋体" w:cs="宋体" w:eastAsia="宋体" w:hint="default"/>
          <w:color w:val="323232"/>
          <w:spacing w:val="-3"/>
        </w:rPr>
        <w:t>公司也非常重视与政府机构、行业协会、中介机构、业务往来单位以及相关</w:t>
      </w:r>
      <w:r>
        <w:rPr>
          <w:rFonts w:ascii="宋体" w:hAnsi="宋体" w:cs="宋体" w:eastAsia="宋体" w:hint="default"/>
          <w:color w:val="323232"/>
        </w:rPr>
        <w:t> </w:t>
      </w:r>
      <w:r>
        <w:rPr>
          <w:rFonts w:ascii="宋体" w:hAnsi="宋体" w:cs="宋体" w:eastAsia="宋体" w:hint="default"/>
          <w:color w:val="323232"/>
          <w:spacing w:val="-3"/>
        </w:rPr>
        <w:t>监管部门等进行信息的沟通和反馈，以及通过市场调查、网络传媒等渠道，及时</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获取外部信息。</w:t>
      </w:r>
      <w:r>
        <w:rPr>
          <w:rFonts w:ascii="宋体" w:hAnsi="宋体" w:cs="宋体" w:eastAsia="宋体" w:hint="default"/>
        </w:rPr>
      </w:r>
    </w:p>
    <w:p>
      <w:pPr>
        <w:spacing w:line="312" w:lineRule="exact" w:before="0"/>
        <w:ind w:left="600" w:right="183" w:hanging="360"/>
        <w:jc w:val="left"/>
        <w:rPr>
          <w:rFonts w:ascii="宋体" w:hAnsi="宋体" w:cs="宋体" w:eastAsia="宋体" w:hint="default"/>
          <w:sz w:val="24"/>
          <w:szCs w:val="24"/>
        </w:rPr>
      </w:pPr>
      <w:r>
        <w:rPr>
          <w:rFonts w:ascii="宋体" w:hAnsi="宋体" w:cs="宋体" w:eastAsia="宋体" w:hint="default"/>
          <w:b/>
          <w:bCs/>
          <w:color w:val="323232"/>
          <w:sz w:val="24"/>
          <w:szCs w:val="24"/>
        </w:rPr>
        <w:t>(五) 内部监督</w:t>
      </w:r>
      <w:r>
        <w:rPr>
          <w:rFonts w:ascii="宋体" w:hAnsi="宋体" w:cs="宋体" w:eastAsia="宋体" w:hint="default"/>
          <w:b/>
          <w:bCs/>
          <w:color w:val="323232"/>
          <w:w w:val="99"/>
          <w:sz w:val="24"/>
          <w:szCs w:val="24"/>
        </w:rPr>
        <w:t> </w:t>
      </w:r>
      <w:r>
        <w:rPr>
          <w:rFonts w:ascii="宋体" w:hAnsi="宋体" w:cs="宋体" w:eastAsia="宋体" w:hint="default"/>
          <w:color w:val="323232"/>
          <w:spacing w:val="-3"/>
          <w:sz w:val="24"/>
          <w:szCs w:val="24"/>
        </w:rPr>
        <w:t>公司设立了“投资审计部”作为公司专门的内控检查监督部门，内部审计部</w:t>
      </w:r>
      <w:r>
        <w:rPr>
          <w:rFonts w:ascii="宋体" w:hAnsi="宋体" w:cs="宋体" w:eastAsia="宋体" w:hint="default"/>
          <w:spacing w:val="-3"/>
          <w:sz w:val="24"/>
          <w:szCs w:val="24"/>
        </w:rPr>
      </w:r>
    </w:p>
    <w:p>
      <w:pPr>
        <w:pStyle w:val="BodyText"/>
        <w:spacing w:line="312" w:lineRule="exact"/>
        <w:ind w:left="120" w:right="197"/>
        <w:jc w:val="both"/>
        <w:rPr>
          <w:rFonts w:ascii="宋体" w:hAnsi="宋体" w:cs="宋体" w:eastAsia="宋体" w:hint="default"/>
        </w:rPr>
      </w:pPr>
      <w:r>
        <w:rPr>
          <w:rFonts w:ascii="宋体" w:hAnsi="宋体" w:cs="宋体" w:eastAsia="宋体" w:hint="default"/>
          <w:color w:val="323232"/>
          <w:spacing w:val="-3"/>
        </w:rPr>
        <w:t>门对内部控制制度的健全、实施的有效性定期进行检查、评估，并提出修订完善</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spacing w:val="-3"/>
        </w:rPr>
        <w:t>意见。内部审计机构和内审人员独立行使职权，履行对公司内部控制的监督、检</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查职能，并独立处理相关问题。</w:t>
      </w:r>
      <w:r>
        <w:rPr>
          <w:rFonts w:ascii="宋体" w:hAnsi="宋体" w:cs="宋体" w:eastAsia="宋体" w:hint="default"/>
        </w:rPr>
      </w:r>
    </w:p>
    <w:p>
      <w:pPr>
        <w:pStyle w:val="BodyText"/>
        <w:spacing w:line="283" w:lineRule="exact"/>
        <w:ind w:left="600" w:right="84"/>
        <w:jc w:val="left"/>
        <w:rPr>
          <w:rFonts w:ascii="宋体" w:hAnsi="宋体" w:cs="宋体" w:eastAsia="宋体" w:hint="default"/>
        </w:rPr>
      </w:pPr>
      <w:r>
        <w:rPr>
          <w:rFonts w:ascii="宋体" w:hAnsi="宋体" w:cs="宋体" w:eastAsia="宋体" w:hint="default"/>
          <w:color w:val="323232"/>
          <w:spacing w:val="-3"/>
        </w:rPr>
        <w:t>公司设立监察部，配置专职监察人员，受董事会委托负责对公司高级干部的</w:t>
      </w:r>
      <w:r>
        <w:rPr>
          <w:rFonts w:ascii="宋体" w:hAnsi="宋体" w:cs="宋体" w:eastAsia="宋体" w:hint="default"/>
          <w:spacing w:val="-3"/>
        </w:rPr>
      </w:r>
    </w:p>
    <w:p>
      <w:pPr>
        <w:spacing w:after="0" w:line="283" w:lineRule="exact"/>
        <w:jc w:val="left"/>
        <w:rPr>
          <w:rFonts w:ascii="宋体" w:hAnsi="宋体" w:cs="宋体" w:eastAsia="宋体" w:hint="default"/>
        </w:rPr>
        <w:sectPr>
          <w:headerReference w:type="default" r:id="rId197"/>
          <w:footerReference w:type="default" r:id="rId198"/>
          <w:pgSz w:w="11910" w:h="16840"/>
          <w:pgMar w:header="0" w:footer="982" w:top="1400" w:bottom="1180" w:left="1680" w:right="1600"/>
          <w:pgNumType w:start="5"/>
        </w:sectPr>
      </w:pPr>
    </w:p>
    <w:p>
      <w:pPr>
        <w:pStyle w:val="BodyText"/>
        <w:spacing w:line="312" w:lineRule="exact" w:before="31"/>
        <w:ind w:left="120" w:right="84"/>
        <w:jc w:val="left"/>
        <w:rPr>
          <w:rFonts w:ascii="宋体" w:hAnsi="宋体" w:cs="宋体" w:eastAsia="宋体" w:hint="default"/>
        </w:rPr>
      </w:pPr>
      <w:r>
        <w:rPr>
          <w:rFonts w:ascii="宋体" w:hAnsi="宋体" w:cs="宋体" w:eastAsia="宋体" w:hint="default"/>
          <w:color w:val="323232"/>
          <w:spacing w:val="-3"/>
        </w:rPr>
        <w:t>审计与监督，对公司干部管理政策、规章、制度和规则的执行进行监督检查，对</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spacing w:val="-3"/>
        </w:rPr>
        <w:t>公司干部违规违纪行为进行监督检查。为实现对干部的有效监督，监察部建立了</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spacing w:val="-3"/>
        </w:rPr>
        <w:t>高级干部离任审计制度，开通了举报信箱和举报电话，向监察部举报公司任命的</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rPr>
        <w:t>干部和公司任命的控股公司、子公司的相关人员违反公司规章制度行为的员工、 </w:t>
      </w:r>
      <w:r>
        <w:rPr>
          <w:rFonts w:ascii="宋体" w:hAnsi="宋体" w:cs="宋体" w:eastAsia="宋体" w:hint="default"/>
          <w:color w:val="323232"/>
          <w:spacing w:val="-3"/>
        </w:rPr>
        <w:t>客户及其他利益相关者，其人身权利和合法权益受到保护，监察部在公司内部对</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rPr>
        <w:t>干部监督、反贿赂舞弊等方面，发挥了十分重要的作用。</w:t>
      </w:r>
      <w:r>
        <w:rPr>
          <w:rFonts w:ascii="宋体" w:hAnsi="宋体" w:cs="宋体" w:eastAsia="宋体" w:hint="default"/>
        </w:rPr>
      </w:r>
    </w:p>
    <w:p>
      <w:pPr>
        <w:pStyle w:val="BodyText"/>
        <w:spacing w:line="312" w:lineRule="exact"/>
        <w:ind w:left="120" w:right="197" w:firstLine="480"/>
        <w:jc w:val="both"/>
        <w:rPr>
          <w:rFonts w:ascii="宋体" w:hAnsi="宋体" w:cs="宋体" w:eastAsia="宋体" w:hint="default"/>
        </w:rPr>
      </w:pPr>
      <w:r>
        <w:rPr>
          <w:rFonts w:ascii="宋体" w:hAnsi="宋体" w:cs="宋体" w:eastAsia="宋体" w:hint="default"/>
          <w:color w:val="323232"/>
        </w:rPr>
        <w:t>公司通过员工手册、始业教育、价值观宣导、开放“CEO”信箱等方式，鼓 </w:t>
      </w:r>
      <w:r>
        <w:rPr>
          <w:rFonts w:ascii="宋体" w:hAnsi="宋体" w:cs="宋体" w:eastAsia="宋体" w:hint="default"/>
          <w:color w:val="323232"/>
          <w:spacing w:val="-3"/>
        </w:rPr>
        <w:t>励员工直接向上级或高层反馈自已的意见及建议，并对舞弊举报采取有计划的保</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rPr>
        <w:t>护、奖励措施。</w:t>
      </w:r>
      <w:r>
        <w:rPr>
          <w:rFonts w:ascii="宋体" w:hAnsi="宋体" w:cs="宋体" w:eastAsia="宋体" w:hint="default"/>
        </w:rPr>
      </w:r>
    </w:p>
    <w:p>
      <w:pPr>
        <w:spacing w:line="312" w:lineRule="exact" w:before="0"/>
        <w:ind w:left="600" w:right="183" w:hanging="480"/>
        <w:jc w:val="left"/>
        <w:rPr>
          <w:rFonts w:ascii="宋体" w:hAnsi="宋体" w:cs="宋体" w:eastAsia="宋体" w:hint="default"/>
          <w:sz w:val="24"/>
          <w:szCs w:val="24"/>
        </w:rPr>
      </w:pPr>
      <w:r>
        <w:rPr>
          <w:rFonts w:ascii="宋体" w:hAnsi="宋体" w:cs="宋体" w:eastAsia="宋体" w:hint="default"/>
          <w:b/>
          <w:bCs/>
          <w:color w:val="323232"/>
          <w:sz w:val="24"/>
          <w:szCs w:val="24"/>
        </w:rPr>
        <w:t>三、公司内部控制存在的问题及整改计划</w:t>
      </w:r>
      <w:r>
        <w:rPr>
          <w:rFonts w:ascii="宋体" w:hAnsi="宋体" w:cs="宋体" w:eastAsia="宋体" w:hint="default"/>
          <w:b/>
          <w:bCs/>
          <w:color w:val="323232"/>
          <w:spacing w:val="1"/>
          <w:w w:val="99"/>
          <w:sz w:val="24"/>
          <w:szCs w:val="24"/>
        </w:rPr>
        <w:t> </w:t>
      </w:r>
      <w:r>
        <w:rPr>
          <w:rFonts w:ascii="宋体" w:hAnsi="宋体" w:cs="宋体" w:eastAsia="宋体" w:hint="default"/>
          <w:color w:val="323232"/>
          <w:spacing w:val="-3"/>
          <w:sz w:val="24"/>
          <w:szCs w:val="24"/>
        </w:rPr>
        <w:t>公司已建立起行之有效地内部控制体系，在公司经营关键环节上，基本都达</w:t>
      </w:r>
      <w:r>
        <w:rPr>
          <w:rFonts w:ascii="宋体" w:hAnsi="宋体" w:cs="宋体" w:eastAsia="宋体" w:hint="default"/>
          <w:spacing w:val="-3"/>
          <w:sz w:val="24"/>
          <w:szCs w:val="24"/>
        </w:rPr>
      </w:r>
    </w:p>
    <w:p>
      <w:pPr>
        <w:pStyle w:val="BodyText"/>
        <w:spacing w:line="312" w:lineRule="exact"/>
        <w:ind w:left="120" w:right="197"/>
        <w:jc w:val="both"/>
        <w:rPr>
          <w:rFonts w:ascii="宋体" w:hAnsi="宋体" w:cs="宋体" w:eastAsia="宋体" w:hint="default"/>
        </w:rPr>
      </w:pPr>
      <w:r>
        <w:rPr>
          <w:rFonts w:ascii="宋体" w:hAnsi="宋体" w:cs="宋体" w:eastAsia="宋体" w:hint="default"/>
          <w:color w:val="323232"/>
          <w:spacing w:val="-3"/>
        </w:rPr>
        <w:t>到了有制度可依，制度也得到了有效落实。但是，公司内部控制在理论框架的指</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spacing w:val="-3"/>
        </w:rPr>
        <w:t>导性方面需要进一步完善，个别领域的制度更新及时性也有待改进，2010年公司</w:t>
      </w:r>
      <w:r>
        <w:rPr>
          <w:rFonts w:ascii="宋体" w:hAnsi="宋体" w:cs="宋体" w:eastAsia="宋体" w:hint="default"/>
          <w:color w:val="323232"/>
          <w:spacing w:val="-103"/>
        </w:rPr>
        <w:t> </w:t>
      </w:r>
      <w:r>
        <w:rPr>
          <w:rFonts w:ascii="宋体" w:hAnsi="宋体" w:cs="宋体" w:eastAsia="宋体" w:hint="default"/>
          <w:color w:val="323232"/>
          <w:spacing w:val="-103"/>
        </w:rPr>
      </w:r>
      <w:r>
        <w:rPr>
          <w:rFonts w:ascii="宋体" w:hAnsi="宋体" w:cs="宋体" w:eastAsia="宋体" w:hint="default"/>
          <w:color w:val="323232"/>
        </w:rPr>
        <w:t>将在这些领域进行重点改进。2010年内部控制重点工作领域包括：</w:t>
      </w:r>
      <w:r>
        <w:rPr>
          <w:rFonts w:ascii="宋体" w:hAnsi="宋体" w:cs="宋体" w:eastAsia="宋体" w:hint="default"/>
        </w:rPr>
      </w:r>
    </w:p>
    <w:p>
      <w:pPr>
        <w:pStyle w:val="BodyText"/>
        <w:spacing w:line="312" w:lineRule="exact"/>
        <w:ind w:left="480" w:right="183" w:hanging="360"/>
        <w:jc w:val="left"/>
        <w:rPr>
          <w:rFonts w:ascii="宋体" w:hAnsi="宋体" w:cs="宋体" w:eastAsia="宋体" w:hint="default"/>
        </w:rPr>
      </w:pPr>
      <w:r>
        <w:rPr>
          <w:rFonts w:ascii="宋体" w:hAnsi="宋体" w:cs="宋体" w:eastAsia="宋体" w:hint="default"/>
          <w:color w:val="323232"/>
        </w:rPr>
        <w:t>1、继续加强与中介机构的合作，完善内部控制系统建设的项目规划，并加以实 施。</w:t>
      </w:r>
      <w:r>
        <w:rPr>
          <w:rFonts w:ascii="宋体" w:hAnsi="宋体" w:cs="宋体" w:eastAsia="宋体" w:hint="default"/>
        </w:rPr>
      </w:r>
    </w:p>
    <w:p>
      <w:pPr>
        <w:pStyle w:val="BodyText"/>
        <w:spacing w:line="312" w:lineRule="exact"/>
        <w:ind w:left="480" w:right="183" w:hanging="360"/>
        <w:jc w:val="left"/>
        <w:rPr>
          <w:rFonts w:ascii="宋体" w:hAnsi="宋体" w:cs="宋体" w:eastAsia="宋体" w:hint="default"/>
        </w:rPr>
      </w:pPr>
      <w:r>
        <w:rPr>
          <w:rFonts w:ascii="宋体" w:hAnsi="宋体" w:cs="宋体" w:eastAsia="宋体" w:hint="default"/>
          <w:color w:val="323232"/>
        </w:rPr>
        <w:t>2、根据公司战略变化，进一步改进和完善内部控制系统，加强内部控制的风险 评估、控制活动以及内部监督等项工作，实现进一步的提升；</w:t>
      </w:r>
      <w:r>
        <w:rPr>
          <w:rFonts w:ascii="宋体" w:hAnsi="宋体" w:cs="宋体" w:eastAsia="宋体" w:hint="default"/>
        </w:rPr>
      </w:r>
    </w:p>
    <w:p>
      <w:pPr>
        <w:pStyle w:val="BodyText"/>
        <w:spacing w:line="312" w:lineRule="exact"/>
        <w:ind w:left="480" w:right="183" w:hanging="360"/>
        <w:jc w:val="left"/>
        <w:rPr>
          <w:rFonts w:ascii="宋体" w:hAnsi="宋体" w:cs="宋体" w:eastAsia="宋体" w:hint="default"/>
        </w:rPr>
      </w:pPr>
      <w:r>
        <w:rPr>
          <w:rFonts w:ascii="宋体" w:hAnsi="宋体" w:cs="宋体" w:eastAsia="宋体" w:hint="default"/>
          <w:color w:val="323232"/>
        </w:rPr>
        <w:t>3、加强公司内部控制的信息化建设，力争3年内使内部控制在现代化信息系统 的支持下运行，提高效率。</w:t>
      </w:r>
      <w:r>
        <w:rPr>
          <w:rFonts w:ascii="宋体" w:hAnsi="宋体" w:cs="宋体" w:eastAsia="宋体" w:hint="default"/>
        </w:rPr>
      </w:r>
    </w:p>
    <w:p>
      <w:pPr>
        <w:spacing w:line="312" w:lineRule="exact" w:before="0"/>
        <w:ind w:left="619" w:right="183" w:hanging="500"/>
        <w:jc w:val="left"/>
        <w:rPr>
          <w:rFonts w:ascii="宋体" w:hAnsi="宋体" w:cs="宋体" w:eastAsia="宋体" w:hint="default"/>
          <w:sz w:val="24"/>
          <w:szCs w:val="24"/>
        </w:rPr>
      </w:pPr>
      <w:r>
        <w:rPr>
          <w:rFonts w:ascii="宋体" w:hAnsi="宋体" w:cs="宋体" w:eastAsia="宋体" w:hint="default"/>
          <w:b/>
          <w:bCs/>
          <w:color w:val="323232"/>
          <w:sz w:val="24"/>
          <w:szCs w:val="24"/>
        </w:rPr>
        <w:t>四、内部控制情况的总体评价</w:t>
      </w:r>
      <w:r>
        <w:rPr>
          <w:rFonts w:ascii="宋体" w:hAnsi="宋体" w:cs="宋体" w:eastAsia="宋体" w:hint="default"/>
          <w:b/>
          <w:bCs/>
          <w:color w:val="323232"/>
          <w:spacing w:val="1"/>
          <w:w w:val="99"/>
          <w:sz w:val="24"/>
          <w:szCs w:val="24"/>
        </w:rPr>
        <w:t> </w:t>
      </w:r>
      <w:r>
        <w:rPr>
          <w:rFonts w:ascii="宋体" w:hAnsi="宋体" w:cs="宋体" w:eastAsia="宋体" w:hint="default"/>
          <w:color w:val="323232"/>
          <w:spacing w:val="-4"/>
          <w:sz w:val="24"/>
          <w:szCs w:val="24"/>
        </w:rPr>
        <w:t>总体上看，公司已经建立了行之有效的内部控制体系，基本上达到了《企业</w:t>
      </w:r>
      <w:r>
        <w:rPr>
          <w:rFonts w:ascii="宋体" w:hAnsi="宋体" w:cs="宋体" w:eastAsia="宋体" w:hint="default"/>
          <w:spacing w:val="-4"/>
          <w:sz w:val="24"/>
          <w:szCs w:val="24"/>
        </w:rPr>
      </w:r>
    </w:p>
    <w:p>
      <w:pPr>
        <w:pStyle w:val="BodyText"/>
        <w:spacing w:line="312" w:lineRule="exact"/>
        <w:ind w:left="120" w:right="197"/>
        <w:jc w:val="both"/>
        <w:rPr>
          <w:rFonts w:ascii="宋体" w:hAnsi="宋体" w:cs="宋体" w:eastAsia="宋体" w:hint="default"/>
        </w:rPr>
      </w:pPr>
      <w:r>
        <w:rPr>
          <w:rFonts w:ascii="宋体" w:hAnsi="宋体" w:cs="宋体" w:eastAsia="宋体" w:hint="default"/>
          <w:color w:val="323232"/>
          <w:spacing w:val="-3"/>
        </w:rPr>
        <w:t>内部控制基本规范》等相关规定的要求，自本年度1月1日起至本报告期末，未发</w:t>
      </w:r>
      <w:r>
        <w:rPr>
          <w:rFonts w:ascii="宋体" w:hAnsi="宋体" w:cs="宋体" w:eastAsia="宋体" w:hint="default"/>
          <w:color w:val="323232"/>
          <w:spacing w:val="-108"/>
        </w:rPr>
        <w:t> </w:t>
      </w:r>
      <w:r>
        <w:rPr>
          <w:rFonts w:ascii="宋体" w:hAnsi="宋体" w:cs="宋体" w:eastAsia="宋体" w:hint="default"/>
          <w:color w:val="323232"/>
          <w:spacing w:val="-108"/>
        </w:rPr>
      </w:r>
      <w:r>
        <w:rPr>
          <w:rFonts w:ascii="宋体" w:hAnsi="宋体" w:cs="宋体" w:eastAsia="宋体" w:hint="default"/>
          <w:color w:val="323232"/>
          <w:spacing w:val="-3"/>
        </w:rPr>
        <w:t>现本公司存在内部控制设计或执行方面的重大缺陷。本年度公司没有发生过对已</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spacing w:val="-3"/>
        </w:rPr>
        <w:t>披露财务信息进行更正或补充的情况；本年度公司没有发生因内控缺失而造成的</w:t>
      </w:r>
      <w:r>
        <w:rPr>
          <w:rFonts w:ascii="宋体" w:hAnsi="宋体" w:cs="宋体" w:eastAsia="宋体" w:hint="default"/>
          <w:color w:val="323232"/>
          <w:spacing w:val="-109"/>
        </w:rPr>
        <w:t> </w:t>
      </w:r>
      <w:r>
        <w:rPr>
          <w:rFonts w:ascii="宋体" w:hAnsi="宋体" w:cs="宋体" w:eastAsia="宋体" w:hint="default"/>
          <w:color w:val="323232"/>
          <w:spacing w:val="-109"/>
        </w:rPr>
      </w:r>
      <w:r>
        <w:rPr>
          <w:rFonts w:ascii="宋体" w:hAnsi="宋体" w:cs="宋体" w:eastAsia="宋体" w:hint="default"/>
          <w:color w:val="323232"/>
        </w:rPr>
        <w:t>重大资产损失。</w:t>
      </w:r>
      <w:r>
        <w:rPr>
          <w:rFonts w:ascii="宋体" w:hAnsi="宋体" w:cs="宋体" w:eastAsia="宋体" w:hint="default"/>
        </w:rPr>
      </w:r>
    </w:p>
    <w:p>
      <w:pPr>
        <w:pStyle w:val="BodyText"/>
        <w:spacing w:line="312" w:lineRule="exact"/>
        <w:ind w:left="120" w:right="197" w:firstLine="499"/>
        <w:jc w:val="both"/>
        <w:rPr>
          <w:rFonts w:ascii="宋体" w:hAnsi="宋体" w:cs="宋体" w:eastAsia="宋体" w:hint="default"/>
        </w:rPr>
      </w:pPr>
      <w:r>
        <w:rPr>
          <w:rFonts w:ascii="宋体" w:hAnsi="宋体" w:cs="宋体" w:eastAsia="宋体" w:hint="default"/>
          <w:color w:val="323232"/>
          <w:spacing w:val="-4"/>
        </w:rPr>
        <w:t>本公司对所有重大方面的内部控制进行了自我评估，未发现本公司存在内部</w:t>
      </w:r>
      <w:r>
        <w:rPr>
          <w:rFonts w:ascii="宋体" w:hAnsi="宋体" w:cs="宋体" w:eastAsia="宋体" w:hint="default"/>
          <w:color w:val="323232"/>
        </w:rPr>
        <w:t> </w:t>
      </w:r>
      <w:r>
        <w:rPr>
          <w:rFonts w:ascii="宋体" w:hAnsi="宋体" w:cs="宋体" w:eastAsia="宋体" w:hint="default"/>
          <w:color w:val="323232"/>
          <w:spacing w:val="-3"/>
        </w:rPr>
        <w:t>控制设计或执行方面的重大缺陷，报告期内，本公司内部控制制度基本健全、执</w:t>
      </w:r>
      <w:r>
        <w:rPr>
          <w:rFonts w:ascii="宋体" w:hAnsi="宋体" w:cs="宋体" w:eastAsia="宋体" w:hint="default"/>
          <w:color w:val="323232"/>
          <w:spacing w:val="-111"/>
        </w:rPr>
        <w:t> </w:t>
      </w:r>
      <w:r>
        <w:rPr>
          <w:rFonts w:ascii="宋体" w:hAnsi="宋体" w:cs="宋体" w:eastAsia="宋体" w:hint="default"/>
          <w:color w:val="323232"/>
          <w:spacing w:val="-111"/>
        </w:rPr>
      </w:r>
      <w:r>
        <w:rPr>
          <w:rFonts w:ascii="宋体" w:hAnsi="宋体" w:cs="宋体" w:eastAsia="宋体" w:hint="default"/>
          <w:color w:val="323232"/>
        </w:rPr>
        <w:t>行有效。</w:t>
      </w:r>
      <w:r>
        <w:rPr>
          <w:rFonts w:ascii="宋体" w:hAnsi="宋体" w:cs="宋体" w:eastAsia="宋体" w:hint="default"/>
        </w:rPr>
      </w:r>
    </w:p>
    <w:p>
      <w:pPr>
        <w:pStyle w:val="BodyText"/>
        <w:spacing w:line="312" w:lineRule="exact"/>
        <w:ind w:left="120" w:right="195" w:firstLine="499"/>
        <w:jc w:val="both"/>
        <w:rPr>
          <w:rFonts w:ascii="宋体" w:hAnsi="宋体" w:cs="宋体" w:eastAsia="宋体" w:hint="default"/>
        </w:rPr>
      </w:pPr>
      <w:r>
        <w:rPr>
          <w:rFonts w:ascii="宋体" w:hAnsi="宋体" w:cs="宋体" w:eastAsia="宋体" w:hint="default"/>
          <w:color w:val="323232"/>
        </w:rPr>
        <w:t>本报告已于2010年3月24日经公司五届十七次董事会审议通过，本公司董事 会及其全体成员对其内容的真实性、准确性和完整性承担个别及连带责任。</w:t>
      </w:r>
      <w:r>
        <w:rPr>
          <w:rFonts w:ascii="宋体" w:hAnsi="宋体" w:cs="宋体" w:eastAsia="宋体" w:hint="default"/>
        </w:rPr>
      </w:r>
    </w:p>
    <w:p>
      <w:pPr>
        <w:pStyle w:val="BodyText"/>
        <w:spacing w:line="283" w:lineRule="exact"/>
        <w:ind w:left="619" w:right="183"/>
        <w:jc w:val="left"/>
        <w:rPr>
          <w:rFonts w:ascii="宋体" w:hAnsi="宋体" w:cs="宋体" w:eastAsia="宋体" w:hint="default"/>
        </w:rPr>
      </w:pPr>
      <w:r>
        <w:rPr>
          <w:rFonts w:ascii="宋体" w:hAnsi="宋体" w:cs="宋体" w:eastAsia="宋体" w:hint="default"/>
          <w:color w:val="323232"/>
        </w:rPr>
        <w:t>本公司未聘请会计师事务所对公司本年度的内部控制情况进行核实评价。</w:t>
      </w:r>
      <w:r>
        <w:rPr>
          <w:rFonts w:ascii="宋体" w:hAnsi="宋体" w:cs="宋体" w:eastAsia="宋体" w:hint="default"/>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5"/>
          <w:szCs w:val="25"/>
        </w:rPr>
      </w:pPr>
    </w:p>
    <w:p>
      <w:pPr>
        <w:pStyle w:val="BodyText"/>
        <w:spacing w:line="312" w:lineRule="exact"/>
        <w:ind w:left="5786" w:right="197" w:hanging="480"/>
        <w:jc w:val="right"/>
        <w:rPr>
          <w:rFonts w:ascii="宋体" w:hAnsi="宋体" w:cs="宋体" w:eastAsia="宋体" w:hint="default"/>
        </w:rPr>
      </w:pPr>
      <w:r>
        <w:rPr>
          <w:rFonts w:ascii="宋体" w:hAnsi="宋体" w:cs="宋体" w:eastAsia="宋体" w:hint="default"/>
        </w:rPr>
        <w:t>东软集团股份有限公司董事会 二〇一〇年三月二十四日</w:t>
      </w:r>
    </w:p>
    <w:p>
      <w:pPr>
        <w:spacing w:after="0" w:line="312" w:lineRule="exact"/>
        <w:jc w:val="right"/>
        <w:rPr>
          <w:rFonts w:ascii="宋体" w:hAnsi="宋体" w:cs="宋体" w:eastAsia="宋体" w:hint="default"/>
        </w:rPr>
        <w:sectPr>
          <w:headerReference w:type="default" r:id="rId199"/>
          <w:footerReference w:type="default" r:id="rId200"/>
          <w:pgSz w:w="11910" w:h="16840"/>
          <w:pgMar w:header="0" w:footer="982" w:top="1400" w:bottom="1180" w:left="1680" w:right="1600"/>
          <w:pgNumType w:start="6"/>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331" w:lineRule="auto" w:before="117"/>
        <w:ind w:left="1504" w:right="1621"/>
        <w:jc w:val="center"/>
        <w:rPr>
          <w:rFonts w:ascii="黑体" w:hAnsi="黑体" w:cs="黑体" w:eastAsia="黑体" w:hint="default"/>
          <w:b w:val="0"/>
          <w:bCs w:val="0"/>
        </w:rPr>
      </w:pPr>
      <w:bookmarkStart w:name="600718-东软集团-1-4-2009年度社会责任报告.pdf" w:id="16"/>
      <w:bookmarkEnd w:id="16"/>
      <w:r>
        <w:rPr>
          <w:b w:val="0"/>
          <w:bCs w:val="0"/>
        </w:rPr>
      </w:r>
      <w:r>
        <w:rPr>
          <w:rFonts w:ascii="黑体" w:hAnsi="黑体" w:cs="黑体" w:eastAsia="黑体" w:hint="default"/>
        </w:rPr>
        <w:t>东软集团股份有限公司</w:t>
      </w:r>
      <w:r>
        <w:rPr>
          <w:rFonts w:ascii="黑体" w:hAnsi="黑体" w:cs="黑体" w:eastAsia="黑体" w:hint="default"/>
          <w:spacing w:val="2"/>
          <w:w w:val="99"/>
        </w:rPr>
        <w:t> </w:t>
      </w:r>
      <w:r>
        <w:rPr>
          <w:rFonts w:ascii="黑体" w:hAnsi="黑体" w:cs="黑体" w:eastAsia="黑体" w:hint="default"/>
        </w:rPr>
        <w:t>2009</w:t>
      </w:r>
      <w:r>
        <w:rPr>
          <w:rFonts w:ascii="黑体" w:hAnsi="黑体" w:cs="黑体" w:eastAsia="黑体" w:hint="default"/>
          <w:spacing w:val="-136"/>
        </w:rPr>
        <w:t> </w:t>
      </w:r>
      <w:r>
        <w:rPr>
          <w:rFonts w:ascii="黑体" w:hAnsi="黑体" w:cs="黑体" w:eastAsia="黑体" w:hint="default"/>
        </w:rPr>
        <w:t>年度社会责任报告</w:t>
      </w:r>
      <w:r>
        <w:rPr>
          <w:rFonts w:ascii="黑体" w:hAnsi="黑体" w:cs="黑体" w:eastAsia="黑体" w:hint="default"/>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5"/>
        <w:rPr>
          <w:rFonts w:ascii="黑体" w:hAnsi="黑体" w:cs="黑体" w:eastAsia="黑体" w:hint="default"/>
          <w:b/>
          <w:bCs/>
          <w:sz w:val="11"/>
          <w:szCs w:val="11"/>
        </w:rPr>
      </w:pPr>
    </w:p>
    <w:p>
      <w:pPr>
        <w:spacing w:line="799" w:lineRule="exact"/>
        <w:ind w:left="1845" w:right="0" w:firstLine="0"/>
        <w:rPr>
          <w:rFonts w:ascii="黑体" w:hAnsi="黑体" w:cs="黑体" w:eastAsia="黑体" w:hint="default"/>
          <w:sz w:val="20"/>
          <w:szCs w:val="20"/>
        </w:rPr>
      </w:pPr>
      <w:r>
        <w:rPr>
          <w:rFonts w:ascii="黑体" w:hAnsi="黑体" w:cs="黑体" w:eastAsia="黑体" w:hint="default"/>
          <w:position w:val="-15"/>
          <w:sz w:val="20"/>
          <w:szCs w:val="20"/>
        </w:rPr>
        <w:drawing>
          <wp:inline distT="0" distB="0" distL="0" distR="0">
            <wp:extent cx="3120617" cy="507491"/>
            <wp:effectExtent l="0" t="0" r="0" b="0"/>
            <wp:docPr id="5" name="image1.jpeg" descr=""/>
            <wp:cNvGraphicFramePr>
              <a:graphicFrameLocks noChangeAspect="1"/>
            </wp:cNvGraphicFramePr>
            <a:graphic>
              <a:graphicData uri="http://schemas.openxmlformats.org/drawingml/2006/picture">
                <pic:pic>
                  <pic:nvPicPr>
                    <pic:cNvPr id="6" name="image1.jpeg"/>
                    <pic:cNvPicPr/>
                  </pic:nvPicPr>
                  <pic:blipFill>
                    <a:blip r:embed="rId5" cstate="print"/>
                    <a:stretch>
                      <a:fillRect/>
                    </a:stretch>
                  </pic:blipFill>
                  <pic:spPr>
                    <a:xfrm>
                      <a:off x="0" y="0"/>
                      <a:ext cx="3120617" cy="507491"/>
                    </a:xfrm>
                    <a:prstGeom prst="rect">
                      <a:avLst/>
                    </a:prstGeom>
                  </pic:spPr>
                </pic:pic>
              </a:graphicData>
            </a:graphic>
          </wp:inline>
        </w:drawing>
      </w:r>
      <w:r>
        <w:rPr>
          <w:rFonts w:ascii="黑体" w:hAnsi="黑体" w:cs="黑体" w:eastAsia="黑体" w:hint="default"/>
          <w:position w:val="-15"/>
          <w:sz w:val="20"/>
          <w:szCs w:val="20"/>
        </w:rPr>
      </w: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pStyle w:val="BodyText"/>
        <w:spacing w:line="312" w:lineRule="exact" w:before="427"/>
        <w:ind w:left="120" w:right="117" w:hanging="122"/>
        <w:jc w:val="center"/>
        <w:rPr>
          <w:rFonts w:ascii="宋体" w:hAnsi="宋体" w:cs="宋体" w:eastAsia="宋体" w:hint="default"/>
        </w:rPr>
      </w:pPr>
      <w:r>
        <w:rPr>
          <w:rFonts w:ascii="宋体" w:hAnsi="宋体" w:cs="宋体" w:eastAsia="宋体" w:hint="default"/>
          <w:b/>
          <w:bCs/>
          <w:spacing w:val="-3"/>
        </w:rPr>
        <w:t>重要提示</w:t>
      </w:r>
      <w:r>
        <w:rPr>
          <w:rFonts w:ascii="宋体" w:hAnsi="宋体" w:cs="宋体" w:eastAsia="宋体" w:hint="default"/>
          <w:spacing w:val="-3"/>
        </w:rPr>
        <w:t>：本公司董事会及全体董事保证本报告内容不存在任何虚假记载、误导</w:t>
      </w:r>
      <w:r>
        <w:rPr>
          <w:rFonts w:ascii="宋体" w:hAnsi="宋体" w:cs="宋体" w:eastAsia="宋体" w:hint="default"/>
        </w:rPr>
        <w:t> </w:t>
      </w:r>
      <w:r>
        <w:rPr>
          <w:rFonts w:ascii="宋体" w:hAnsi="宋体" w:cs="宋体" w:eastAsia="宋体" w:hint="default"/>
          <w:spacing w:val="-6"/>
        </w:rPr>
        <w:t>性陈述或重大遗漏，并对其内容的真实性、准确性和完整性承担个别及连带责任。</w:t>
      </w:r>
    </w:p>
    <w:p>
      <w:pPr>
        <w:spacing w:after="0" w:line="312" w:lineRule="exact"/>
        <w:jc w:val="center"/>
        <w:rPr>
          <w:rFonts w:ascii="宋体" w:hAnsi="宋体" w:cs="宋体" w:eastAsia="宋体" w:hint="default"/>
        </w:rPr>
        <w:sectPr>
          <w:headerReference w:type="default" r:id="rId201"/>
          <w:footerReference w:type="default" r:id="rId202"/>
          <w:pgSz w:w="11910" w:h="16840"/>
          <w:pgMar w:header="0" w:footer="0" w:top="1600" w:bottom="280" w:left="1680" w:right="1560"/>
        </w:sectPr>
      </w:pPr>
    </w:p>
    <w:p>
      <w:pPr>
        <w:spacing w:line="240" w:lineRule="auto" w:before="13"/>
        <w:rPr>
          <w:rFonts w:ascii="宋体" w:hAnsi="宋体" w:cs="宋体" w:eastAsia="宋体" w:hint="default"/>
          <w:sz w:val="26"/>
          <w:szCs w:val="26"/>
        </w:rPr>
      </w:pPr>
    </w:p>
    <w:p>
      <w:pPr>
        <w:pStyle w:val="Heading5"/>
        <w:spacing w:line="240" w:lineRule="auto"/>
        <w:ind w:right="144"/>
        <w:jc w:val="left"/>
        <w:rPr>
          <w:rFonts w:ascii="宋体" w:hAnsi="宋体" w:cs="宋体" w:eastAsia="宋体" w:hint="default"/>
          <w:b w:val="0"/>
          <w:bCs w:val="0"/>
        </w:rPr>
      </w:pPr>
      <w:bookmarkStart w:name="_bookmark12" w:id="17"/>
      <w:bookmarkEnd w:id="17"/>
      <w:r>
        <w:rPr>
          <w:b w:val="0"/>
          <w:bCs w:val="0"/>
        </w:rPr>
      </w:r>
      <w:r>
        <w:rPr>
          <w:rFonts w:ascii="宋体" w:hAnsi="宋体" w:cs="宋体" w:eastAsia="宋体" w:hint="default"/>
        </w:rPr>
        <w:t>董事长致辞</w:t>
      </w:r>
      <w:r>
        <w:rPr>
          <w:rFonts w:ascii="宋体" w:hAnsi="宋体" w:cs="宋体" w:eastAsia="宋体" w:hint="default"/>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4"/>
        <w:rPr>
          <w:rFonts w:ascii="宋体" w:hAnsi="宋体" w:cs="宋体" w:eastAsia="宋体" w:hint="default"/>
          <w:b/>
          <w:bCs/>
          <w:sz w:val="22"/>
          <w:szCs w:val="22"/>
        </w:rPr>
      </w:pPr>
    </w:p>
    <w:p>
      <w:pPr>
        <w:pStyle w:val="BodyText"/>
        <w:spacing w:line="312" w:lineRule="exact"/>
        <w:ind w:right="231" w:firstLine="480"/>
        <w:jc w:val="both"/>
        <w:rPr>
          <w:rFonts w:ascii="宋体" w:hAnsi="宋体" w:cs="宋体" w:eastAsia="宋体" w:hint="default"/>
        </w:rPr>
      </w:pPr>
      <w:r>
        <w:rPr>
          <w:rFonts w:ascii="宋体" w:hAnsi="宋体" w:cs="宋体" w:eastAsia="宋体" w:hint="default"/>
        </w:rPr>
        <w:t>19</w:t>
      </w:r>
      <w:r>
        <w:rPr>
          <w:rFonts w:ascii="宋体" w:hAnsi="宋体" w:cs="宋体" w:eastAsia="宋体" w:hint="default"/>
          <w:spacing w:val="1"/>
        </w:rPr>
        <w:t> </w:t>
      </w:r>
      <w:r>
        <w:rPr>
          <w:rFonts w:ascii="宋体" w:hAnsi="宋体" w:cs="宋体" w:eastAsia="宋体" w:hint="default"/>
        </w:rPr>
        <w:t>年来，东软秉承“以人为本，追求个人与社会共同发展”的基本理念，</w:t>
      </w:r>
      <w:r>
        <w:rPr>
          <w:rFonts w:ascii="宋体" w:hAnsi="宋体" w:cs="宋体" w:eastAsia="宋体" w:hint="default"/>
        </w:rPr>
        <w:t> </w:t>
      </w:r>
      <w:r>
        <w:rPr>
          <w:rFonts w:ascii="宋体" w:hAnsi="宋体" w:cs="宋体" w:eastAsia="宋体" w:hint="default"/>
          <w:spacing w:val="-3"/>
        </w:rPr>
        <w:t>以“简单、负责、合作、尊重、诚信”作为企业的价值观，不断构造企业可持续</w:t>
      </w:r>
      <w:r>
        <w:rPr>
          <w:rFonts w:ascii="宋体" w:hAnsi="宋体" w:cs="宋体" w:eastAsia="宋体" w:hint="default"/>
          <w:spacing w:val="-113"/>
        </w:rPr>
        <w:t> </w:t>
      </w:r>
      <w:r>
        <w:rPr>
          <w:rFonts w:ascii="宋体" w:hAnsi="宋体" w:cs="宋体" w:eastAsia="宋体" w:hint="default"/>
          <w:spacing w:val="-113"/>
        </w:rPr>
      </w:r>
      <w:r>
        <w:rPr>
          <w:rFonts w:ascii="宋体" w:hAnsi="宋体" w:cs="宋体" w:eastAsia="宋体" w:hint="default"/>
          <w:spacing w:val="3"/>
        </w:rPr>
        <w:t>发展能力。时至今日，东软作为中国最大的 </w:t>
      </w:r>
      <w:r>
        <w:rPr>
          <w:rFonts w:ascii="宋体" w:hAnsi="宋体" w:cs="宋体" w:eastAsia="宋体" w:hint="default"/>
        </w:rPr>
        <w:t>IT</w:t>
      </w:r>
      <w:r>
        <w:rPr>
          <w:rFonts w:ascii="宋体" w:hAnsi="宋体" w:cs="宋体" w:eastAsia="宋体" w:hint="default"/>
          <w:spacing w:val="16"/>
        </w:rPr>
        <w:t> </w:t>
      </w:r>
      <w:r>
        <w:rPr>
          <w:rFonts w:ascii="宋体" w:hAnsi="宋体" w:cs="宋体" w:eastAsia="宋体" w:hint="default"/>
          <w:spacing w:val="4"/>
        </w:rPr>
        <w:t>解决方案与服务供应商，拥有</w:t>
      </w:r>
      <w:r>
        <w:rPr>
          <w:rFonts w:ascii="宋体" w:hAnsi="宋体" w:cs="宋体" w:eastAsia="宋体" w:hint="default"/>
          <w:spacing w:val="4"/>
        </w:rPr>
        <w:t> </w:t>
      </w:r>
      <w:r>
        <w:rPr>
          <w:rFonts w:ascii="宋体" w:hAnsi="宋体" w:cs="宋体" w:eastAsia="宋体" w:hint="default"/>
        </w:rPr>
        <w:t>15,760</w:t>
      </w:r>
      <w:r>
        <w:rPr>
          <w:rFonts w:ascii="宋体" w:hAnsi="宋体" w:cs="宋体" w:eastAsia="宋体" w:hint="default"/>
          <w:spacing w:val="-48"/>
        </w:rPr>
        <w:t> </w:t>
      </w:r>
      <w:r>
        <w:rPr>
          <w:rFonts w:ascii="宋体" w:hAnsi="宋体" w:cs="宋体" w:eastAsia="宋体" w:hint="default"/>
        </w:rPr>
        <w:t>名员工，为</w:t>
      </w:r>
      <w:r>
        <w:rPr>
          <w:rFonts w:ascii="宋体" w:hAnsi="宋体" w:cs="宋体" w:eastAsia="宋体" w:hint="default"/>
          <w:spacing w:val="-48"/>
        </w:rPr>
        <w:t> </w:t>
      </w:r>
      <w:r>
        <w:rPr>
          <w:rFonts w:ascii="宋体" w:hAnsi="宋体" w:cs="宋体" w:eastAsia="宋体" w:hint="default"/>
        </w:rPr>
        <w:t>20</w:t>
      </w:r>
      <w:r>
        <w:rPr>
          <w:rFonts w:ascii="宋体" w:hAnsi="宋体" w:cs="宋体" w:eastAsia="宋体" w:hint="default"/>
          <w:spacing w:val="-48"/>
        </w:rPr>
        <w:t> </w:t>
      </w:r>
      <w:r>
        <w:rPr>
          <w:rFonts w:ascii="宋体" w:hAnsi="宋体" w:cs="宋体" w:eastAsia="宋体" w:hint="default"/>
        </w:rPr>
        <w:t>多个行业的</w:t>
      </w:r>
      <w:r>
        <w:rPr>
          <w:rFonts w:ascii="宋体" w:hAnsi="宋体" w:cs="宋体" w:eastAsia="宋体" w:hint="default"/>
          <w:spacing w:val="-48"/>
        </w:rPr>
        <w:t> </w:t>
      </w:r>
      <w:r>
        <w:rPr>
          <w:rFonts w:ascii="宋体" w:hAnsi="宋体" w:cs="宋体" w:eastAsia="宋体" w:hint="default"/>
        </w:rPr>
        <w:t>1</w:t>
      </w:r>
      <w:r>
        <w:rPr>
          <w:rFonts w:ascii="宋体" w:hAnsi="宋体" w:cs="宋体" w:eastAsia="宋体" w:hint="default"/>
          <w:spacing w:val="-48"/>
        </w:rPr>
        <w:t> </w:t>
      </w:r>
      <w:r>
        <w:rPr>
          <w:rFonts w:ascii="宋体" w:hAnsi="宋体" w:cs="宋体" w:eastAsia="宋体" w:hint="default"/>
        </w:rPr>
        <w:t>万多家企业和数以亿计的人们提供</w:t>
      </w:r>
      <w:r>
        <w:rPr>
          <w:rFonts w:ascii="宋体" w:hAnsi="宋体" w:cs="宋体" w:eastAsia="宋体" w:hint="default"/>
          <w:spacing w:val="-48"/>
        </w:rPr>
        <w:t> </w:t>
      </w:r>
      <w:r>
        <w:rPr>
          <w:rFonts w:ascii="宋体" w:hAnsi="宋体" w:cs="宋体" w:eastAsia="宋体" w:hint="default"/>
        </w:rPr>
        <w:t>IT</w:t>
      </w:r>
      <w:r>
        <w:rPr>
          <w:rFonts w:ascii="宋体" w:hAnsi="宋体" w:cs="宋体" w:eastAsia="宋体" w:hint="default"/>
          <w:spacing w:val="-48"/>
        </w:rPr>
        <w:t> </w:t>
      </w:r>
      <w:r>
        <w:rPr>
          <w:rFonts w:ascii="宋体" w:hAnsi="宋体" w:cs="宋体" w:eastAsia="宋体" w:hint="default"/>
        </w:rPr>
        <w:t>产品</w:t>
      </w:r>
      <w:r>
        <w:rPr>
          <w:rFonts w:ascii="宋体" w:hAnsi="宋体" w:cs="宋体" w:eastAsia="宋体" w:hint="default"/>
        </w:rPr>
        <w:t> </w:t>
      </w:r>
      <w:r>
        <w:rPr>
          <w:rFonts w:ascii="宋体" w:hAnsi="宋体" w:cs="宋体" w:eastAsia="宋体" w:hint="default"/>
          <w:spacing w:val="-3"/>
        </w:rPr>
        <w:t>与服务，我们时刻感受肩负的责任重大。我们希望，运用我们的知识和智慧，来</w:t>
      </w:r>
      <w:r>
        <w:rPr>
          <w:rFonts w:ascii="宋体" w:hAnsi="宋体" w:cs="宋体" w:eastAsia="宋体" w:hint="default"/>
          <w:spacing w:val="-110"/>
        </w:rPr>
        <w:t> </w:t>
      </w:r>
      <w:r>
        <w:rPr>
          <w:rFonts w:ascii="宋体" w:hAnsi="宋体" w:cs="宋体" w:eastAsia="宋体" w:hint="default"/>
          <w:spacing w:val="-110"/>
        </w:rPr>
      </w:r>
      <w:r>
        <w:rPr>
          <w:rFonts w:ascii="宋体" w:hAnsi="宋体" w:cs="宋体" w:eastAsia="宋体" w:hint="default"/>
        </w:rPr>
        <w:t>推动 IT</w:t>
      </w:r>
      <w:r>
        <w:rPr>
          <w:rFonts w:ascii="宋体" w:hAnsi="宋体" w:cs="宋体" w:eastAsia="宋体" w:hint="default"/>
          <w:spacing w:val="-94"/>
        </w:rPr>
        <w:t> </w:t>
      </w:r>
      <w:r>
        <w:rPr>
          <w:rFonts w:ascii="宋体" w:hAnsi="宋体" w:cs="宋体" w:eastAsia="宋体" w:hint="default"/>
        </w:rPr>
        <w:t>技术的创新与应用，进而为整个社会的信息化建设和人类社会的进步与</w:t>
      </w:r>
      <w:r>
        <w:rPr>
          <w:rFonts w:ascii="宋体" w:hAnsi="宋体" w:cs="宋体" w:eastAsia="宋体" w:hint="default"/>
        </w:rPr>
        <w:t> 和谐发展做出贡献。</w:t>
      </w:r>
    </w:p>
    <w:p>
      <w:pPr>
        <w:pStyle w:val="BodyText"/>
        <w:spacing w:line="312" w:lineRule="exact" w:before="156"/>
        <w:ind w:right="144" w:firstLine="480"/>
        <w:jc w:val="left"/>
        <w:rPr>
          <w:rFonts w:ascii="宋体" w:hAnsi="宋体" w:cs="宋体" w:eastAsia="宋体" w:hint="default"/>
        </w:rPr>
      </w:pPr>
      <w:r>
        <w:rPr>
          <w:rFonts w:ascii="宋体" w:hAnsi="宋体" w:cs="宋体" w:eastAsia="宋体" w:hint="default"/>
        </w:rPr>
        <w:t>2009</w:t>
      </w:r>
      <w:r>
        <w:rPr>
          <w:rFonts w:ascii="宋体" w:hAnsi="宋体" w:cs="宋体" w:eastAsia="宋体" w:hint="default"/>
          <w:spacing w:val="-91"/>
        </w:rPr>
        <w:t> </w:t>
      </w:r>
      <w:r>
        <w:rPr>
          <w:rFonts w:ascii="宋体" w:hAnsi="宋体" w:cs="宋体" w:eastAsia="宋体" w:hint="default"/>
        </w:rPr>
        <w:t>年，国际金融危机向实体经济蔓延，我们的经营环境充满着不确定性，</w:t>
      </w:r>
      <w:r>
        <w:rPr>
          <w:rFonts w:ascii="宋体" w:hAnsi="宋体" w:cs="宋体" w:eastAsia="宋体" w:hint="default"/>
        </w:rPr>
        <w:t> 如何保持企业的平稳、持续、健康发展，对于我们来说至关重要。2009 年初， 我们在国内</w:t>
      </w:r>
      <w:r>
        <w:rPr>
          <w:rFonts w:ascii="宋体" w:hAnsi="宋体" w:cs="宋体" w:eastAsia="宋体" w:hint="default"/>
          <w:spacing w:val="-57"/>
        </w:rPr>
        <w:t> </w:t>
      </w:r>
      <w:r>
        <w:rPr>
          <w:rFonts w:ascii="宋体" w:hAnsi="宋体" w:cs="宋体" w:eastAsia="宋体" w:hint="default"/>
        </w:rPr>
        <w:t>IT</w:t>
      </w:r>
      <w:r>
        <w:rPr>
          <w:rFonts w:ascii="宋体" w:hAnsi="宋体" w:cs="宋体" w:eastAsia="宋体" w:hint="default"/>
          <w:spacing w:val="-57"/>
        </w:rPr>
        <w:t> </w:t>
      </w:r>
      <w:r>
        <w:rPr>
          <w:rFonts w:ascii="宋体" w:hAnsi="宋体" w:cs="宋体" w:eastAsia="宋体" w:hint="default"/>
          <w:spacing w:val="-8"/>
        </w:rPr>
        <w:t>企业中率先承诺“不裁员，不降薪”，期望与员工一起通过技术和</w:t>
      </w:r>
      <w:r>
        <w:rPr>
          <w:rFonts w:ascii="宋体" w:hAnsi="宋体" w:cs="宋体" w:eastAsia="宋体" w:hint="default"/>
          <w:spacing w:val="-112"/>
        </w:rPr>
        <w:t> </w:t>
      </w:r>
      <w:r>
        <w:rPr>
          <w:rFonts w:ascii="宋体" w:hAnsi="宋体" w:cs="宋体" w:eastAsia="宋体" w:hint="default"/>
          <w:spacing w:val="-112"/>
        </w:rPr>
      </w:r>
      <w:r>
        <w:rPr>
          <w:rFonts w:ascii="宋体" w:hAnsi="宋体" w:cs="宋体" w:eastAsia="宋体" w:hint="default"/>
          <w:spacing w:val="4"/>
        </w:rPr>
        <w:t>商业模式的创新来提升公司的核心竞争能力，使得公司在危机中获得持续性成</w:t>
      </w:r>
      <w:r>
        <w:rPr>
          <w:rFonts w:ascii="宋体" w:hAnsi="宋体" w:cs="宋体" w:eastAsia="宋体" w:hint="default"/>
          <w:spacing w:val="4"/>
        </w:rPr>
        <w:t> </w:t>
      </w:r>
      <w:r>
        <w:rPr>
          <w:rFonts w:ascii="宋体" w:hAnsi="宋体" w:cs="宋体" w:eastAsia="宋体" w:hint="default"/>
        </w:rPr>
        <w:t>长。</w:t>
      </w:r>
    </w:p>
    <w:p>
      <w:pPr>
        <w:pStyle w:val="BodyText"/>
        <w:spacing w:line="312" w:lineRule="exact" w:before="156"/>
        <w:ind w:right="232" w:firstLine="480"/>
        <w:jc w:val="both"/>
        <w:rPr>
          <w:rFonts w:ascii="宋体" w:hAnsi="宋体" w:cs="宋体" w:eastAsia="宋体" w:hint="default"/>
        </w:rPr>
      </w:pPr>
      <w:r>
        <w:rPr>
          <w:rFonts w:ascii="宋体" w:hAnsi="宋体" w:cs="宋体" w:eastAsia="宋体" w:hint="default"/>
        </w:rPr>
        <w:t>2009</w:t>
      </w:r>
      <w:r>
        <w:rPr>
          <w:rFonts w:ascii="宋体" w:hAnsi="宋体" w:cs="宋体" w:eastAsia="宋体" w:hint="default"/>
          <w:spacing w:val="16"/>
        </w:rPr>
        <w:t> </w:t>
      </w:r>
      <w:r>
        <w:rPr>
          <w:rFonts w:ascii="宋体" w:hAnsi="宋体" w:cs="宋体" w:eastAsia="宋体" w:hint="default"/>
        </w:rPr>
        <w:t>年，东软面向国际和国内两个市场，制定了更为积极的经营策略，并</w:t>
      </w:r>
      <w:r>
        <w:rPr>
          <w:rFonts w:ascii="宋体" w:hAnsi="宋体" w:cs="宋体" w:eastAsia="宋体" w:hint="default"/>
          <w:spacing w:val="1"/>
        </w:rPr>
        <w:t> </w:t>
      </w:r>
      <w:r>
        <w:rPr>
          <w:rFonts w:ascii="宋体" w:hAnsi="宋体" w:cs="宋体" w:eastAsia="宋体" w:hint="default"/>
          <w:spacing w:val="-3"/>
        </w:rPr>
        <w:t>通过不断优化组织体系，推动技术和商业模式创新，加大并购策略的实施，加快</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全球化战略布局，实现了公司的逆势成长。东软的稳健发展，也兑现了公司对社</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会、对客户、对股东和对员工的承诺。</w:t>
      </w:r>
    </w:p>
    <w:p>
      <w:pPr>
        <w:pStyle w:val="BodyText"/>
        <w:spacing w:line="312" w:lineRule="exact" w:before="156"/>
        <w:ind w:right="100" w:firstLine="480"/>
        <w:jc w:val="left"/>
        <w:rPr>
          <w:rFonts w:ascii="宋体" w:hAnsi="宋体" w:cs="宋体" w:eastAsia="宋体" w:hint="default"/>
        </w:rPr>
      </w:pPr>
      <w:r>
        <w:rPr>
          <w:rFonts w:ascii="宋体" w:hAnsi="宋体" w:cs="宋体" w:eastAsia="宋体" w:hint="default"/>
        </w:rPr>
        <w:t>我们庆幸选择了这样一个绿色的、无污染、低能耗的软件与信息服务产业， 通过我们的知识与智慧，实现人类社会和生活方式的改变。随着 IT</w:t>
      </w:r>
      <w:r>
        <w:rPr>
          <w:rFonts w:ascii="宋体" w:hAnsi="宋体" w:cs="宋体" w:eastAsia="宋体" w:hint="default"/>
          <w:spacing w:val="-94"/>
        </w:rPr>
        <w:t> </w:t>
      </w:r>
      <w:r>
        <w:rPr>
          <w:rFonts w:ascii="宋体" w:hAnsi="宋体" w:cs="宋体" w:eastAsia="宋体" w:hint="default"/>
        </w:rPr>
        <w:t>技术的普遍</w:t>
      </w:r>
      <w:r>
        <w:rPr>
          <w:rFonts w:ascii="宋体" w:hAnsi="宋体" w:cs="宋体" w:eastAsia="宋体" w:hint="default"/>
        </w:rPr>
        <w:t> 应用，软件与 IT</w:t>
      </w:r>
      <w:r>
        <w:rPr>
          <w:rFonts w:ascii="宋体" w:hAnsi="宋体" w:cs="宋体" w:eastAsia="宋体" w:hint="default"/>
          <w:spacing w:val="-94"/>
        </w:rPr>
        <w:t> </w:t>
      </w:r>
      <w:r>
        <w:rPr>
          <w:rFonts w:ascii="宋体" w:hAnsi="宋体" w:cs="宋体" w:eastAsia="宋体" w:hint="default"/>
        </w:rPr>
        <w:t>服务将无所不在，数字化产品中的软件越来越多，产品的生命</w:t>
      </w:r>
      <w:r>
        <w:rPr>
          <w:rFonts w:ascii="宋体" w:hAnsi="宋体" w:cs="宋体" w:eastAsia="宋体" w:hint="default"/>
        </w:rPr>
        <w:t> </w:t>
      </w:r>
      <w:r>
        <w:rPr>
          <w:rFonts w:ascii="宋体" w:hAnsi="宋体" w:cs="宋体" w:eastAsia="宋体" w:hint="default"/>
          <w:spacing w:val="-6"/>
        </w:rPr>
        <w:t>周期不断缩短，软件与服务将成为消费品，这些都为东软提供了巨大的发展空间。</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rPr>
        <w:t>我们期望通过持续的创新和发展，使东软成为一家全球优秀的 IT</w:t>
      </w:r>
      <w:r>
        <w:rPr>
          <w:rFonts w:ascii="宋体" w:hAnsi="宋体" w:cs="宋体" w:eastAsia="宋体" w:hint="default"/>
          <w:spacing w:val="-94"/>
        </w:rPr>
        <w:t> </w:t>
      </w:r>
      <w:r>
        <w:rPr>
          <w:rFonts w:ascii="宋体" w:hAnsi="宋体" w:cs="宋体" w:eastAsia="宋体" w:hint="default"/>
        </w:rPr>
        <w:t>解决方案与服</w:t>
      </w:r>
      <w:r>
        <w:rPr>
          <w:rFonts w:ascii="宋体" w:hAnsi="宋体" w:cs="宋体" w:eastAsia="宋体" w:hint="default"/>
        </w:rPr>
        <w:t> 务的供应商，成为最受社会、客户、投资者和员工尊敬的公司。</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20"/>
          <w:szCs w:val="20"/>
        </w:rPr>
      </w:pPr>
    </w:p>
    <w:p>
      <w:pPr>
        <w:pStyle w:val="BodyText"/>
        <w:spacing w:line="276" w:lineRule="auto"/>
        <w:ind w:left="5806" w:right="237" w:firstLine="960"/>
        <w:jc w:val="right"/>
        <w:rPr>
          <w:rFonts w:ascii="宋体" w:hAnsi="宋体" w:cs="宋体" w:eastAsia="宋体" w:hint="default"/>
        </w:rPr>
      </w:pPr>
      <w:r>
        <w:rPr>
          <w:rFonts w:ascii="宋体" w:hAnsi="宋体" w:cs="宋体" w:eastAsia="宋体" w:hint="default"/>
        </w:rPr>
        <w:t>董事长：刘积仁 二〇一〇年三月二十四日</w:t>
      </w:r>
    </w:p>
    <w:p>
      <w:pPr>
        <w:spacing w:after="0" w:line="276" w:lineRule="auto"/>
        <w:jc w:val="right"/>
        <w:rPr>
          <w:rFonts w:ascii="宋体" w:hAnsi="宋体" w:cs="宋体" w:eastAsia="宋体" w:hint="default"/>
        </w:rPr>
        <w:sectPr>
          <w:headerReference w:type="default" r:id="rId203"/>
          <w:footerReference w:type="default" r:id="rId204"/>
          <w:pgSz w:w="11910" w:h="16840"/>
          <w:pgMar w:header="851" w:footer="982" w:top="1220" w:bottom="1180" w:left="1660" w:right="1560"/>
          <w:pgNumType w:start="2"/>
        </w:sectPr>
      </w:pPr>
    </w:p>
    <w:p>
      <w:pPr>
        <w:spacing w:line="240" w:lineRule="auto" w:before="0"/>
        <w:rPr>
          <w:rFonts w:ascii="宋体" w:hAnsi="宋体" w:cs="宋体" w:eastAsia="宋体" w:hint="default"/>
          <w:sz w:val="20"/>
          <w:szCs w:val="20"/>
        </w:rPr>
      </w:pPr>
    </w:p>
    <w:p>
      <w:pPr>
        <w:tabs>
          <w:tab w:pos="720" w:val="left" w:leader="none"/>
        </w:tabs>
        <w:spacing w:before="132"/>
        <w:ind w:left="0" w:right="1" w:firstLine="0"/>
        <w:jc w:val="center"/>
        <w:rPr>
          <w:rFonts w:ascii="宋体" w:hAnsi="宋体" w:cs="宋体" w:eastAsia="宋体" w:hint="default"/>
          <w:sz w:val="36"/>
          <w:szCs w:val="36"/>
        </w:rPr>
      </w:pPr>
      <w:r>
        <w:rPr>
          <w:rFonts w:ascii="宋体" w:hAnsi="宋体" w:cs="宋体" w:eastAsia="宋体" w:hint="default"/>
          <w:b/>
          <w:bCs/>
          <w:w w:val="95"/>
          <w:sz w:val="36"/>
          <w:szCs w:val="36"/>
        </w:rPr>
        <w:t>目</w:t>
        <w:tab/>
      </w:r>
      <w:r>
        <w:rPr>
          <w:rFonts w:ascii="宋体" w:hAnsi="宋体" w:cs="宋体" w:eastAsia="宋体" w:hint="default"/>
          <w:b/>
          <w:bCs/>
          <w:sz w:val="36"/>
          <w:szCs w:val="36"/>
        </w:rPr>
        <w:t>录</w:t>
      </w:r>
      <w:r>
        <w:rPr>
          <w:rFonts w:ascii="宋体" w:hAnsi="宋体" w:cs="宋体" w:eastAsia="宋体" w:hint="default"/>
          <w:sz w:val="36"/>
          <w:szCs w:val="36"/>
        </w:rPr>
      </w:r>
    </w:p>
    <w:p>
      <w:pPr>
        <w:tabs>
          <w:tab w:pos="8434" w:val="right" w:leader="dot"/>
        </w:tabs>
        <w:spacing w:before="897"/>
        <w:ind w:left="14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董事长致辞</w:t>
      </w:r>
      <w:r>
        <w:rPr>
          <w:rFonts w:ascii="Times New Roman" w:hAnsi="Times New Roman" w:cs="Times New Roman" w:eastAsia="Times New Roman" w:hint="default"/>
          <w:sz w:val="21"/>
          <w:szCs w:val="21"/>
        </w:rPr>
        <w:tab/>
      </w:r>
      <w:hyperlink w:history="true" w:anchor="_bookmark12">
        <w:r>
          <w:rPr>
            <w:rFonts w:ascii="Times New Roman" w:hAnsi="Times New Roman" w:cs="Times New Roman" w:eastAsia="Times New Roman" w:hint="default"/>
            <w:sz w:val="21"/>
            <w:szCs w:val="21"/>
          </w:rPr>
          <w:t>2</w:t>
        </w:r>
      </w:hyperlink>
    </w:p>
    <w:p>
      <w:pPr>
        <w:tabs>
          <w:tab w:pos="8434" w:val="right" w:leader="dot"/>
        </w:tabs>
        <w:spacing w:before="21"/>
        <w:ind w:left="139"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一、关于东软</w:t>
      </w:r>
      <w:r>
        <w:rPr>
          <w:rFonts w:ascii="Times New Roman" w:hAnsi="Times New Roman" w:cs="Times New Roman" w:eastAsia="Times New Roman" w:hint="default"/>
          <w:sz w:val="21"/>
          <w:szCs w:val="21"/>
        </w:rPr>
        <w:tab/>
      </w:r>
      <w:hyperlink w:history="true" w:anchor="_bookmark13">
        <w:r>
          <w:rPr>
            <w:rFonts w:ascii="Times New Roman" w:hAnsi="Times New Roman" w:cs="Times New Roman" w:eastAsia="Times New Roman" w:hint="default"/>
            <w:sz w:val="21"/>
            <w:szCs w:val="21"/>
          </w:rPr>
          <w:t>4</w:t>
        </w:r>
      </w:hyperlink>
    </w:p>
    <w:p>
      <w:pPr>
        <w:tabs>
          <w:tab w:pos="8434" w:val="right" w:leader="dot"/>
        </w:tabs>
        <w:spacing w:before="21"/>
        <w:ind w:left="559"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1、公司概况</w:t>
      </w:r>
      <w:r>
        <w:rPr>
          <w:rFonts w:ascii="Times New Roman" w:hAnsi="Times New Roman" w:cs="Times New Roman" w:eastAsia="Times New Roman" w:hint="default"/>
          <w:sz w:val="21"/>
          <w:szCs w:val="21"/>
        </w:rPr>
        <w:tab/>
      </w:r>
      <w:hyperlink w:history="true" w:anchor="_bookmark13">
        <w:r>
          <w:rPr>
            <w:rFonts w:ascii="Times New Roman" w:hAnsi="Times New Roman" w:cs="Times New Roman" w:eastAsia="Times New Roman" w:hint="default"/>
            <w:sz w:val="21"/>
            <w:szCs w:val="21"/>
          </w:rPr>
          <w:t>4</w:t>
        </w:r>
      </w:hyperlink>
    </w:p>
    <w:p>
      <w:pPr>
        <w:tabs>
          <w:tab w:pos="8434" w:val="right" w:leader="dot"/>
        </w:tabs>
        <w:spacing w:before="21"/>
        <w:ind w:left="559"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2、社会责任观</w:t>
      </w:r>
      <w:r>
        <w:rPr>
          <w:rFonts w:ascii="Times New Roman" w:hAnsi="Times New Roman" w:cs="Times New Roman" w:eastAsia="Times New Roman" w:hint="default"/>
          <w:sz w:val="21"/>
          <w:szCs w:val="21"/>
        </w:rPr>
        <w:tab/>
      </w:r>
      <w:hyperlink w:history="true" w:anchor="_bookmark13">
        <w:r>
          <w:rPr>
            <w:rFonts w:ascii="Times New Roman" w:hAnsi="Times New Roman" w:cs="Times New Roman" w:eastAsia="Times New Roman" w:hint="default"/>
            <w:sz w:val="21"/>
            <w:szCs w:val="21"/>
          </w:rPr>
          <w:t>4</w:t>
        </w:r>
      </w:hyperlink>
    </w:p>
    <w:p>
      <w:pPr>
        <w:tabs>
          <w:tab w:pos="8434" w:val="right" w:leader="dot"/>
        </w:tabs>
        <w:spacing w:before="21"/>
        <w:ind w:left="559"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3、社会责任体系</w:t>
      </w:r>
      <w:r>
        <w:rPr>
          <w:rFonts w:ascii="Times New Roman" w:hAnsi="Times New Roman" w:cs="Times New Roman" w:eastAsia="Times New Roman" w:hint="default"/>
          <w:sz w:val="21"/>
          <w:szCs w:val="21"/>
        </w:rPr>
        <w:tab/>
      </w:r>
      <w:hyperlink w:history="true" w:anchor="_bookmark13">
        <w:r>
          <w:rPr>
            <w:rFonts w:ascii="Times New Roman" w:hAnsi="Times New Roman" w:cs="Times New Roman" w:eastAsia="Times New Roman" w:hint="default"/>
            <w:sz w:val="21"/>
            <w:szCs w:val="21"/>
          </w:rPr>
          <w:t>4</w:t>
        </w:r>
      </w:hyperlink>
    </w:p>
    <w:p>
      <w:pPr>
        <w:tabs>
          <w:tab w:pos="8434" w:val="right" w:leader="dot"/>
        </w:tabs>
        <w:spacing w:before="21"/>
        <w:ind w:left="559"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4、重要奖项</w:t>
      </w:r>
      <w:r>
        <w:rPr>
          <w:rFonts w:ascii="Times New Roman" w:hAnsi="Times New Roman" w:cs="Times New Roman" w:eastAsia="Times New Roman" w:hint="default"/>
          <w:sz w:val="21"/>
          <w:szCs w:val="21"/>
        </w:rPr>
        <w:tab/>
      </w:r>
      <w:hyperlink w:history="true" w:anchor="_bookmark14">
        <w:r>
          <w:rPr>
            <w:rFonts w:ascii="Times New Roman" w:hAnsi="Times New Roman" w:cs="Times New Roman" w:eastAsia="Times New Roman" w:hint="default"/>
            <w:sz w:val="21"/>
            <w:szCs w:val="21"/>
          </w:rPr>
          <w:t>5</w:t>
        </w:r>
      </w:hyperlink>
    </w:p>
    <w:p>
      <w:pPr>
        <w:tabs>
          <w:tab w:pos="8434" w:val="right" w:leader="dot"/>
        </w:tabs>
        <w:spacing w:before="21"/>
        <w:ind w:left="139"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二、东软之于社会</w:t>
      </w:r>
      <w:r>
        <w:rPr>
          <w:rFonts w:ascii="Times New Roman" w:hAnsi="Times New Roman" w:cs="Times New Roman" w:eastAsia="Times New Roman" w:hint="default"/>
          <w:sz w:val="21"/>
          <w:szCs w:val="21"/>
        </w:rPr>
        <w:tab/>
      </w:r>
      <w:hyperlink w:history="true" w:anchor="_bookmark15">
        <w:r>
          <w:rPr>
            <w:rFonts w:ascii="Times New Roman" w:hAnsi="Times New Roman" w:cs="Times New Roman" w:eastAsia="Times New Roman" w:hint="default"/>
            <w:sz w:val="21"/>
            <w:szCs w:val="21"/>
          </w:rPr>
          <w:t>6</w:t>
        </w:r>
      </w:hyperlink>
    </w:p>
    <w:p>
      <w:pPr>
        <w:tabs>
          <w:tab w:pos="8434" w:val="right" w:leader="dot"/>
        </w:tabs>
        <w:spacing w:before="21"/>
        <w:ind w:left="559"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1、规范运作和法制建设</w:t>
      </w:r>
      <w:r>
        <w:rPr>
          <w:rFonts w:ascii="Times New Roman" w:hAnsi="Times New Roman" w:cs="Times New Roman" w:eastAsia="Times New Roman" w:hint="default"/>
          <w:sz w:val="21"/>
          <w:szCs w:val="21"/>
        </w:rPr>
        <w:tab/>
      </w:r>
      <w:hyperlink w:history="true" w:anchor="_bookmark15">
        <w:r>
          <w:rPr>
            <w:rFonts w:ascii="Times New Roman" w:hAnsi="Times New Roman" w:cs="Times New Roman" w:eastAsia="Times New Roman" w:hint="default"/>
            <w:sz w:val="21"/>
            <w:szCs w:val="21"/>
          </w:rPr>
          <w:t>6</w:t>
        </w:r>
      </w:hyperlink>
    </w:p>
    <w:p>
      <w:pPr>
        <w:tabs>
          <w:tab w:pos="8434" w:val="right" w:leader="dot"/>
        </w:tabs>
        <w:spacing w:before="21"/>
        <w:ind w:left="559"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2、创造经济和社会价值</w:t>
      </w:r>
      <w:r>
        <w:rPr>
          <w:rFonts w:ascii="Times New Roman" w:hAnsi="Times New Roman" w:cs="Times New Roman" w:eastAsia="Times New Roman" w:hint="default"/>
          <w:sz w:val="21"/>
          <w:szCs w:val="21"/>
        </w:rPr>
        <w:tab/>
      </w:r>
      <w:hyperlink w:history="true" w:anchor="_bookmark15">
        <w:r>
          <w:rPr>
            <w:rFonts w:ascii="Times New Roman" w:hAnsi="Times New Roman" w:cs="Times New Roman" w:eastAsia="Times New Roman" w:hint="default"/>
            <w:sz w:val="21"/>
            <w:szCs w:val="21"/>
          </w:rPr>
          <w:t>6</w:t>
        </w:r>
      </w:hyperlink>
    </w:p>
    <w:p>
      <w:pPr>
        <w:tabs>
          <w:tab w:pos="8434" w:val="right" w:leader="dot"/>
        </w:tabs>
        <w:spacing w:before="21"/>
        <w:ind w:left="559"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3、打造节约和环保模式</w:t>
      </w:r>
      <w:r>
        <w:rPr>
          <w:rFonts w:ascii="Times New Roman" w:hAnsi="Times New Roman" w:cs="Times New Roman" w:eastAsia="Times New Roman" w:hint="default"/>
          <w:sz w:val="21"/>
          <w:szCs w:val="21"/>
        </w:rPr>
        <w:tab/>
      </w:r>
      <w:hyperlink w:history="true" w:anchor="_bookmark16">
        <w:r>
          <w:rPr>
            <w:rFonts w:ascii="Times New Roman" w:hAnsi="Times New Roman" w:cs="Times New Roman" w:eastAsia="Times New Roman" w:hint="default"/>
            <w:sz w:val="21"/>
            <w:szCs w:val="21"/>
          </w:rPr>
          <w:t>7</w:t>
        </w:r>
      </w:hyperlink>
    </w:p>
    <w:p>
      <w:pPr>
        <w:tabs>
          <w:tab w:pos="8434" w:val="right" w:leader="dot"/>
        </w:tabs>
        <w:spacing w:before="21"/>
        <w:ind w:left="559"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4、推动教育和社会就业</w:t>
      </w:r>
      <w:r>
        <w:rPr>
          <w:rFonts w:ascii="Times New Roman" w:hAnsi="Times New Roman" w:cs="Times New Roman" w:eastAsia="Times New Roman" w:hint="default"/>
          <w:sz w:val="21"/>
          <w:szCs w:val="21"/>
        </w:rPr>
        <w:tab/>
      </w:r>
      <w:hyperlink w:history="true" w:anchor="_bookmark16">
        <w:r>
          <w:rPr>
            <w:rFonts w:ascii="Times New Roman" w:hAnsi="Times New Roman" w:cs="Times New Roman" w:eastAsia="Times New Roman" w:hint="default"/>
            <w:sz w:val="21"/>
            <w:szCs w:val="21"/>
          </w:rPr>
          <w:t>7</w:t>
        </w:r>
      </w:hyperlink>
    </w:p>
    <w:p>
      <w:pPr>
        <w:tabs>
          <w:tab w:pos="8434" w:val="right" w:leader="dot"/>
        </w:tabs>
        <w:spacing w:before="21"/>
        <w:ind w:left="559"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5、投身援助和社会公益</w:t>
      </w:r>
      <w:r>
        <w:rPr>
          <w:rFonts w:ascii="Times New Roman" w:hAnsi="Times New Roman" w:cs="Times New Roman" w:eastAsia="Times New Roman" w:hint="default"/>
          <w:sz w:val="21"/>
          <w:szCs w:val="21"/>
        </w:rPr>
        <w:tab/>
      </w:r>
      <w:hyperlink w:history="true" w:anchor="_bookmark17">
        <w:r>
          <w:rPr>
            <w:rFonts w:ascii="Times New Roman" w:hAnsi="Times New Roman" w:cs="Times New Roman" w:eastAsia="Times New Roman" w:hint="default"/>
            <w:sz w:val="21"/>
            <w:szCs w:val="21"/>
          </w:rPr>
          <w:t>8</w:t>
        </w:r>
      </w:hyperlink>
    </w:p>
    <w:p>
      <w:pPr>
        <w:tabs>
          <w:tab w:pos="8435" w:val="right" w:leader="dot"/>
        </w:tabs>
        <w:spacing w:before="21"/>
        <w:ind w:left="139"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三、东软之于客户</w:t>
      </w:r>
      <w:r>
        <w:rPr>
          <w:rFonts w:ascii="Times New Roman" w:hAnsi="Times New Roman" w:cs="Times New Roman" w:eastAsia="Times New Roman" w:hint="default"/>
          <w:sz w:val="21"/>
          <w:szCs w:val="21"/>
        </w:rPr>
        <w:tab/>
      </w:r>
      <w:hyperlink w:history="true" w:anchor="_bookmark18">
        <w:r>
          <w:rPr>
            <w:rFonts w:ascii="Times New Roman" w:hAnsi="Times New Roman" w:cs="Times New Roman" w:eastAsia="Times New Roman" w:hint="default"/>
            <w:sz w:val="21"/>
            <w:szCs w:val="21"/>
          </w:rPr>
          <w:t>10</w:t>
        </w:r>
      </w:hyperlink>
    </w:p>
    <w:p>
      <w:pPr>
        <w:tabs>
          <w:tab w:pos="8435" w:val="right" w:leader="dot"/>
        </w:tabs>
        <w:spacing w:before="21"/>
        <w:ind w:left="56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1、注重客户交流</w:t>
      </w:r>
      <w:r>
        <w:rPr>
          <w:rFonts w:ascii="Times New Roman" w:hAnsi="Times New Roman" w:cs="Times New Roman" w:eastAsia="Times New Roman" w:hint="default"/>
          <w:sz w:val="21"/>
          <w:szCs w:val="21"/>
        </w:rPr>
        <w:tab/>
      </w:r>
      <w:hyperlink w:history="true" w:anchor="_bookmark18">
        <w:r>
          <w:rPr>
            <w:rFonts w:ascii="Times New Roman" w:hAnsi="Times New Roman" w:cs="Times New Roman" w:eastAsia="Times New Roman" w:hint="default"/>
            <w:sz w:val="21"/>
            <w:szCs w:val="21"/>
          </w:rPr>
          <w:t>10</w:t>
        </w:r>
      </w:hyperlink>
    </w:p>
    <w:p>
      <w:pPr>
        <w:tabs>
          <w:tab w:pos="8435" w:val="right" w:leader="dot"/>
        </w:tabs>
        <w:spacing w:before="21"/>
        <w:ind w:left="56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2、确保信息安全</w:t>
      </w:r>
      <w:r>
        <w:rPr>
          <w:rFonts w:ascii="Times New Roman" w:hAnsi="Times New Roman" w:cs="Times New Roman" w:eastAsia="Times New Roman" w:hint="default"/>
          <w:sz w:val="21"/>
          <w:szCs w:val="21"/>
        </w:rPr>
        <w:tab/>
      </w:r>
      <w:hyperlink w:history="true" w:anchor="_bookmark18">
        <w:r>
          <w:rPr>
            <w:rFonts w:ascii="Times New Roman" w:hAnsi="Times New Roman" w:cs="Times New Roman" w:eastAsia="Times New Roman" w:hint="default"/>
            <w:sz w:val="21"/>
            <w:szCs w:val="21"/>
          </w:rPr>
          <w:t>10</w:t>
        </w:r>
      </w:hyperlink>
    </w:p>
    <w:p>
      <w:pPr>
        <w:tabs>
          <w:tab w:pos="8427" w:val="right" w:leader="dot"/>
        </w:tabs>
        <w:spacing w:before="21"/>
        <w:ind w:left="56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3、保证产品质量和服务</w:t>
      </w:r>
      <w:r>
        <w:rPr>
          <w:rFonts w:ascii="Times New Roman" w:hAnsi="Times New Roman" w:cs="Times New Roman" w:eastAsia="Times New Roman" w:hint="default"/>
          <w:sz w:val="21"/>
          <w:szCs w:val="21"/>
        </w:rPr>
        <w:tab/>
      </w:r>
      <w:hyperlink w:history="true" w:anchor="_bookmark19">
        <w:r>
          <w:rPr>
            <w:rFonts w:ascii="Times New Roman" w:hAnsi="Times New Roman" w:cs="Times New Roman" w:eastAsia="Times New Roman" w:hint="default"/>
            <w:spacing w:val="-8"/>
            <w:sz w:val="21"/>
            <w:szCs w:val="21"/>
          </w:rPr>
          <w:t>11</w:t>
        </w:r>
        <w:r>
          <w:rPr>
            <w:rFonts w:ascii="Times New Roman" w:hAnsi="Times New Roman" w:cs="Times New Roman" w:eastAsia="Times New Roman" w:hint="default"/>
            <w:sz w:val="21"/>
            <w:szCs w:val="21"/>
          </w:rPr>
        </w:r>
      </w:hyperlink>
    </w:p>
    <w:p>
      <w:pPr>
        <w:tabs>
          <w:tab w:pos="8435" w:val="right" w:leader="dot"/>
        </w:tabs>
        <w:spacing w:before="21"/>
        <w:ind w:left="56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4、推动技术创新</w:t>
      </w:r>
      <w:r>
        <w:rPr>
          <w:rFonts w:ascii="Times New Roman" w:hAnsi="Times New Roman" w:cs="Times New Roman" w:eastAsia="Times New Roman" w:hint="default"/>
          <w:sz w:val="21"/>
          <w:szCs w:val="21"/>
        </w:rPr>
        <w:tab/>
      </w:r>
      <w:hyperlink w:history="true" w:anchor="_bookmark20">
        <w:r>
          <w:rPr>
            <w:rFonts w:ascii="Times New Roman" w:hAnsi="Times New Roman" w:cs="Times New Roman" w:eastAsia="Times New Roman" w:hint="default"/>
            <w:sz w:val="21"/>
            <w:szCs w:val="21"/>
          </w:rPr>
          <w:t>12</w:t>
        </w:r>
      </w:hyperlink>
    </w:p>
    <w:p>
      <w:pPr>
        <w:tabs>
          <w:tab w:pos="8435" w:val="right" w:leader="dot"/>
        </w:tabs>
        <w:spacing w:before="21"/>
        <w:ind w:left="56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5、保护知识产权</w:t>
      </w:r>
      <w:r>
        <w:rPr>
          <w:rFonts w:ascii="Times New Roman" w:hAnsi="Times New Roman" w:cs="Times New Roman" w:eastAsia="Times New Roman" w:hint="default"/>
          <w:sz w:val="21"/>
          <w:szCs w:val="21"/>
        </w:rPr>
        <w:tab/>
      </w:r>
      <w:hyperlink w:history="true" w:anchor="_bookmark20">
        <w:r>
          <w:rPr>
            <w:rFonts w:ascii="Times New Roman" w:hAnsi="Times New Roman" w:cs="Times New Roman" w:eastAsia="Times New Roman" w:hint="default"/>
            <w:sz w:val="21"/>
            <w:szCs w:val="21"/>
          </w:rPr>
          <w:t>12</w:t>
        </w:r>
      </w:hyperlink>
    </w:p>
    <w:p>
      <w:pPr>
        <w:tabs>
          <w:tab w:pos="8435" w:val="right" w:leader="dot"/>
        </w:tabs>
        <w:spacing w:before="21"/>
        <w:ind w:left="14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四、东软之于股东</w:t>
      </w:r>
      <w:r>
        <w:rPr>
          <w:rFonts w:ascii="Times New Roman" w:hAnsi="Times New Roman" w:cs="Times New Roman" w:eastAsia="Times New Roman" w:hint="default"/>
          <w:sz w:val="21"/>
          <w:szCs w:val="21"/>
        </w:rPr>
        <w:tab/>
      </w:r>
      <w:hyperlink w:history="true" w:anchor="_bookmark21">
        <w:r>
          <w:rPr>
            <w:rFonts w:ascii="Times New Roman" w:hAnsi="Times New Roman" w:cs="Times New Roman" w:eastAsia="Times New Roman" w:hint="default"/>
            <w:sz w:val="21"/>
            <w:szCs w:val="21"/>
          </w:rPr>
          <w:t>14</w:t>
        </w:r>
      </w:hyperlink>
    </w:p>
    <w:p>
      <w:pPr>
        <w:tabs>
          <w:tab w:pos="8435" w:val="right" w:leader="dot"/>
        </w:tabs>
        <w:spacing w:before="21"/>
        <w:ind w:left="56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1、规范的公司治理</w:t>
      </w:r>
      <w:r>
        <w:rPr>
          <w:rFonts w:ascii="Times New Roman" w:hAnsi="Times New Roman" w:cs="Times New Roman" w:eastAsia="Times New Roman" w:hint="default"/>
          <w:sz w:val="21"/>
          <w:szCs w:val="21"/>
        </w:rPr>
        <w:tab/>
      </w:r>
      <w:hyperlink w:history="true" w:anchor="_bookmark21">
        <w:r>
          <w:rPr>
            <w:rFonts w:ascii="Times New Roman" w:hAnsi="Times New Roman" w:cs="Times New Roman" w:eastAsia="Times New Roman" w:hint="default"/>
            <w:sz w:val="21"/>
            <w:szCs w:val="21"/>
          </w:rPr>
          <w:t>14</w:t>
        </w:r>
      </w:hyperlink>
    </w:p>
    <w:p>
      <w:pPr>
        <w:tabs>
          <w:tab w:pos="8435" w:val="right" w:leader="dot"/>
        </w:tabs>
        <w:spacing w:before="21"/>
        <w:ind w:left="56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2、透明的信息披露</w:t>
      </w:r>
      <w:r>
        <w:rPr>
          <w:rFonts w:ascii="Times New Roman" w:hAnsi="Times New Roman" w:cs="Times New Roman" w:eastAsia="Times New Roman" w:hint="default"/>
          <w:sz w:val="21"/>
          <w:szCs w:val="21"/>
        </w:rPr>
        <w:tab/>
      </w:r>
      <w:hyperlink w:history="true" w:anchor="_bookmark21">
        <w:r>
          <w:rPr>
            <w:rFonts w:ascii="Times New Roman" w:hAnsi="Times New Roman" w:cs="Times New Roman" w:eastAsia="Times New Roman" w:hint="default"/>
            <w:sz w:val="21"/>
            <w:szCs w:val="21"/>
          </w:rPr>
          <w:t>14</w:t>
        </w:r>
      </w:hyperlink>
    </w:p>
    <w:p>
      <w:pPr>
        <w:tabs>
          <w:tab w:pos="8435" w:val="right" w:leader="dot"/>
        </w:tabs>
        <w:spacing w:before="21"/>
        <w:ind w:left="56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3、良好的投资者关系</w:t>
      </w:r>
      <w:r>
        <w:rPr>
          <w:rFonts w:ascii="Times New Roman" w:hAnsi="Times New Roman" w:cs="Times New Roman" w:eastAsia="Times New Roman" w:hint="default"/>
          <w:sz w:val="21"/>
          <w:szCs w:val="21"/>
        </w:rPr>
        <w:tab/>
      </w:r>
      <w:hyperlink w:history="true" w:anchor="_bookmark21">
        <w:r>
          <w:rPr>
            <w:rFonts w:ascii="Times New Roman" w:hAnsi="Times New Roman" w:cs="Times New Roman" w:eastAsia="Times New Roman" w:hint="default"/>
            <w:sz w:val="21"/>
            <w:szCs w:val="21"/>
          </w:rPr>
          <w:t>14</w:t>
        </w:r>
      </w:hyperlink>
    </w:p>
    <w:p>
      <w:pPr>
        <w:tabs>
          <w:tab w:pos="8435" w:val="right" w:leader="dot"/>
        </w:tabs>
        <w:spacing w:before="21"/>
        <w:ind w:left="56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4、稳健的投资回报</w:t>
      </w:r>
      <w:r>
        <w:rPr>
          <w:rFonts w:ascii="Times New Roman" w:hAnsi="Times New Roman" w:cs="Times New Roman" w:eastAsia="Times New Roman" w:hint="default"/>
          <w:sz w:val="21"/>
          <w:szCs w:val="21"/>
        </w:rPr>
        <w:tab/>
      </w:r>
      <w:hyperlink w:history="true" w:anchor="_bookmark22">
        <w:r>
          <w:rPr>
            <w:rFonts w:ascii="Times New Roman" w:hAnsi="Times New Roman" w:cs="Times New Roman" w:eastAsia="Times New Roman" w:hint="default"/>
            <w:sz w:val="21"/>
            <w:szCs w:val="21"/>
          </w:rPr>
          <w:t>15</w:t>
        </w:r>
      </w:hyperlink>
    </w:p>
    <w:p>
      <w:pPr>
        <w:tabs>
          <w:tab w:pos="8435" w:val="right" w:leader="dot"/>
        </w:tabs>
        <w:spacing w:before="21"/>
        <w:ind w:left="14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五、东软之于员工</w:t>
      </w:r>
      <w:r>
        <w:rPr>
          <w:rFonts w:ascii="Times New Roman" w:hAnsi="Times New Roman" w:cs="Times New Roman" w:eastAsia="Times New Roman" w:hint="default"/>
          <w:sz w:val="21"/>
          <w:szCs w:val="21"/>
        </w:rPr>
        <w:tab/>
      </w:r>
      <w:hyperlink w:history="true" w:anchor="_bookmark23">
        <w:r>
          <w:rPr>
            <w:rFonts w:ascii="Times New Roman" w:hAnsi="Times New Roman" w:cs="Times New Roman" w:eastAsia="Times New Roman" w:hint="default"/>
            <w:sz w:val="21"/>
            <w:szCs w:val="21"/>
          </w:rPr>
          <w:t>16</w:t>
        </w:r>
      </w:hyperlink>
    </w:p>
    <w:p>
      <w:pPr>
        <w:tabs>
          <w:tab w:pos="8435" w:val="right" w:leader="dot"/>
        </w:tabs>
        <w:spacing w:before="21"/>
        <w:ind w:left="56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1、完善的用工和薪酬制度</w:t>
      </w:r>
      <w:r>
        <w:rPr>
          <w:rFonts w:ascii="Times New Roman" w:hAnsi="Times New Roman" w:cs="Times New Roman" w:eastAsia="Times New Roman" w:hint="default"/>
          <w:sz w:val="21"/>
          <w:szCs w:val="21"/>
        </w:rPr>
        <w:tab/>
      </w:r>
      <w:hyperlink w:history="true" w:anchor="_bookmark23">
        <w:r>
          <w:rPr>
            <w:rFonts w:ascii="Times New Roman" w:hAnsi="Times New Roman" w:cs="Times New Roman" w:eastAsia="Times New Roman" w:hint="default"/>
            <w:sz w:val="21"/>
            <w:szCs w:val="21"/>
          </w:rPr>
          <w:t>16</w:t>
        </w:r>
      </w:hyperlink>
    </w:p>
    <w:p>
      <w:pPr>
        <w:tabs>
          <w:tab w:pos="8435" w:val="right" w:leader="dot"/>
        </w:tabs>
        <w:spacing w:before="21"/>
        <w:ind w:left="56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2、多元的成长和职涯规划</w:t>
      </w:r>
      <w:r>
        <w:rPr>
          <w:rFonts w:ascii="Times New Roman" w:hAnsi="Times New Roman" w:cs="Times New Roman" w:eastAsia="Times New Roman" w:hint="default"/>
          <w:sz w:val="21"/>
          <w:szCs w:val="21"/>
        </w:rPr>
        <w:tab/>
      </w:r>
      <w:hyperlink w:history="true" w:anchor="_bookmark23">
        <w:r>
          <w:rPr>
            <w:rFonts w:ascii="Times New Roman" w:hAnsi="Times New Roman" w:cs="Times New Roman" w:eastAsia="Times New Roman" w:hint="default"/>
            <w:sz w:val="21"/>
            <w:szCs w:val="21"/>
          </w:rPr>
          <w:t>16</w:t>
        </w:r>
      </w:hyperlink>
    </w:p>
    <w:p>
      <w:pPr>
        <w:tabs>
          <w:tab w:pos="8435" w:val="right" w:leader="dot"/>
        </w:tabs>
        <w:spacing w:before="21"/>
        <w:ind w:left="56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3、良好的工作和生活氛围</w:t>
      </w:r>
      <w:r>
        <w:rPr>
          <w:rFonts w:ascii="Times New Roman" w:hAnsi="Times New Roman" w:cs="Times New Roman" w:eastAsia="Times New Roman" w:hint="default"/>
          <w:sz w:val="21"/>
          <w:szCs w:val="21"/>
        </w:rPr>
        <w:tab/>
      </w:r>
      <w:hyperlink w:history="true" w:anchor="_bookmark24">
        <w:r>
          <w:rPr>
            <w:rFonts w:ascii="Times New Roman" w:hAnsi="Times New Roman" w:cs="Times New Roman" w:eastAsia="Times New Roman" w:hint="default"/>
            <w:sz w:val="21"/>
            <w:szCs w:val="21"/>
          </w:rPr>
          <w:t>17</w:t>
        </w:r>
      </w:hyperlink>
    </w:p>
    <w:p>
      <w:pPr>
        <w:tabs>
          <w:tab w:pos="8435" w:val="right" w:leader="dot"/>
        </w:tabs>
        <w:spacing w:before="21"/>
        <w:ind w:left="56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4、持续的健康和心理关爱</w:t>
      </w:r>
      <w:r>
        <w:rPr>
          <w:rFonts w:ascii="Times New Roman" w:hAnsi="Times New Roman" w:cs="Times New Roman" w:eastAsia="Times New Roman" w:hint="default"/>
          <w:sz w:val="21"/>
          <w:szCs w:val="21"/>
        </w:rPr>
        <w:tab/>
      </w:r>
      <w:hyperlink w:history="true" w:anchor="_bookmark24">
        <w:r>
          <w:rPr>
            <w:rFonts w:ascii="Times New Roman" w:hAnsi="Times New Roman" w:cs="Times New Roman" w:eastAsia="Times New Roman" w:hint="default"/>
            <w:sz w:val="21"/>
            <w:szCs w:val="21"/>
          </w:rPr>
          <w:t>17</w:t>
        </w:r>
      </w:hyperlink>
    </w:p>
    <w:p>
      <w:pPr>
        <w:tabs>
          <w:tab w:pos="8435" w:val="right" w:leader="dot"/>
        </w:tabs>
        <w:spacing w:before="21"/>
        <w:ind w:left="14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六、每股社会贡献值</w:t>
      </w:r>
      <w:r>
        <w:rPr>
          <w:rFonts w:ascii="Times New Roman" w:hAnsi="Times New Roman" w:cs="Times New Roman" w:eastAsia="Times New Roman" w:hint="default"/>
          <w:sz w:val="21"/>
          <w:szCs w:val="21"/>
        </w:rPr>
        <w:tab/>
      </w:r>
      <w:hyperlink w:history="true" w:anchor="_bookmark25">
        <w:r>
          <w:rPr>
            <w:rFonts w:ascii="Times New Roman" w:hAnsi="Times New Roman" w:cs="Times New Roman" w:eastAsia="Times New Roman" w:hint="default"/>
            <w:sz w:val="21"/>
            <w:szCs w:val="21"/>
          </w:rPr>
          <w:t>19</w:t>
        </w:r>
      </w:hyperlink>
    </w:p>
    <w:p>
      <w:pPr>
        <w:tabs>
          <w:tab w:pos="8435" w:val="right" w:leader="dot"/>
        </w:tabs>
        <w:spacing w:before="21"/>
        <w:ind w:left="14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七、展望未来</w:t>
      </w:r>
      <w:r>
        <w:rPr>
          <w:rFonts w:ascii="Times New Roman" w:hAnsi="Times New Roman" w:cs="Times New Roman" w:eastAsia="Times New Roman" w:hint="default"/>
          <w:sz w:val="21"/>
          <w:szCs w:val="21"/>
        </w:rPr>
        <w:tab/>
      </w:r>
      <w:hyperlink w:history="true" w:anchor="_bookmark26">
        <w:r>
          <w:rPr>
            <w:rFonts w:ascii="Times New Roman" w:hAnsi="Times New Roman" w:cs="Times New Roman" w:eastAsia="Times New Roman" w:hint="default"/>
            <w:sz w:val="21"/>
            <w:szCs w:val="21"/>
          </w:rPr>
          <w:t>20</w:t>
        </w:r>
      </w:hyperlink>
    </w:p>
    <w:p>
      <w:pPr>
        <w:spacing w:after="0"/>
        <w:jc w:val="left"/>
        <w:rPr>
          <w:rFonts w:ascii="Times New Roman" w:hAnsi="Times New Roman" w:cs="Times New Roman" w:eastAsia="Times New Roman" w:hint="default"/>
          <w:sz w:val="21"/>
          <w:szCs w:val="21"/>
        </w:rPr>
        <w:sectPr>
          <w:pgSz w:w="11910" w:h="16840"/>
          <w:pgMar w:header="851" w:footer="982" w:top="1220" w:bottom="1180" w:left="1660" w:right="1660"/>
        </w:sectPr>
      </w:pPr>
    </w:p>
    <w:p>
      <w:pPr>
        <w:pStyle w:val="Heading5"/>
        <w:spacing w:line="1010" w:lineRule="atLeast" w:before="62"/>
        <w:ind w:right="6837"/>
        <w:jc w:val="left"/>
        <w:rPr>
          <w:rFonts w:ascii="宋体" w:hAnsi="宋体" w:cs="宋体" w:eastAsia="宋体" w:hint="default"/>
          <w:b w:val="0"/>
          <w:bCs w:val="0"/>
        </w:rPr>
      </w:pPr>
      <w:bookmarkStart w:name="_bookmark13" w:id="18"/>
      <w:bookmarkEnd w:id="18"/>
      <w:r>
        <w:rPr>
          <w:b w:val="0"/>
          <w:bCs w:val="0"/>
        </w:rPr>
      </w:r>
      <w:r>
        <w:rPr>
          <w:rFonts w:ascii="宋体" w:hAnsi="宋体" w:cs="宋体" w:eastAsia="宋体" w:hint="default"/>
        </w:rPr>
        <w:t>一、关于东软</w:t>
      </w:r>
      <w:r>
        <w:rPr>
          <w:rFonts w:ascii="宋体" w:hAnsi="宋体" w:cs="宋体" w:eastAsia="宋体" w:hint="default"/>
          <w:spacing w:val="1"/>
          <w:w w:val="99"/>
        </w:rPr>
        <w:t> </w:t>
      </w:r>
      <w:r>
        <w:rPr>
          <w:rFonts w:ascii="宋体" w:hAnsi="宋体" w:cs="宋体" w:eastAsia="宋体" w:hint="default"/>
        </w:rPr>
        <w:t>1、公司概况</w:t>
      </w:r>
      <w:r>
        <w:rPr>
          <w:rFonts w:ascii="宋体" w:hAnsi="宋体" w:cs="宋体" w:eastAsia="宋体" w:hint="default"/>
          <w:b w:val="0"/>
          <w:bCs w:val="0"/>
        </w:rPr>
      </w:r>
    </w:p>
    <w:p>
      <w:pPr>
        <w:spacing w:line="240" w:lineRule="auto" w:before="6"/>
        <w:rPr>
          <w:rFonts w:ascii="宋体" w:hAnsi="宋体" w:cs="宋体" w:eastAsia="宋体" w:hint="default"/>
          <w:b/>
          <w:bCs/>
          <w:sz w:val="32"/>
          <w:szCs w:val="32"/>
        </w:rPr>
      </w:pPr>
    </w:p>
    <w:p>
      <w:pPr>
        <w:pStyle w:val="BodyText"/>
        <w:spacing w:line="312" w:lineRule="exact"/>
        <w:ind w:right="117" w:firstLine="480"/>
        <w:jc w:val="both"/>
        <w:rPr>
          <w:rFonts w:ascii="宋体" w:hAnsi="宋体" w:cs="宋体" w:eastAsia="宋体" w:hint="default"/>
        </w:rPr>
      </w:pPr>
      <w:r>
        <w:rPr>
          <w:rFonts w:ascii="宋体" w:hAnsi="宋体" w:cs="宋体" w:eastAsia="宋体" w:hint="default"/>
          <w:spacing w:val="-8"/>
        </w:rPr>
        <w:t>东软集团股份有限公司（以下简称“东软”或“公司”）于</w:t>
      </w:r>
      <w:r>
        <w:rPr>
          <w:rFonts w:ascii="宋体" w:hAnsi="宋体" w:cs="宋体" w:eastAsia="宋体" w:hint="default"/>
          <w:spacing w:val="-58"/>
        </w:rPr>
        <w:t> </w:t>
      </w:r>
      <w:r>
        <w:rPr>
          <w:rFonts w:ascii="宋体" w:hAnsi="宋体" w:cs="宋体" w:eastAsia="宋体" w:hint="default"/>
        </w:rPr>
        <w:t>1996</w:t>
      </w:r>
      <w:r>
        <w:rPr>
          <w:rFonts w:ascii="宋体" w:hAnsi="宋体" w:cs="宋体" w:eastAsia="宋体" w:hint="default"/>
          <w:spacing w:val="-58"/>
        </w:rPr>
        <w:t> </w:t>
      </w:r>
      <w:r>
        <w:rPr>
          <w:rFonts w:ascii="宋体" w:hAnsi="宋体" w:cs="宋体" w:eastAsia="宋体" w:hint="default"/>
          <w:spacing w:val="-4"/>
        </w:rPr>
        <w:t>年上市，是</w:t>
      </w:r>
      <w:r>
        <w:rPr>
          <w:rFonts w:ascii="宋体" w:hAnsi="宋体" w:cs="宋体" w:eastAsia="宋体" w:hint="default"/>
        </w:rPr>
        <w:t> 中国第一家上市的软件企业，是中国第一家通过</w:t>
      </w:r>
      <w:r>
        <w:rPr>
          <w:rFonts w:ascii="宋体" w:hAnsi="宋体" w:cs="宋体" w:eastAsia="宋体" w:hint="default"/>
          <w:spacing w:val="-54"/>
        </w:rPr>
        <w:t> </w:t>
      </w:r>
      <w:r>
        <w:rPr>
          <w:rFonts w:ascii="宋体" w:hAnsi="宋体" w:cs="宋体" w:eastAsia="宋体" w:hint="default"/>
        </w:rPr>
        <w:t>CMM5</w:t>
      </w:r>
      <w:r>
        <w:rPr>
          <w:rFonts w:ascii="宋体" w:hAnsi="宋体" w:cs="宋体" w:eastAsia="宋体" w:hint="default"/>
          <w:spacing w:val="-54"/>
        </w:rPr>
        <w:t> </w:t>
      </w:r>
      <w:r>
        <w:rPr>
          <w:rFonts w:ascii="宋体" w:hAnsi="宋体" w:cs="宋体" w:eastAsia="宋体" w:hint="default"/>
        </w:rPr>
        <w:t>和</w:t>
      </w:r>
      <w:r>
        <w:rPr>
          <w:rFonts w:ascii="宋体" w:hAnsi="宋体" w:cs="宋体" w:eastAsia="宋体" w:hint="default"/>
          <w:spacing w:val="-53"/>
        </w:rPr>
        <w:t> </w:t>
      </w:r>
      <w:r>
        <w:rPr>
          <w:rFonts w:ascii="宋体" w:hAnsi="宋体" w:cs="宋体" w:eastAsia="宋体" w:hint="default"/>
        </w:rPr>
        <w:t>CMMI5</w:t>
      </w:r>
      <w:r>
        <w:rPr>
          <w:rFonts w:ascii="宋体" w:hAnsi="宋体" w:cs="宋体" w:eastAsia="宋体" w:hint="default"/>
          <w:spacing w:val="-54"/>
        </w:rPr>
        <w:t> </w:t>
      </w:r>
      <w:r>
        <w:rPr>
          <w:rFonts w:ascii="宋体" w:hAnsi="宋体" w:cs="宋体" w:eastAsia="宋体" w:hint="default"/>
        </w:rPr>
        <w:t>级认证的软件企</w:t>
      </w:r>
      <w:r>
        <w:rPr>
          <w:rFonts w:ascii="宋体" w:hAnsi="宋体" w:cs="宋体" w:eastAsia="宋体" w:hint="default"/>
        </w:rPr>
        <w:t> 业，是中国目前最大的离岸软件外包提供商，是中国第一家通过 SEI PCMM</w:t>
      </w:r>
      <w:r>
        <w:rPr>
          <w:rFonts w:ascii="宋体" w:hAnsi="宋体" w:cs="宋体" w:eastAsia="宋体" w:hint="default"/>
          <w:spacing w:val="1"/>
        </w:rPr>
        <w:t> </w:t>
      </w:r>
      <w:r>
        <w:rPr>
          <w:rFonts w:ascii="宋体" w:hAnsi="宋体" w:cs="宋体" w:eastAsia="宋体" w:hint="default"/>
        </w:rPr>
        <w:t>ML3</w:t>
      </w:r>
      <w:r>
        <w:rPr>
          <w:rFonts w:ascii="宋体" w:hAnsi="宋体" w:cs="宋体" w:eastAsia="宋体" w:hint="default"/>
        </w:rPr>
        <w:t> 的企业。目前，公司拥有员工</w:t>
      </w:r>
      <w:r>
        <w:rPr>
          <w:rFonts w:ascii="宋体" w:hAnsi="宋体" w:cs="宋体" w:eastAsia="宋体" w:hint="default"/>
          <w:spacing w:val="-66"/>
        </w:rPr>
        <w:t> </w:t>
      </w:r>
      <w:r>
        <w:rPr>
          <w:rFonts w:ascii="宋体" w:hAnsi="宋体" w:cs="宋体" w:eastAsia="宋体" w:hint="default"/>
        </w:rPr>
        <w:t>15,760</w:t>
      </w:r>
      <w:r>
        <w:rPr>
          <w:rFonts w:ascii="宋体" w:hAnsi="宋体" w:cs="宋体" w:eastAsia="宋体" w:hint="default"/>
          <w:spacing w:val="-66"/>
        </w:rPr>
        <w:t> </w:t>
      </w:r>
      <w:r>
        <w:rPr>
          <w:rFonts w:ascii="宋体" w:hAnsi="宋体" w:cs="宋体" w:eastAsia="宋体" w:hint="default"/>
        </w:rPr>
        <w:t>名，在中国建立</w:t>
      </w:r>
      <w:r>
        <w:rPr>
          <w:rFonts w:ascii="宋体" w:hAnsi="宋体" w:cs="宋体" w:eastAsia="宋体" w:hint="default"/>
          <w:spacing w:val="-66"/>
        </w:rPr>
        <w:t> </w:t>
      </w:r>
      <w:r>
        <w:rPr>
          <w:rFonts w:ascii="宋体" w:hAnsi="宋体" w:cs="宋体" w:eastAsia="宋体" w:hint="default"/>
        </w:rPr>
        <w:t>8</w:t>
      </w:r>
      <w:r>
        <w:rPr>
          <w:rFonts w:ascii="宋体" w:hAnsi="宋体" w:cs="宋体" w:eastAsia="宋体" w:hint="default"/>
          <w:spacing w:val="-66"/>
        </w:rPr>
        <w:t> </w:t>
      </w:r>
      <w:r>
        <w:rPr>
          <w:rFonts w:ascii="宋体" w:hAnsi="宋体" w:cs="宋体" w:eastAsia="宋体" w:hint="default"/>
        </w:rPr>
        <w:t>个区域总部，16</w:t>
      </w:r>
      <w:r>
        <w:rPr>
          <w:rFonts w:ascii="宋体" w:hAnsi="宋体" w:cs="宋体" w:eastAsia="宋体" w:hint="default"/>
          <w:spacing w:val="-66"/>
        </w:rPr>
        <w:t> </w:t>
      </w:r>
      <w:r>
        <w:rPr>
          <w:rFonts w:ascii="宋体" w:hAnsi="宋体" w:cs="宋体" w:eastAsia="宋体" w:hint="default"/>
        </w:rPr>
        <w:t>个软件</w:t>
      </w:r>
      <w:r>
        <w:rPr>
          <w:rFonts w:ascii="宋体" w:hAnsi="宋体" w:cs="宋体" w:eastAsia="宋体" w:hint="default"/>
        </w:rPr>
        <w:t> 开发与技术支持中心，6</w:t>
      </w:r>
      <w:r>
        <w:rPr>
          <w:rFonts w:ascii="宋体" w:hAnsi="宋体" w:cs="宋体" w:eastAsia="宋体" w:hint="default"/>
          <w:spacing w:val="-72"/>
        </w:rPr>
        <w:t> </w:t>
      </w:r>
      <w:r>
        <w:rPr>
          <w:rFonts w:ascii="宋体" w:hAnsi="宋体" w:cs="宋体" w:eastAsia="宋体" w:hint="default"/>
        </w:rPr>
        <w:t>个软件研发基地，在</w:t>
      </w:r>
      <w:r>
        <w:rPr>
          <w:rFonts w:ascii="宋体" w:hAnsi="宋体" w:cs="宋体" w:eastAsia="宋体" w:hint="default"/>
          <w:spacing w:val="-72"/>
        </w:rPr>
        <w:t> </w:t>
      </w:r>
      <w:r>
        <w:rPr>
          <w:rFonts w:ascii="宋体" w:hAnsi="宋体" w:cs="宋体" w:eastAsia="宋体" w:hint="default"/>
        </w:rPr>
        <w:t>40</w:t>
      </w:r>
      <w:r>
        <w:rPr>
          <w:rFonts w:ascii="宋体" w:hAnsi="宋体" w:cs="宋体" w:eastAsia="宋体" w:hint="default"/>
          <w:spacing w:val="-72"/>
        </w:rPr>
        <w:t> </w:t>
      </w:r>
      <w:r>
        <w:rPr>
          <w:rFonts w:ascii="宋体" w:hAnsi="宋体" w:cs="宋体" w:eastAsia="宋体" w:hint="default"/>
        </w:rPr>
        <w:t>多个城市建立营销与服务网络。</w:t>
      </w:r>
    </w:p>
    <w:p>
      <w:pPr>
        <w:pStyle w:val="BodyText"/>
        <w:spacing w:line="312" w:lineRule="exact" w:before="156"/>
        <w:ind w:right="237" w:firstLine="480"/>
        <w:jc w:val="both"/>
        <w:rPr>
          <w:rFonts w:ascii="宋体" w:hAnsi="宋体" w:cs="宋体" w:eastAsia="宋体" w:hint="default"/>
        </w:rPr>
      </w:pPr>
      <w:r>
        <w:rPr>
          <w:rFonts w:ascii="宋体" w:hAnsi="宋体" w:cs="宋体" w:eastAsia="宋体" w:hint="default"/>
          <w:spacing w:val="-3"/>
        </w:rPr>
        <w:t>公司以软件技术为核心，通过软件与服务的结合，软件与制造的结合，技术</w:t>
      </w:r>
      <w:r>
        <w:rPr>
          <w:rFonts w:ascii="宋体" w:hAnsi="宋体" w:cs="宋体" w:eastAsia="宋体" w:hint="default"/>
        </w:rPr>
        <w:t> </w:t>
      </w:r>
      <w:r>
        <w:rPr>
          <w:rFonts w:ascii="宋体" w:hAnsi="宋体" w:cs="宋体" w:eastAsia="宋体" w:hint="default"/>
          <w:spacing w:val="-3"/>
        </w:rPr>
        <w:t>与行业管理能力的结合，提供行业解决方案和产品工程解决方案以及相关产品与</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服务。目前，东软拥有</w:t>
      </w:r>
      <w:r>
        <w:rPr>
          <w:rFonts w:ascii="宋体" w:hAnsi="宋体" w:cs="宋体" w:eastAsia="宋体" w:hint="default"/>
          <w:spacing w:val="-72"/>
        </w:rPr>
        <w:t> </w:t>
      </w:r>
      <w:r>
        <w:rPr>
          <w:rFonts w:ascii="宋体" w:hAnsi="宋体" w:cs="宋体" w:eastAsia="宋体" w:hint="default"/>
        </w:rPr>
        <w:t>130</w:t>
      </w:r>
      <w:r>
        <w:rPr>
          <w:rFonts w:ascii="宋体" w:hAnsi="宋体" w:cs="宋体" w:eastAsia="宋体" w:hint="default"/>
          <w:spacing w:val="-72"/>
        </w:rPr>
        <w:t> </w:t>
      </w:r>
      <w:r>
        <w:rPr>
          <w:rFonts w:ascii="宋体" w:hAnsi="宋体" w:cs="宋体" w:eastAsia="宋体" w:hint="default"/>
        </w:rPr>
        <w:t>个业务方向，485</w:t>
      </w:r>
      <w:r>
        <w:rPr>
          <w:rFonts w:ascii="宋体" w:hAnsi="宋体" w:cs="宋体" w:eastAsia="宋体" w:hint="default"/>
          <w:spacing w:val="-72"/>
        </w:rPr>
        <w:t> </w:t>
      </w:r>
      <w:r>
        <w:rPr>
          <w:rFonts w:ascii="宋体" w:hAnsi="宋体" w:cs="宋体" w:eastAsia="宋体" w:hint="default"/>
        </w:rPr>
        <w:t>种解决方案及产品，拥有各类客户</w:t>
      </w:r>
      <w:r>
        <w:rPr>
          <w:rFonts w:ascii="宋体" w:hAnsi="宋体" w:cs="宋体" w:eastAsia="宋体" w:hint="default"/>
        </w:rPr>
        <w:t> 约 14,500</w:t>
      </w:r>
      <w:r>
        <w:rPr>
          <w:rFonts w:ascii="宋体" w:hAnsi="宋体" w:cs="宋体" w:eastAsia="宋体" w:hint="default"/>
          <w:spacing w:val="-94"/>
        </w:rPr>
        <w:t> </w:t>
      </w:r>
      <w:r>
        <w:rPr>
          <w:rFonts w:ascii="宋体" w:hAnsi="宋体" w:cs="宋体" w:eastAsia="宋体" w:hint="default"/>
        </w:rPr>
        <w:t>家，业务覆盖电信、电力、政府、金融、医疗、交通、教育等多个行</w:t>
      </w:r>
      <w:r>
        <w:rPr>
          <w:rFonts w:ascii="宋体" w:hAnsi="宋体" w:cs="宋体" w:eastAsia="宋体" w:hint="default"/>
        </w:rPr>
        <w:t> 业，市场延伸至日本、美国、欧洲、中东等多个国家和地区。</w:t>
      </w:r>
    </w:p>
    <w:p>
      <w:pPr>
        <w:spacing w:line="240" w:lineRule="auto" w:before="3"/>
        <w:rPr>
          <w:rFonts w:ascii="宋体" w:hAnsi="宋体" w:cs="宋体" w:eastAsia="宋体" w:hint="default"/>
          <w:sz w:val="26"/>
          <w:szCs w:val="26"/>
        </w:rPr>
      </w:pPr>
    </w:p>
    <w:p>
      <w:pPr>
        <w:pStyle w:val="Heading7"/>
        <w:spacing w:line="240" w:lineRule="auto"/>
        <w:ind w:right="0"/>
        <w:jc w:val="both"/>
        <w:rPr>
          <w:b w:val="0"/>
          <w:bCs w:val="0"/>
        </w:rPr>
      </w:pPr>
      <w:r>
        <w:rPr/>
        <w:t>2、社会责任观</w:t>
      </w:r>
      <w:r>
        <w:rPr>
          <w:b w:val="0"/>
          <w:bCs w:val="0"/>
        </w:rPr>
      </w:r>
    </w:p>
    <w:p>
      <w:pPr>
        <w:spacing w:line="240" w:lineRule="auto" w:before="10"/>
        <w:rPr>
          <w:rFonts w:ascii="宋体" w:hAnsi="宋体" w:cs="宋体" w:eastAsia="宋体" w:hint="default"/>
          <w:b/>
          <w:bCs/>
          <w:sz w:val="30"/>
          <w:szCs w:val="30"/>
        </w:rPr>
      </w:pPr>
    </w:p>
    <w:p>
      <w:pPr>
        <w:pStyle w:val="BodyText"/>
        <w:spacing w:line="312" w:lineRule="exact"/>
        <w:ind w:right="237" w:firstLine="480"/>
        <w:jc w:val="both"/>
        <w:rPr>
          <w:rFonts w:ascii="宋体" w:hAnsi="宋体" w:cs="宋体" w:eastAsia="宋体" w:hint="default"/>
        </w:rPr>
      </w:pPr>
      <w:r>
        <w:rPr>
          <w:rFonts w:ascii="宋体" w:hAnsi="宋体" w:cs="宋体" w:eastAsia="宋体" w:hint="default"/>
          <w:spacing w:val="-3"/>
        </w:rPr>
        <w:t>公司对社会责任有着深刻的理解，公司认为，社会责任与良好的企业公民形</w:t>
      </w:r>
      <w:r>
        <w:rPr>
          <w:rFonts w:ascii="宋体" w:hAnsi="宋体" w:cs="宋体" w:eastAsia="宋体" w:hint="default"/>
        </w:rPr>
        <w:t> </w:t>
      </w:r>
      <w:r>
        <w:rPr>
          <w:rFonts w:ascii="宋体" w:hAnsi="宋体" w:cs="宋体" w:eastAsia="宋体" w:hint="default"/>
          <w:spacing w:val="-3"/>
        </w:rPr>
        <w:t>象意味着：尊重、负责、诚信与法律遵从及与社会、环境的和谐共生和可持续发</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展，其涵义是：</w:t>
      </w:r>
    </w:p>
    <w:p>
      <w:pPr>
        <w:spacing w:line="468" w:lineRule="exact" w:before="31"/>
        <w:ind w:left="620" w:right="223" w:hanging="239"/>
        <w:jc w:val="left"/>
        <w:rPr>
          <w:rFonts w:ascii="宋体" w:hAnsi="宋体" w:cs="宋体" w:eastAsia="宋体" w:hint="default"/>
          <w:sz w:val="24"/>
          <w:szCs w:val="24"/>
        </w:rPr>
      </w:pPr>
      <w:r>
        <w:rPr>
          <w:rFonts w:ascii="宋体" w:hAnsi="宋体" w:cs="宋体" w:eastAsia="宋体" w:hint="default"/>
          <w:b/>
          <w:bCs/>
          <w:sz w:val="24"/>
          <w:szCs w:val="24"/>
        </w:rPr>
        <w:t>（1）尊重、负责、诚信与法律遵从</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尊重员工，为他们竞争能力的提升和快乐工作而投资。关注客户的需求，不</w:t>
      </w:r>
    </w:p>
    <w:p>
      <w:pPr>
        <w:pStyle w:val="BodyText"/>
        <w:spacing w:line="252" w:lineRule="exact"/>
        <w:ind w:right="0"/>
        <w:jc w:val="both"/>
        <w:rPr>
          <w:rFonts w:ascii="宋体" w:hAnsi="宋体" w:cs="宋体" w:eastAsia="宋体" w:hint="default"/>
        </w:rPr>
      </w:pPr>
      <w:r>
        <w:rPr>
          <w:rFonts w:ascii="宋体" w:hAnsi="宋体" w:cs="宋体" w:eastAsia="宋体" w:hint="default"/>
        </w:rPr>
        <w:t>断地为客户创造价值</w:t>
      </w:r>
      <w:r>
        <w:rPr>
          <w:rFonts w:ascii="宋体" w:hAnsi="宋体" w:cs="宋体" w:eastAsia="宋体" w:hint="default"/>
          <w:spacing w:val="-107"/>
        </w:rPr>
        <w:t>。</w:t>
      </w:r>
      <w:r>
        <w:rPr>
          <w:rFonts w:ascii="宋体" w:hAnsi="宋体" w:cs="宋体" w:eastAsia="宋体" w:hint="default"/>
        </w:rPr>
        <w:t>追求公司经营结果的改进</w:t>
      </w:r>
      <w:r>
        <w:rPr>
          <w:rFonts w:ascii="宋体" w:hAnsi="宋体" w:cs="宋体" w:eastAsia="宋体" w:hint="default"/>
          <w:spacing w:val="-107"/>
        </w:rPr>
        <w:t>，</w:t>
      </w:r>
      <w:r>
        <w:rPr>
          <w:rFonts w:ascii="宋体" w:hAnsi="宋体" w:cs="宋体" w:eastAsia="宋体" w:hint="default"/>
        </w:rPr>
        <w:t>为投资者带来长期良好的回报。</w:t>
      </w:r>
    </w:p>
    <w:p>
      <w:pPr>
        <w:pStyle w:val="BodyText"/>
        <w:spacing w:line="312" w:lineRule="exact" w:before="184"/>
        <w:ind w:right="237" w:firstLine="480"/>
        <w:jc w:val="both"/>
        <w:rPr>
          <w:rFonts w:ascii="宋体" w:hAnsi="宋体" w:cs="宋体" w:eastAsia="宋体" w:hint="default"/>
        </w:rPr>
      </w:pPr>
      <w:r>
        <w:rPr>
          <w:rFonts w:ascii="宋体" w:hAnsi="宋体" w:cs="宋体" w:eastAsia="宋体" w:hint="default"/>
          <w:spacing w:val="-3"/>
        </w:rPr>
        <w:t>诚信是东软生存与可持续发展的基础，公司要以高标准的道德规范、法律标</w:t>
      </w:r>
      <w:r>
        <w:rPr>
          <w:rFonts w:ascii="宋体" w:hAnsi="宋体" w:cs="宋体" w:eastAsia="宋体" w:hint="default"/>
        </w:rPr>
        <w:t> 准以及公司治理原则来要求自己，承担社会责任，并得到社会的尊重。</w:t>
      </w:r>
    </w:p>
    <w:p>
      <w:pPr>
        <w:spacing w:line="468" w:lineRule="exact" w:before="31"/>
        <w:ind w:left="620" w:right="100" w:hanging="239"/>
        <w:jc w:val="left"/>
        <w:rPr>
          <w:rFonts w:ascii="宋体" w:hAnsi="宋体" w:cs="宋体" w:eastAsia="宋体" w:hint="default"/>
          <w:sz w:val="24"/>
          <w:szCs w:val="24"/>
        </w:rPr>
      </w:pPr>
      <w:r>
        <w:rPr>
          <w:rFonts w:ascii="宋体" w:hAnsi="宋体" w:cs="宋体" w:eastAsia="宋体" w:hint="default"/>
          <w:b/>
          <w:bCs/>
          <w:sz w:val="24"/>
          <w:szCs w:val="24"/>
        </w:rPr>
        <w:t>（2）和谐共生与可持续发展</w:t>
      </w:r>
      <w:r>
        <w:rPr>
          <w:rFonts w:ascii="宋体" w:hAnsi="宋体" w:cs="宋体" w:eastAsia="宋体" w:hint="default"/>
          <w:b/>
          <w:bCs/>
          <w:spacing w:val="1"/>
          <w:w w:val="99"/>
          <w:sz w:val="24"/>
          <w:szCs w:val="24"/>
        </w:rPr>
        <w:t> </w:t>
      </w:r>
      <w:r>
        <w:rPr>
          <w:rFonts w:ascii="宋体" w:hAnsi="宋体" w:cs="宋体" w:eastAsia="宋体" w:hint="default"/>
          <w:spacing w:val="-7"/>
          <w:sz w:val="24"/>
          <w:szCs w:val="24"/>
        </w:rPr>
        <w:t>关注社会弱势群体，积极投身社会公益事业，履行企业社会责任。保护环境，</w:t>
      </w:r>
    </w:p>
    <w:p>
      <w:pPr>
        <w:pStyle w:val="BodyText"/>
        <w:spacing w:line="252" w:lineRule="exact"/>
        <w:ind w:right="0"/>
        <w:jc w:val="both"/>
        <w:rPr>
          <w:rFonts w:ascii="宋体" w:hAnsi="宋体" w:cs="宋体" w:eastAsia="宋体" w:hint="default"/>
        </w:rPr>
      </w:pPr>
      <w:r>
        <w:rPr>
          <w:rFonts w:ascii="宋体" w:hAnsi="宋体" w:cs="宋体" w:eastAsia="宋体" w:hint="default"/>
        </w:rPr>
        <w:t>绿色发展</w:t>
      </w:r>
      <w:r>
        <w:rPr>
          <w:rFonts w:ascii="宋体" w:hAnsi="宋体" w:cs="宋体" w:eastAsia="宋体" w:hint="default"/>
          <w:spacing w:val="-107"/>
        </w:rPr>
        <w:t>，</w:t>
      </w:r>
      <w:r>
        <w:rPr>
          <w:rFonts w:ascii="宋体" w:hAnsi="宋体" w:cs="宋体" w:eastAsia="宋体" w:hint="default"/>
        </w:rPr>
        <w:t>构建共赢的产业生态系统</w:t>
      </w:r>
      <w:r>
        <w:rPr>
          <w:rFonts w:ascii="宋体" w:hAnsi="宋体" w:cs="宋体" w:eastAsia="宋体" w:hint="default"/>
          <w:spacing w:val="-107"/>
        </w:rPr>
        <w:t>，</w:t>
      </w:r>
      <w:r>
        <w:rPr>
          <w:rFonts w:ascii="宋体" w:hAnsi="宋体" w:cs="宋体" w:eastAsia="宋体" w:hint="default"/>
        </w:rPr>
        <w:t>追求企业成长与社会的和谐和可持续发展。</w:t>
      </w:r>
    </w:p>
    <w:p>
      <w:pPr>
        <w:spacing w:line="680" w:lineRule="atLeast" w:before="6"/>
        <w:ind w:left="620" w:right="223" w:hanging="480"/>
        <w:jc w:val="left"/>
        <w:rPr>
          <w:rFonts w:ascii="宋体" w:hAnsi="宋体" w:cs="宋体" w:eastAsia="宋体" w:hint="default"/>
          <w:sz w:val="24"/>
          <w:szCs w:val="24"/>
        </w:rPr>
      </w:pPr>
      <w:r>
        <w:rPr>
          <w:rFonts w:ascii="宋体" w:hAnsi="宋体" w:cs="宋体" w:eastAsia="宋体" w:hint="default"/>
          <w:b/>
          <w:bCs/>
          <w:sz w:val="24"/>
          <w:szCs w:val="24"/>
        </w:rPr>
        <w:t>3、社会责任体系</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公司坚持实施可持续发展战略，积极履行社会责任，自觉地把社会责任融入</w:t>
      </w:r>
    </w:p>
    <w:p>
      <w:pPr>
        <w:pStyle w:val="BodyText"/>
        <w:spacing w:line="312" w:lineRule="exact" w:before="28"/>
        <w:ind w:right="237"/>
        <w:jc w:val="both"/>
        <w:rPr>
          <w:rFonts w:ascii="宋体" w:hAnsi="宋体" w:cs="宋体" w:eastAsia="宋体" w:hint="default"/>
        </w:rPr>
      </w:pPr>
      <w:r>
        <w:rPr>
          <w:rFonts w:ascii="宋体" w:hAnsi="宋体" w:cs="宋体" w:eastAsia="宋体" w:hint="default"/>
          <w:spacing w:val="-3"/>
        </w:rPr>
        <w:t>到公司战略、企业文化和公司经营中，关注利益相关者的利益，公司以“成为最</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受社会、客户、股东、员工尊敬的公司”为愿景，形成由管理层、各部门及员工</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全员参与的社会责任体系。</w:t>
      </w:r>
    </w:p>
    <w:p>
      <w:pPr>
        <w:pStyle w:val="BodyText"/>
        <w:spacing w:line="312" w:lineRule="exact" w:before="156"/>
        <w:ind w:left="139" w:right="144" w:firstLine="240"/>
        <w:jc w:val="left"/>
        <w:rPr>
          <w:rFonts w:ascii="宋体" w:hAnsi="宋体" w:cs="宋体" w:eastAsia="宋体" w:hint="default"/>
        </w:rPr>
      </w:pPr>
      <w:r>
        <w:rPr>
          <w:rFonts w:ascii="宋体" w:hAnsi="宋体" w:cs="宋体" w:eastAsia="宋体" w:hint="default"/>
        </w:rPr>
        <w:t>（1）东软之于社会</w:t>
      </w:r>
      <w:r>
        <w:rPr>
          <w:rFonts w:ascii="宋体" w:hAnsi="宋体" w:cs="宋体" w:eastAsia="宋体" w:hint="default"/>
          <w:sz w:val="21"/>
          <w:szCs w:val="21"/>
        </w:rPr>
        <w:t>：</w:t>
      </w:r>
      <w:r>
        <w:rPr>
          <w:rFonts w:ascii="宋体" w:hAnsi="宋体" w:cs="宋体" w:eastAsia="宋体" w:hint="default"/>
        </w:rPr>
        <w:t>有社会责任感，遵纪守法，保护环境，追求企业成长与</w:t>
      </w:r>
      <w:r>
        <w:rPr>
          <w:rFonts w:ascii="宋体" w:hAnsi="宋体" w:cs="宋体" w:eastAsia="宋体" w:hint="default"/>
          <w:spacing w:val="1"/>
        </w:rPr>
        <w:t> </w:t>
      </w:r>
      <w:r>
        <w:rPr>
          <w:rFonts w:ascii="宋体" w:hAnsi="宋体" w:cs="宋体" w:eastAsia="宋体" w:hint="default"/>
        </w:rPr>
        <w:t>社会发展的和谐；</w:t>
      </w:r>
    </w:p>
    <w:p>
      <w:pPr>
        <w:spacing w:after="0" w:line="312" w:lineRule="exact"/>
        <w:jc w:val="left"/>
        <w:rPr>
          <w:rFonts w:ascii="宋体" w:hAnsi="宋体" w:cs="宋体" w:eastAsia="宋体" w:hint="default"/>
        </w:rPr>
        <w:sectPr>
          <w:pgSz w:w="11910" w:h="16840"/>
          <w:pgMar w:header="851" w:footer="982" w:top="1220" w:bottom="1180" w:left="1660" w:right="1560"/>
        </w:sectPr>
      </w:pPr>
    </w:p>
    <w:p>
      <w:pPr>
        <w:spacing w:line="240" w:lineRule="auto" w:before="8"/>
        <w:rPr>
          <w:rFonts w:ascii="宋体" w:hAnsi="宋体" w:cs="宋体" w:eastAsia="宋体" w:hint="default"/>
          <w:sz w:val="11"/>
          <w:szCs w:val="11"/>
        </w:rPr>
      </w:pPr>
    </w:p>
    <w:p>
      <w:pPr>
        <w:pStyle w:val="BodyText"/>
        <w:spacing w:line="312" w:lineRule="exact" w:before="56"/>
        <w:ind w:right="0" w:firstLine="240"/>
        <w:jc w:val="left"/>
        <w:rPr>
          <w:rFonts w:ascii="宋体" w:hAnsi="宋体" w:cs="宋体" w:eastAsia="宋体" w:hint="default"/>
        </w:rPr>
      </w:pPr>
      <w:bookmarkStart w:name="_bookmark14" w:id="19"/>
      <w:bookmarkEnd w:id="19"/>
      <w:r>
        <w:rPr/>
      </w:r>
      <w:r>
        <w:rPr>
          <w:rFonts w:ascii="宋体" w:hAnsi="宋体" w:cs="宋体" w:eastAsia="宋体" w:hint="default"/>
        </w:rPr>
        <w:t>（2）东软之于客户</w:t>
      </w:r>
      <w:r>
        <w:rPr>
          <w:rFonts w:ascii="宋体" w:hAnsi="宋体" w:cs="宋体" w:eastAsia="宋体" w:hint="default"/>
          <w:sz w:val="21"/>
          <w:szCs w:val="21"/>
        </w:rPr>
        <w:t>：</w:t>
      </w:r>
      <w:r>
        <w:rPr>
          <w:rFonts w:ascii="宋体" w:hAnsi="宋体" w:cs="宋体" w:eastAsia="宋体" w:hint="default"/>
        </w:rPr>
        <w:t>尊重和满足客户的需求，通过创新</w:t>
      </w:r>
      <w:r>
        <w:rPr>
          <w:rFonts w:ascii="宋体" w:hAnsi="宋体" w:cs="宋体" w:eastAsia="宋体" w:hint="default"/>
          <w:color w:val="0000FF"/>
        </w:rPr>
        <w:t>、</w:t>
      </w:r>
      <w:r>
        <w:rPr>
          <w:rFonts w:ascii="宋体" w:hAnsi="宋体" w:cs="宋体" w:eastAsia="宋体" w:hint="default"/>
        </w:rPr>
        <w:t>过程改进</w:t>
      </w:r>
      <w:r>
        <w:rPr>
          <w:rFonts w:ascii="宋体" w:hAnsi="宋体" w:cs="宋体" w:eastAsia="宋体" w:hint="default"/>
          <w:color w:val="0000FF"/>
        </w:rPr>
        <w:t>、</w:t>
      </w:r>
      <w:r>
        <w:rPr>
          <w:rFonts w:ascii="宋体" w:hAnsi="宋体" w:cs="宋体" w:eastAsia="宋体" w:hint="default"/>
        </w:rPr>
        <w:t>员工的</w:t>
      </w:r>
      <w:r>
        <w:rPr>
          <w:rFonts w:ascii="宋体" w:hAnsi="宋体" w:cs="宋体" w:eastAsia="宋体" w:hint="default"/>
          <w:spacing w:val="1"/>
        </w:rPr>
        <w:t> </w:t>
      </w:r>
      <w:r>
        <w:rPr>
          <w:rFonts w:ascii="宋体" w:hAnsi="宋体" w:cs="宋体" w:eastAsia="宋体" w:hint="default"/>
        </w:rPr>
        <w:t>发展，不断地为客户创造价值；</w:t>
      </w:r>
    </w:p>
    <w:p>
      <w:pPr>
        <w:pStyle w:val="BodyText"/>
        <w:spacing w:line="312" w:lineRule="exact" w:before="156"/>
        <w:ind w:right="0" w:firstLine="240"/>
        <w:jc w:val="left"/>
        <w:rPr>
          <w:rFonts w:ascii="宋体" w:hAnsi="宋体" w:cs="宋体" w:eastAsia="宋体" w:hint="default"/>
        </w:rPr>
      </w:pPr>
      <w:r>
        <w:rPr>
          <w:rFonts w:ascii="宋体" w:hAnsi="宋体" w:cs="宋体" w:eastAsia="宋体" w:hint="default"/>
        </w:rPr>
        <w:t>（3）东软之于股东：不断追求公司经营结果的改进，为投资者带来长期良好 的回报；</w:t>
      </w:r>
    </w:p>
    <w:p>
      <w:pPr>
        <w:pStyle w:val="BodyText"/>
        <w:spacing w:line="312" w:lineRule="exact" w:before="156"/>
        <w:ind w:right="0" w:firstLine="240"/>
        <w:jc w:val="left"/>
        <w:rPr>
          <w:rFonts w:ascii="宋体" w:hAnsi="宋体" w:cs="宋体" w:eastAsia="宋体" w:hint="default"/>
        </w:rPr>
      </w:pPr>
      <w:r>
        <w:rPr>
          <w:rFonts w:ascii="宋体" w:hAnsi="宋体" w:cs="宋体" w:eastAsia="宋体" w:hint="default"/>
        </w:rPr>
        <w:t>（4）东软之于员工：尊重员工，为他们竞争能力的提升和快乐工作而投资， 并为他们的贡献给予合理的回报。</w:t>
      </w:r>
    </w:p>
    <w:p>
      <w:pPr>
        <w:pStyle w:val="BodyText"/>
        <w:spacing w:line="312" w:lineRule="exact" w:before="156"/>
        <w:ind w:right="132" w:firstLine="480"/>
        <w:jc w:val="both"/>
        <w:rPr>
          <w:rFonts w:ascii="宋体" w:hAnsi="宋体" w:cs="宋体" w:eastAsia="宋体" w:hint="default"/>
        </w:rPr>
      </w:pPr>
      <w:r>
        <w:rPr>
          <w:rFonts w:ascii="宋体" w:hAnsi="宋体" w:cs="宋体" w:eastAsia="宋体" w:hint="default"/>
        </w:rPr>
        <w:t>2009</w:t>
      </w:r>
      <w:r>
        <w:rPr>
          <w:rFonts w:ascii="宋体" w:hAnsi="宋体" w:cs="宋体" w:eastAsia="宋体" w:hint="default"/>
          <w:spacing w:val="16"/>
        </w:rPr>
        <w:t> </w:t>
      </w:r>
      <w:r>
        <w:rPr>
          <w:rFonts w:ascii="宋体" w:hAnsi="宋体" w:cs="宋体" w:eastAsia="宋体" w:hint="default"/>
        </w:rPr>
        <w:t>年，公司认真履行作为企业公民应负的社会责任，维护公司客户、股</w:t>
      </w:r>
      <w:r>
        <w:rPr>
          <w:rFonts w:ascii="宋体" w:hAnsi="宋体" w:cs="宋体" w:eastAsia="宋体" w:hint="default"/>
          <w:spacing w:val="1"/>
        </w:rPr>
        <w:t> </w:t>
      </w:r>
      <w:r>
        <w:rPr>
          <w:rFonts w:ascii="宋体" w:hAnsi="宋体" w:cs="宋体" w:eastAsia="宋体" w:hint="default"/>
          <w:spacing w:val="-3"/>
        </w:rPr>
        <w:t>东、员工、社区环境等利益相关者的共同利益，未发生对社会、环境等方面产生</w:t>
      </w:r>
      <w:r>
        <w:rPr>
          <w:rFonts w:ascii="宋体" w:hAnsi="宋体" w:cs="宋体" w:eastAsia="宋体" w:hint="default"/>
          <w:spacing w:val="-110"/>
        </w:rPr>
        <w:t> </w:t>
      </w:r>
      <w:r>
        <w:rPr>
          <w:rFonts w:ascii="宋体" w:hAnsi="宋体" w:cs="宋体" w:eastAsia="宋体" w:hint="default"/>
          <w:spacing w:val="-110"/>
        </w:rPr>
      </w:r>
      <w:r>
        <w:rPr>
          <w:rFonts w:ascii="宋体" w:hAnsi="宋体" w:cs="宋体" w:eastAsia="宋体" w:hint="default"/>
        </w:rPr>
        <w:t>重大不利影响的事件。</w:t>
      </w:r>
    </w:p>
    <w:p>
      <w:pPr>
        <w:spacing w:line="240" w:lineRule="auto" w:before="3"/>
        <w:rPr>
          <w:rFonts w:ascii="宋体" w:hAnsi="宋体" w:cs="宋体" w:eastAsia="宋体" w:hint="default"/>
          <w:sz w:val="26"/>
          <w:szCs w:val="26"/>
        </w:rPr>
      </w:pPr>
    </w:p>
    <w:p>
      <w:pPr>
        <w:pStyle w:val="Heading7"/>
        <w:spacing w:line="240" w:lineRule="auto"/>
        <w:ind w:right="0"/>
        <w:jc w:val="left"/>
        <w:rPr>
          <w:b w:val="0"/>
          <w:bCs w:val="0"/>
        </w:rPr>
      </w:pPr>
      <w:r>
        <w:rPr/>
        <w:t>4、重要奖项</w:t>
      </w:r>
      <w:r>
        <w:rPr>
          <w:b w:val="0"/>
          <w:bCs w:val="0"/>
        </w:rPr>
      </w:r>
    </w:p>
    <w:p>
      <w:pPr>
        <w:spacing w:line="240" w:lineRule="auto" w:before="10"/>
        <w:rPr>
          <w:rFonts w:ascii="宋体" w:hAnsi="宋体" w:cs="宋体" w:eastAsia="宋体" w:hint="default"/>
          <w:b/>
          <w:bCs/>
          <w:sz w:val="30"/>
          <w:szCs w:val="30"/>
        </w:rPr>
      </w:pPr>
    </w:p>
    <w:p>
      <w:pPr>
        <w:pStyle w:val="BodyText"/>
        <w:spacing w:line="312" w:lineRule="exact"/>
        <w:ind w:left="560" w:right="137" w:hanging="420"/>
        <w:jc w:val="both"/>
        <w:rPr>
          <w:rFonts w:ascii="宋体" w:hAnsi="宋体" w:cs="宋体" w:eastAsia="宋体" w:hint="default"/>
        </w:rPr>
      </w:pPr>
      <w:r>
        <w:rPr>
          <w:rFonts w:ascii="Wingdings" w:hAnsi="Wingdings" w:cs="Wingdings" w:eastAsia="Wingdings" w:hint="default"/>
        </w:rPr>
        <w:t></w:t>
      </w:r>
      <w:r>
        <w:rPr>
          <w:rFonts w:ascii="Wingdings" w:hAnsi="Wingdings" w:cs="Wingdings" w:eastAsia="Wingdings" w:hint="default"/>
          <w:spacing w:val="-58"/>
        </w:rPr>
        <w:t></w:t>
      </w:r>
      <w:r>
        <w:rPr>
          <w:rFonts w:ascii="Times New Roman" w:hAnsi="Times New Roman" w:cs="Times New Roman" w:eastAsia="Times New Roman" w:hint="default"/>
          <w:spacing w:val="-58"/>
        </w:rPr>
      </w:r>
      <w:r>
        <w:rPr>
          <w:rFonts w:ascii="宋体" w:hAnsi="宋体" w:cs="宋体" w:eastAsia="宋体" w:hint="default"/>
        </w:rPr>
        <w:t>2009</w:t>
      </w:r>
      <w:r>
        <w:rPr>
          <w:rFonts w:ascii="宋体" w:hAnsi="宋体" w:cs="宋体" w:eastAsia="宋体" w:hint="default"/>
          <w:spacing w:val="-57"/>
        </w:rPr>
        <w:t> </w:t>
      </w:r>
      <w:r>
        <w:rPr>
          <w:rFonts w:ascii="宋体" w:hAnsi="宋体" w:cs="宋体" w:eastAsia="宋体" w:hint="default"/>
        </w:rPr>
        <w:t>年</w:t>
      </w:r>
      <w:r>
        <w:rPr>
          <w:rFonts w:ascii="宋体" w:hAnsi="宋体" w:cs="宋体" w:eastAsia="宋体" w:hint="default"/>
          <w:spacing w:val="-57"/>
        </w:rPr>
        <w:t> </w:t>
      </w:r>
      <w:r>
        <w:rPr>
          <w:rFonts w:ascii="宋体" w:hAnsi="宋体" w:cs="宋体" w:eastAsia="宋体" w:hint="default"/>
        </w:rPr>
        <w:t>2</w:t>
      </w:r>
      <w:r>
        <w:rPr>
          <w:rFonts w:ascii="宋体" w:hAnsi="宋体" w:cs="宋体" w:eastAsia="宋体" w:hint="default"/>
          <w:spacing w:val="-57"/>
        </w:rPr>
        <w:t> </w:t>
      </w:r>
      <w:r>
        <w:rPr>
          <w:rFonts w:ascii="宋体" w:hAnsi="宋体" w:cs="宋体" w:eastAsia="宋体" w:hint="default"/>
        </w:rPr>
        <w:t>月，东软第五次入围“全球</w:t>
      </w:r>
      <w:r>
        <w:rPr>
          <w:rFonts w:ascii="宋体" w:hAnsi="宋体" w:cs="宋体" w:eastAsia="宋体" w:hint="default"/>
          <w:spacing w:val="-57"/>
        </w:rPr>
        <w:t> </w:t>
      </w:r>
      <w:r>
        <w:rPr>
          <w:rFonts w:ascii="宋体" w:hAnsi="宋体" w:cs="宋体" w:eastAsia="宋体" w:hint="default"/>
        </w:rPr>
        <w:t>IT</w:t>
      </w:r>
      <w:r>
        <w:rPr>
          <w:rFonts w:ascii="宋体" w:hAnsi="宋体" w:cs="宋体" w:eastAsia="宋体" w:hint="default"/>
          <w:spacing w:val="-57"/>
        </w:rPr>
        <w:t> </w:t>
      </w:r>
      <w:r>
        <w:rPr>
          <w:rFonts w:ascii="宋体" w:hAnsi="宋体" w:cs="宋体" w:eastAsia="宋体" w:hint="default"/>
        </w:rPr>
        <w:t>服务</w:t>
      </w:r>
      <w:r>
        <w:rPr>
          <w:rFonts w:ascii="宋体" w:hAnsi="宋体" w:cs="宋体" w:eastAsia="宋体" w:hint="default"/>
          <w:spacing w:val="-57"/>
        </w:rPr>
        <w:t> </w:t>
      </w:r>
      <w:r>
        <w:rPr>
          <w:rFonts w:ascii="宋体" w:hAnsi="宋体" w:cs="宋体" w:eastAsia="宋体" w:hint="default"/>
        </w:rPr>
        <w:t>100</w:t>
      </w:r>
      <w:r>
        <w:rPr>
          <w:rFonts w:ascii="宋体" w:hAnsi="宋体" w:cs="宋体" w:eastAsia="宋体" w:hint="default"/>
          <w:spacing w:val="-57"/>
        </w:rPr>
        <w:t> </w:t>
      </w:r>
      <w:r>
        <w:rPr>
          <w:rFonts w:ascii="宋体" w:hAnsi="宋体" w:cs="宋体" w:eastAsia="宋体" w:hint="default"/>
        </w:rPr>
        <w:t>强”名单，并蝉联“亚洲</w:t>
      </w:r>
      <w:r>
        <w:rPr>
          <w:rFonts w:ascii="宋体" w:hAnsi="宋体" w:cs="宋体" w:eastAsia="宋体" w:hint="default"/>
        </w:rPr>
        <w:t> 新兴外包</w:t>
      </w:r>
      <w:r>
        <w:rPr>
          <w:rFonts w:ascii="宋体" w:hAnsi="宋体" w:cs="宋体" w:eastAsia="宋体" w:hint="default"/>
          <w:spacing w:val="-46"/>
        </w:rPr>
        <w:t> </w:t>
      </w:r>
      <w:r>
        <w:rPr>
          <w:rFonts w:ascii="宋体" w:hAnsi="宋体" w:cs="宋体" w:eastAsia="宋体" w:hint="default"/>
        </w:rPr>
        <w:t>10</w:t>
      </w:r>
      <w:r>
        <w:rPr>
          <w:rFonts w:ascii="宋体" w:hAnsi="宋体" w:cs="宋体" w:eastAsia="宋体" w:hint="default"/>
          <w:spacing w:val="-46"/>
        </w:rPr>
        <w:t> </w:t>
      </w:r>
      <w:r>
        <w:rPr>
          <w:rFonts w:ascii="宋体" w:hAnsi="宋体" w:cs="宋体" w:eastAsia="宋体" w:hint="default"/>
        </w:rPr>
        <w:t>强”榜首，同时入围全球“最佳表现</w:t>
      </w:r>
      <w:r>
        <w:rPr>
          <w:rFonts w:ascii="宋体" w:hAnsi="宋体" w:cs="宋体" w:eastAsia="宋体" w:hint="default"/>
          <w:spacing w:val="-46"/>
        </w:rPr>
        <w:t> </w:t>
      </w:r>
      <w:r>
        <w:rPr>
          <w:rFonts w:ascii="宋体" w:hAnsi="宋体" w:cs="宋体" w:eastAsia="宋体" w:hint="default"/>
        </w:rPr>
        <w:t>IT</w:t>
      </w:r>
      <w:r>
        <w:rPr>
          <w:rFonts w:ascii="宋体" w:hAnsi="宋体" w:cs="宋体" w:eastAsia="宋体" w:hint="default"/>
          <w:spacing w:val="-46"/>
        </w:rPr>
        <w:t> </w:t>
      </w:r>
      <w:r>
        <w:rPr>
          <w:rFonts w:ascii="宋体" w:hAnsi="宋体" w:cs="宋体" w:eastAsia="宋体" w:hint="default"/>
        </w:rPr>
        <w:t>服务提供商</w:t>
      </w:r>
      <w:r>
        <w:rPr>
          <w:rFonts w:ascii="宋体" w:hAnsi="宋体" w:cs="宋体" w:eastAsia="宋体" w:hint="default"/>
          <w:spacing w:val="-46"/>
        </w:rPr>
        <w:t> </w:t>
      </w:r>
      <w:r>
        <w:rPr>
          <w:rFonts w:ascii="宋体" w:hAnsi="宋体" w:cs="宋体" w:eastAsia="宋体" w:hint="default"/>
        </w:rPr>
        <w:t>10</w:t>
      </w:r>
      <w:r>
        <w:rPr>
          <w:rFonts w:ascii="宋体" w:hAnsi="宋体" w:cs="宋体" w:eastAsia="宋体" w:hint="default"/>
          <w:spacing w:val="-46"/>
        </w:rPr>
        <w:t> </w:t>
      </w:r>
      <w:r>
        <w:rPr>
          <w:rFonts w:ascii="宋体" w:hAnsi="宋体" w:cs="宋体" w:eastAsia="宋体" w:hint="default"/>
        </w:rPr>
        <w:t>强”和</w:t>
      </w:r>
      <w:r>
        <w:rPr>
          <w:rFonts w:ascii="宋体" w:hAnsi="宋体" w:cs="宋体" w:eastAsia="宋体" w:hint="default"/>
        </w:rPr>
        <w:t> “人力资本发展</w:t>
      </w:r>
      <w:r>
        <w:rPr>
          <w:rFonts w:ascii="宋体" w:hAnsi="宋体" w:cs="宋体" w:eastAsia="宋体" w:hint="default"/>
          <w:spacing w:val="-60"/>
        </w:rPr>
        <w:t> </w:t>
      </w:r>
      <w:r>
        <w:rPr>
          <w:rFonts w:ascii="宋体" w:hAnsi="宋体" w:cs="宋体" w:eastAsia="宋体" w:hint="default"/>
        </w:rPr>
        <w:t>10</w:t>
      </w:r>
      <w:r>
        <w:rPr>
          <w:rFonts w:ascii="宋体" w:hAnsi="宋体" w:cs="宋体" w:eastAsia="宋体" w:hint="default"/>
          <w:spacing w:val="-60"/>
        </w:rPr>
        <w:t> </w:t>
      </w:r>
      <w:r>
        <w:rPr>
          <w:rFonts w:ascii="宋体" w:hAnsi="宋体" w:cs="宋体" w:eastAsia="宋体" w:hint="default"/>
        </w:rPr>
        <w:t>强”</w:t>
      </w:r>
    </w:p>
    <w:p>
      <w:pPr>
        <w:pStyle w:val="BodyText"/>
        <w:spacing w:line="240" w:lineRule="auto" w:before="125"/>
        <w:ind w:right="0"/>
        <w:jc w:val="left"/>
        <w:rPr>
          <w:rFonts w:ascii="宋体" w:hAnsi="宋体" w:cs="宋体" w:eastAsia="宋体" w:hint="default"/>
        </w:rPr>
      </w:pPr>
      <w:r>
        <w:rPr>
          <w:rFonts w:ascii="Wingdings" w:hAnsi="Wingdings" w:cs="Wingdings" w:eastAsia="Wingdings" w:hint="default"/>
        </w:rPr>
        <w:t></w:t>
      </w:r>
      <w:r>
        <w:rPr>
          <w:rFonts w:ascii="Wingdings" w:hAnsi="Wingdings" w:cs="Wingdings" w:eastAsia="Wingdings" w:hint="default"/>
          <w:spacing w:val="-58"/>
        </w:rPr>
        <w:t></w:t>
      </w:r>
      <w:r>
        <w:rPr>
          <w:rFonts w:ascii="Times New Roman" w:hAnsi="Times New Roman" w:cs="Times New Roman" w:eastAsia="Times New Roman" w:hint="default"/>
          <w:spacing w:val="-58"/>
        </w:rPr>
      </w:r>
      <w:r>
        <w:rPr>
          <w:rFonts w:ascii="宋体" w:hAnsi="宋体" w:cs="宋体" w:eastAsia="宋体" w:hint="default"/>
        </w:rPr>
        <w:t>2009</w:t>
      </w:r>
      <w:r>
        <w:rPr>
          <w:rFonts w:ascii="宋体" w:hAnsi="宋体" w:cs="宋体" w:eastAsia="宋体" w:hint="default"/>
          <w:spacing w:val="-60"/>
        </w:rPr>
        <w:t> </w:t>
      </w:r>
      <w:r>
        <w:rPr>
          <w:rFonts w:ascii="宋体" w:hAnsi="宋体" w:cs="宋体" w:eastAsia="宋体" w:hint="default"/>
        </w:rPr>
        <w:t>年</w:t>
      </w:r>
      <w:r>
        <w:rPr>
          <w:rFonts w:ascii="宋体" w:hAnsi="宋体" w:cs="宋体" w:eastAsia="宋体" w:hint="default"/>
          <w:spacing w:val="-60"/>
        </w:rPr>
        <w:t> </w:t>
      </w:r>
      <w:r>
        <w:rPr>
          <w:rFonts w:ascii="宋体" w:hAnsi="宋体" w:cs="宋体" w:eastAsia="宋体" w:hint="default"/>
        </w:rPr>
        <w:t>3</w:t>
      </w:r>
      <w:r>
        <w:rPr>
          <w:rFonts w:ascii="宋体" w:hAnsi="宋体" w:cs="宋体" w:eastAsia="宋体" w:hint="default"/>
          <w:spacing w:val="-60"/>
        </w:rPr>
        <w:t> </w:t>
      </w:r>
      <w:r>
        <w:rPr>
          <w:rFonts w:ascii="宋体" w:hAnsi="宋体" w:cs="宋体" w:eastAsia="宋体" w:hint="default"/>
        </w:rPr>
        <w:t>月，东软获得“2008</w:t>
      </w:r>
      <w:r>
        <w:rPr>
          <w:rFonts w:ascii="宋体" w:hAnsi="宋体" w:cs="宋体" w:eastAsia="宋体" w:hint="default"/>
          <w:spacing w:val="-60"/>
        </w:rPr>
        <w:t> </w:t>
      </w:r>
      <w:r>
        <w:rPr>
          <w:rFonts w:ascii="宋体" w:hAnsi="宋体" w:cs="宋体" w:eastAsia="宋体" w:hint="default"/>
        </w:rPr>
        <w:t>最佳表现公司</w:t>
      </w:r>
      <w:r>
        <w:rPr>
          <w:rFonts w:ascii="宋体" w:hAnsi="宋体" w:cs="宋体" w:eastAsia="宋体" w:hint="default"/>
          <w:spacing w:val="-60"/>
        </w:rPr>
        <w:t> </w:t>
      </w:r>
      <w:r>
        <w:rPr>
          <w:rFonts w:ascii="宋体" w:hAnsi="宋体" w:cs="宋体" w:eastAsia="宋体" w:hint="default"/>
        </w:rPr>
        <w:t>50</w:t>
      </w:r>
      <w:r>
        <w:rPr>
          <w:rFonts w:ascii="宋体" w:hAnsi="宋体" w:cs="宋体" w:eastAsia="宋体" w:hint="default"/>
          <w:spacing w:val="-60"/>
        </w:rPr>
        <w:t> </w:t>
      </w:r>
      <w:r>
        <w:rPr>
          <w:rFonts w:ascii="宋体" w:hAnsi="宋体" w:cs="宋体" w:eastAsia="宋体" w:hint="default"/>
        </w:rPr>
        <w:t>强”殊荣</w:t>
      </w:r>
    </w:p>
    <w:p>
      <w:pPr>
        <w:pStyle w:val="BodyText"/>
        <w:spacing w:line="240" w:lineRule="auto" w:before="137"/>
        <w:ind w:right="0"/>
        <w:jc w:val="left"/>
        <w:rPr>
          <w:rFonts w:ascii="宋体" w:hAnsi="宋体" w:cs="宋体" w:eastAsia="宋体" w:hint="default"/>
        </w:rPr>
      </w:pPr>
      <w:r>
        <w:rPr>
          <w:rFonts w:ascii="Wingdings" w:hAnsi="Wingdings" w:cs="Wingdings" w:eastAsia="Wingdings" w:hint="default"/>
        </w:rPr>
        <w:t></w:t>
      </w:r>
      <w:r>
        <w:rPr>
          <w:rFonts w:ascii="Wingdings" w:hAnsi="Wingdings" w:cs="Wingdings" w:eastAsia="Wingdings" w:hint="default"/>
          <w:spacing w:val="-58"/>
        </w:rPr>
        <w:t></w:t>
      </w:r>
      <w:r>
        <w:rPr>
          <w:rFonts w:ascii="Times New Roman" w:hAnsi="Times New Roman" w:cs="Times New Roman" w:eastAsia="Times New Roman" w:hint="default"/>
          <w:spacing w:val="-58"/>
        </w:rPr>
      </w:r>
      <w:r>
        <w:rPr>
          <w:rFonts w:ascii="宋体" w:hAnsi="宋体" w:cs="宋体" w:eastAsia="宋体" w:hint="default"/>
        </w:rPr>
        <w:t>2009</w:t>
      </w:r>
      <w:r>
        <w:rPr>
          <w:rFonts w:ascii="宋体" w:hAnsi="宋体" w:cs="宋体" w:eastAsia="宋体" w:hint="default"/>
          <w:spacing w:val="-60"/>
        </w:rPr>
        <w:t> </w:t>
      </w:r>
      <w:r>
        <w:rPr>
          <w:rFonts w:ascii="宋体" w:hAnsi="宋体" w:cs="宋体" w:eastAsia="宋体" w:hint="default"/>
        </w:rPr>
        <w:t>年</w:t>
      </w:r>
      <w:r>
        <w:rPr>
          <w:rFonts w:ascii="宋体" w:hAnsi="宋体" w:cs="宋体" w:eastAsia="宋体" w:hint="default"/>
          <w:spacing w:val="-60"/>
        </w:rPr>
        <w:t> </w:t>
      </w:r>
      <w:r>
        <w:rPr>
          <w:rFonts w:ascii="宋体" w:hAnsi="宋体" w:cs="宋体" w:eastAsia="宋体" w:hint="default"/>
        </w:rPr>
        <w:t>4</w:t>
      </w:r>
      <w:r>
        <w:rPr>
          <w:rFonts w:ascii="宋体" w:hAnsi="宋体" w:cs="宋体" w:eastAsia="宋体" w:hint="default"/>
          <w:spacing w:val="-60"/>
        </w:rPr>
        <w:t> </w:t>
      </w:r>
      <w:r>
        <w:rPr>
          <w:rFonts w:ascii="宋体" w:hAnsi="宋体" w:cs="宋体" w:eastAsia="宋体" w:hint="default"/>
        </w:rPr>
        <w:t>月，东软进入“2008</w:t>
      </w:r>
      <w:r>
        <w:rPr>
          <w:rFonts w:ascii="宋体" w:hAnsi="宋体" w:cs="宋体" w:eastAsia="宋体" w:hint="default"/>
          <w:spacing w:val="-60"/>
        </w:rPr>
        <w:t> </w:t>
      </w:r>
      <w:r>
        <w:rPr>
          <w:rFonts w:ascii="宋体" w:hAnsi="宋体" w:cs="宋体" w:eastAsia="宋体" w:hint="default"/>
        </w:rPr>
        <w:t>中国上市公司价值百强”</w:t>
      </w:r>
    </w:p>
    <w:p>
      <w:pPr>
        <w:pStyle w:val="BodyText"/>
        <w:spacing w:line="240" w:lineRule="auto" w:before="137"/>
        <w:ind w:right="0"/>
        <w:jc w:val="left"/>
        <w:rPr>
          <w:rFonts w:ascii="宋体" w:hAnsi="宋体" w:cs="宋体" w:eastAsia="宋体" w:hint="default"/>
        </w:rPr>
      </w:pPr>
      <w:r>
        <w:rPr>
          <w:rFonts w:ascii="Wingdings" w:hAnsi="Wingdings" w:cs="Wingdings" w:eastAsia="Wingdings" w:hint="default"/>
        </w:rPr>
        <w:t></w:t>
      </w:r>
      <w:r>
        <w:rPr>
          <w:rFonts w:ascii="Wingdings" w:hAnsi="Wingdings" w:cs="Wingdings" w:eastAsia="Wingdings" w:hint="default"/>
          <w:spacing w:val="-58"/>
        </w:rPr>
        <w:t></w:t>
      </w:r>
      <w:r>
        <w:rPr>
          <w:rFonts w:ascii="Times New Roman" w:hAnsi="Times New Roman" w:cs="Times New Roman" w:eastAsia="Times New Roman" w:hint="default"/>
          <w:spacing w:val="-58"/>
        </w:rPr>
      </w:r>
      <w:r>
        <w:rPr>
          <w:rFonts w:ascii="宋体" w:hAnsi="宋体" w:cs="宋体" w:eastAsia="宋体" w:hint="default"/>
        </w:rPr>
        <w:t>2009</w:t>
      </w:r>
      <w:r>
        <w:rPr>
          <w:rFonts w:ascii="宋体" w:hAnsi="宋体" w:cs="宋体" w:eastAsia="宋体" w:hint="default"/>
          <w:spacing w:val="-60"/>
        </w:rPr>
        <w:t> </w:t>
      </w:r>
      <w:r>
        <w:rPr>
          <w:rFonts w:ascii="宋体" w:hAnsi="宋体" w:cs="宋体" w:eastAsia="宋体" w:hint="default"/>
        </w:rPr>
        <w:t>年</w:t>
      </w:r>
      <w:r>
        <w:rPr>
          <w:rFonts w:ascii="宋体" w:hAnsi="宋体" w:cs="宋体" w:eastAsia="宋体" w:hint="default"/>
          <w:spacing w:val="-60"/>
        </w:rPr>
        <w:t> </w:t>
      </w:r>
      <w:r>
        <w:rPr>
          <w:rFonts w:ascii="宋体" w:hAnsi="宋体" w:cs="宋体" w:eastAsia="宋体" w:hint="default"/>
        </w:rPr>
        <w:t>6</w:t>
      </w:r>
      <w:r>
        <w:rPr>
          <w:rFonts w:ascii="宋体" w:hAnsi="宋体" w:cs="宋体" w:eastAsia="宋体" w:hint="default"/>
          <w:spacing w:val="-60"/>
        </w:rPr>
        <w:t> </w:t>
      </w:r>
      <w:r>
        <w:rPr>
          <w:rFonts w:ascii="宋体" w:hAnsi="宋体" w:cs="宋体" w:eastAsia="宋体" w:hint="default"/>
        </w:rPr>
        <w:t>月，东软进入“2009</w:t>
      </w:r>
      <w:r>
        <w:rPr>
          <w:rFonts w:ascii="宋体" w:hAnsi="宋体" w:cs="宋体" w:eastAsia="宋体" w:hint="default"/>
          <w:spacing w:val="-60"/>
        </w:rPr>
        <w:t> </w:t>
      </w:r>
      <w:r>
        <w:rPr>
          <w:rFonts w:ascii="宋体" w:hAnsi="宋体" w:cs="宋体" w:eastAsia="宋体" w:hint="default"/>
        </w:rPr>
        <w:t>快乐竞争力公司</w:t>
      </w:r>
      <w:r>
        <w:rPr>
          <w:rFonts w:ascii="宋体" w:hAnsi="宋体" w:cs="宋体" w:eastAsia="宋体" w:hint="default"/>
          <w:spacing w:val="-60"/>
        </w:rPr>
        <w:t> </w:t>
      </w:r>
      <w:r>
        <w:rPr>
          <w:rFonts w:ascii="宋体" w:hAnsi="宋体" w:cs="宋体" w:eastAsia="宋体" w:hint="default"/>
        </w:rPr>
        <w:t>20</w:t>
      </w:r>
      <w:r>
        <w:rPr>
          <w:rFonts w:ascii="宋体" w:hAnsi="宋体" w:cs="宋体" w:eastAsia="宋体" w:hint="default"/>
          <w:spacing w:val="-60"/>
        </w:rPr>
        <w:t> </w:t>
      </w:r>
      <w:r>
        <w:rPr>
          <w:rFonts w:ascii="宋体" w:hAnsi="宋体" w:cs="宋体" w:eastAsia="宋体" w:hint="default"/>
        </w:rPr>
        <w:t>强”</w:t>
      </w:r>
    </w:p>
    <w:p>
      <w:pPr>
        <w:pStyle w:val="BodyText"/>
        <w:spacing w:line="312" w:lineRule="exact" w:before="167"/>
        <w:ind w:left="560" w:right="119" w:hanging="420"/>
        <w:jc w:val="left"/>
        <w:rPr>
          <w:rFonts w:ascii="宋体" w:hAnsi="宋体" w:cs="宋体" w:eastAsia="宋体" w:hint="default"/>
        </w:rPr>
      </w:pPr>
      <w:r>
        <w:rPr>
          <w:rFonts w:ascii="Wingdings" w:hAnsi="Wingdings" w:cs="Wingdings" w:eastAsia="Wingdings" w:hint="default"/>
        </w:rPr>
        <w:t></w:t>
      </w:r>
      <w:r>
        <w:rPr>
          <w:rFonts w:ascii="Times New Roman" w:hAnsi="Times New Roman" w:cs="Times New Roman" w:eastAsia="Times New Roman" w:hint="default"/>
        </w:rPr>
      </w:r>
      <w:r>
        <w:rPr>
          <w:rFonts w:ascii="宋体" w:hAnsi="宋体" w:cs="宋体" w:eastAsia="宋体" w:hint="default"/>
          <w:spacing w:val="20"/>
        </w:rPr>
        <w:t>2009年7</w:t>
      </w:r>
      <w:r>
        <w:rPr>
          <w:rFonts w:ascii="宋体" w:hAnsi="宋体" w:cs="宋体" w:eastAsia="宋体" w:hint="default"/>
          <w:spacing w:val="-96"/>
        </w:rPr>
        <w:t> </w:t>
      </w:r>
      <w:r>
        <w:rPr>
          <w:rFonts w:ascii="宋体" w:hAnsi="宋体" w:cs="宋体" w:eastAsia="宋体" w:hint="default"/>
          <w:spacing w:val="-4"/>
        </w:rPr>
        <w:t>月，东软荣获“中国最佳客户服务”、“中国最佳外包服务商”称</w:t>
      </w:r>
      <w:r>
        <w:rPr>
          <w:rFonts w:ascii="宋体" w:hAnsi="宋体" w:cs="宋体" w:eastAsia="宋体" w:hint="default"/>
        </w:rPr>
        <w:t> 号</w:t>
      </w:r>
    </w:p>
    <w:p>
      <w:pPr>
        <w:pStyle w:val="BodyText"/>
        <w:spacing w:line="240" w:lineRule="auto" w:before="125"/>
        <w:ind w:right="0"/>
        <w:jc w:val="left"/>
        <w:rPr>
          <w:rFonts w:ascii="宋体" w:hAnsi="宋体" w:cs="宋体" w:eastAsia="宋体" w:hint="default"/>
        </w:rPr>
      </w:pPr>
      <w:r>
        <w:rPr>
          <w:rFonts w:ascii="Wingdings" w:hAnsi="Wingdings" w:cs="Wingdings" w:eastAsia="Wingdings" w:hint="default"/>
        </w:rPr>
        <w:t></w:t>
      </w:r>
      <w:r>
        <w:rPr>
          <w:rFonts w:ascii="Wingdings" w:hAnsi="Wingdings" w:cs="Wingdings" w:eastAsia="Wingdings" w:hint="default"/>
          <w:spacing w:val="-56"/>
        </w:rPr>
        <w:t></w:t>
      </w:r>
      <w:r>
        <w:rPr>
          <w:rFonts w:ascii="Times New Roman" w:hAnsi="Times New Roman" w:cs="Times New Roman" w:eastAsia="Times New Roman" w:hint="default"/>
          <w:spacing w:val="-56"/>
        </w:rPr>
      </w:r>
      <w:r>
        <w:rPr>
          <w:rFonts w:ascii="宋体" w:hAnsi="宋体" w:cs="宋体" w:eastAsia="宋体" w:hint="default"/>
          <w:spacing w:val="20"/>
        </w:rPr>
        <w:t>2009年8</w:t>
      </w:r>
      <w:r>
        <w:rPr>
          <w:rFonts w:ascii="宋体" w:hAnsi="宋体" w:cs="宋体" w:eastAsia="宋体" w:hint="default"/>
          <w:spacing w:val="-60"/>
        </w:rPr>
        <w:t> </w:t>
      </w:r>
      <w:r>
        <w:rPr>
          <w:rFonts w:ascii="宋体" w:hAnsi="宋体" w:cs="宋体" w:eastAsia="宋体" w:hint="default"/>
          <w:spacing w:val="-6"/>
        </w:rPr>
        <w:t>月，东软成为入选</w:t>
      </w:r>
      <w:r>
        <w:rPr>
          <w:rFonts w:ascii="宋体" w:hAnsi="宋体" w:cs="宋体" w:eastAsia="宋体" w:hint="default"/>
          <w:spacing w:val="-60"/>
        </w:rPr>
        <w:t> </w:t>
      </w:r>
      <w:r>
        <w:rPr>
          <w:rFonts w:ascii="宋体" w:hAnsi="宋体" w:cs="宋体" w:eastAsia="宋体" w:hint="default"/>
          <w:spacing w:val="-7"/>
        </w:rPr>
        <w:t>CCTV“60</w:t>
      </w:r>
      <w:r>
        <w:rPr>
          <w:rFonts w:ascii="宋体" w:hAnsi="宋体" w:cs="宋体" w:eastAsia="宋体" w:hint="default"/>
          <w:spacing w:val="-60"/>
        </w:rPr>
        <w:t> </w:t>
      </w:r>
      <w:r>
        <w:rPr>
          <w:rFonts w:ascii="宋体" w:hAnsi="宋体" w:cs="宋体" w:eastAsia="宋体" w:hint="default"/>
        </w:rPr>
        <w:t>年</w:t>
      </w:r>
      <w:r>
        <w:rPr>
          <w:rFonts w:ascii="宋体" w:hAnsi="宋体" w:cs="宋体" w:eastAsia="宋体" w:hint="default"/>
          <w:spacing w:val="-60"/>
        </w:rPr>
        <w:t> </w:t>
      </w:r>
      <w:r>
        <w:rPr>
          <w:rFonts w:ascii="宋体" w:hAnsi="宋体" w:cs="宋体" w:eastAsia="宋体" w:hint="default"/>
        </w:rPr>
        <w:t>60</w:t>
      </w:r>
      <w:r>
        <w:rPr>
          <w:rFonts w:ascii="宋体" w:hAnsi="宋体" w:cs="宋体" w:eastAsia="宋体" w:hint="default"/>
          <w:spacing w:val="-60"/>
        </w:rPr>
        <w:t> </w:t>
      </w:r>
      <w:r>
        <w:rPr>
          <w:rFonts w:ascii="宋体" w:hAnsi="宋体" w:cs="宋体" w:eastAsia="宋体" w:hint="default"/>
        </w:rPr>
        <w:t>品牌”的唯一软件与服务业企业</w:t>
      </w:r>
    </w:p>
    <w:p>
      <w:pPr>
        <w:pStyle w:val="BodyText"/>
        <w:spacing w:line="240" w:lineRule="auto" w:before="137"/>
        <w:ind w:right="0"/>
        <w:jc w:val="left"/>
        <w:rPr>
          <w:rFonts w:ascii="宋体" w:hAnsi="宋体" w:cs="宋体" w:eastAsia="宋体" w:hint="default"/>
        </w:rPr>
      </w:pPr>
      <w:r>
        <w:rPr>
          <w:rFonts w:ascii="Wingdings" w:hAnsi="Wingdings" w:cs="Wingdings" w:eastAsia="Wingdings" w:hint="default"/>
        </w:rPr>
        <w:t></w:t>
      </w:r>
      <w:r>
        <w:rPr>
          <w:rFonts w:ascii="Wingdings" w:hAnsi="Wingdings" w:cs="Wingdings" w:eastAsia="Wingdings" w:hint="default"/>
          <w:spacing w:val="-58"/>
        </w:rPr>
        <w:t></w:t>
      </w:r>
      <w:r>
        <w:rPr>
          <w:rFonts w:ascii="Times New Roman" w:hAnsi="Times New Roman" w:cs="Times New Roman" w:eastAsia="Times New Roman" w:hint="default"/>
          <w:spacing w:val="-58"/>
        </w:rPr>
      </w:r>
      <w:r>
        <w:rPr>
          <w:rFonts w:ascii="宋体" w:hAnsi="宋体" w:cs="宋体" w:eastAsia="宋体" w:hint="default"/>
        </w:rPr>
        <w:t>2009</w:t>
      </w:r>
      <w:r>
        <w:rPr>
          <w:rFonts w:ascii="宋体" w:hAnsi="宋体" w:cs="宋体" w:eastAsia="宋体" w:hint="default"/>
          <w:spacing w:val="-60"/>
        </w:rPr>
        <w:t> </w:t>
      </w:r>
      <w:r>
        <w:rPr>
          <w:rFonts w:ascii="宋体" w:hAnsi="宋体" w:cs="宋体" w:eastAsia="宋体" w:hint="default"/>
        </w:rPr>
        <w:t>年</w:t>
      </w:r>
      <w:r>
        <w:rPr>
          <w:rFonts w:ascii="宋体" w:hAnsi="宋体" w:cs="宋体" w:eastAsia="宋体" w:hint="default"/>
          <w:spacing w:val="-60"/>
        </w:rPr>
        <w:t> </w:t>
      </w:r>
      <w:r>
        <w:rPr>
          <w:rFonts w:ascii="宋体" w:hAnsi="宋体" w:cs="宋体" w:eastAsia="宋体" w:hint="default"/>
        </w:rPr>
        <w:t>9</w:t>
      </w:r>
      <w:r>
        <w:rPr>
          <w:rFonts w:ascii="宋体" w:hAnsi="宋体" w:cs="宋体" w:eastAsia="宋体" w:hint="default"/>
          <w:spacing w:val="-60"/>
        </w:rPr>
        <w:t> </w:t>
      </w:r>
      <w:r>
        <w:rPr>
          <w:rFonts w:ascii="宋体" w:hAnsi="宋体" w:cs="宋体" w:eastAsia="宋体" w:hint="default"/>
        </w:rPr>
        <w:t>月，东软荣获“2009</w:t>
      </w:r>
      <w:r>
        <w:rPr>
          <w:rFonts w:ascii="宋体" w:hAnsi="宋体" w:cs="宋体" w:eastAsia="宋体" w:hint="default"/>
          <w:spacing w:val="-60"/>
        </w:rPr>
        <w:t> </w:t>
      </w:r>
      <w:r>
        <w:rPr>
          <w:rFonts w:ascii="宋体" w:hAnsi="宋体" w:cs="宋体" w:eastAsia="宋体" w:hint="default"/>
        </w:rPr>
        <w:t>中国最佳人力资源典范企业”称号</w:t>
      </w:r>
    </w:p>
    <w:p>
      <w:pPr>
        <w:pStyle w:val="BodyText"/>
        <w:spacing w:line="240" w:lineRule="auto" w:before="137"/>
        <w:ind w:right="0"/>
        <w:jc w:val="left"/>
        <w:rPr>
          <w:rFonts w:ascii="宋体" w:hAnsi="宋体" w:cs="宋体" w:eastAsia="宋体" w:hint="default"/>
        </w:rPr>
      </w:pPr>
      <w:r>
        <w:rPr>
          <w:rFonts w:ascii="Wingdings" w:hAnsi="Wingdings" w:cs="Wingdings" w:eastAsia="Wingdings" w:hint="default"/>
        </w:rPr>
        <w:t></w:t>
      </w:r>
      <w:r>
        <w:rPr>
          <w:rFonts w:ascii="Wingdings" w:hAnsi="Wingdings" w:cs="Wingdings" w:eastAsia="Wingdings" w:hint="default"/>
          <w:spacing w:val="-58"/>
        </w:rPr>
        <w:t></w:t>
      </w:r>
      <w:r>
        <w:rPr>
          <w:rFonts w:ascii="Times New Roman" w:hAnsi="Times New Roman" w:cs="Times New Roman" w:eastAsia="Times New Roman" w:hint="default"/>
          <w:spacing w:val="-58"/>
        </w:rPr>
      </w:r>
      <w:r>
        <w:rPr>
          <w:rFonts w:ascii="宋体" w:hAnsi="宋体" w:cs="宋体" w:eastAsia="宋体" w:hint="default"/>
        </w:rPr>
        <w:t>2009</w:t>
      </w:r>
      <w:r>
        <w:rPr>
          <w:rFonts w:ascii="宋体" w:hAnsi="宋体" w:cs="宋体" w:eastAsia="宋体" w:hint="default"/>
          <w:spacing w:val="-60"/>
        </w:rPr>
        <w:t> </w:t>
      </w:r>
      <w:r>
        <w:rPr>
          <w:rFonts w:ascii="宋体" w:hAnsi="宋体" w:cs="宋体" w:eastAsia="宋体" w:hint="default"/>
        </w:rPr>
        <w:t>年</w:t>
      </w:r>
      <w:r>
        <w:rPr>
          <w:rFonts w:ascii="宋体" w:hAnsi="宋体" w:cs="宋体" w:eastAsia="宋体" w:hint="default"/>
          <w:spacing w:val="-60"/>
        </w:rPr>
        <w:t> </w:t>
      </w:r>
      <w:r>
        <w:rPr>
          <w:rFonts w:ascii="宋体" w:hAnsi="宋体" w:cs="宋体" w:eastAsia="宋体" w:hint="default"/>
        </w:rPr>
        <w:t>9</w:t>
      </w:r>
      <w:r>
        <w:rPr>
          <w:rFonts w:ascii="宋体" w:hAnsi="宋体" w:cs="宋体" w:eastAsia="宋体" w:hint="default"/>
          <w:spacing w:val="-60"/>
        </w:rPr>
        <w:t> </w:t>
      </w:r>
      <w:r>
        <w:rPr>
          <w:rFonts w:ascii="宋体" w:hAnsi="宋体" w:cs="宋体" w:eastAsia="宋体" w:hint="default"/>
        </w:rPr>
        <w:t>月，东软进入</w:t>
      </w:r>
      <w:r>
        <w:rPr>
          <w:rFonts w:ascii="宋体" w:hAnsi="宋体" w:cs="宋体" w:eastAsia="宋体" w:hint="default"/>
          <w:spacing w:val="-60"/>
        </w:rPr>
        <w:t> </w:t>
      </w:r>
      <w:r>
        <w:rPr>
          <w:rFonts w:ascii="宋体" w:hAnsi="宋体" w:cs="宋体" w:eastAsia="宋体" w:hint="default"/>
        </w:rPr>
        <w:t>2009</w:t>
      </w:r>
      <w:r>
        <w:rPr>
          <w:rFonts w:ascii="宋体" w:hAnsi="宋体" w:cs="宋体" w:eastAsia="宋体" w:hint="default"/>
          <w:spacing w:val="-60"/>
        </w:rPr>
        <w:t> </w:t>
      </w:r>
      <w:r>
        <w:rPr>
          <w:rFonts w:ascii="宋体" w:hAnsi="宋体" w:cs="宋体" w:eastAsia="宋体" w:hint="default"/>
        </w:rPr>
        <w:t>年“最具全球竞争力中国公司</w:t>
      </w:r>
      <w:r>
        <w:rPr>
          <w:rFonts w:ascii="宋体" w:hAnsi="宋体" w:cs="宋体" w:eastAsia="宋体" w:hint="default"/>
          <w:spacing w:val="-60"/>
        </w:rPr>
        <w:t> </w:t>
      </w:r>
      <w:r>
        <w:rPr>
          <w:rFonts w:ascii="宋体" w:hAnsi="宋体" w:cs="宋体" w:eastAsia="宋体" w:hint="default"/>
        </w:rPr>
        <w:t>20</w:t>
      </w:r>
      <w:r>
        <w:rPr>
          <w:rFonts w:ascii="宋体" w:hAnsi="宋体" w:cs="宋体" w:eastAsia="宋体" w:hint="default"/>
          <w:spacing w:val="-60"/>
        </w:rPr>
        <w:t> </w:t>
      </w:r>
      <w:r>
        <w:rPr>
          <w:rFonts w:ascii="宋体" w:hAnsi="宋体" w:cs="宋体" w:eastAsia="宋体" w:hint="default"/>
        </w:rPr>
        <w:t>强”</w:t>
      </w:r>
    </w:p>
    <w:p>
      <w:pPr>
        <w:pStyle w:val="BodyText"/>
        <w:spacing w:line="240" w:lineRule="auto" w:before="137"/>
        <w:ind w:right="0"/>
        <w:jc w:val="left"/>
        <w:rPr>
          <w:rFonts w:ascii="宋体" w:hAnsi="宋体" w:cs="宋体" w:eastAsia="宋体" w:hint="default"/>
        </w:rPr>
      </w:pPr>
      <w:r>
        <w:rPr>
          <w:rFonts w:ascii="Wingdings" w:hAnsi="Wingdings" w:cs="Wingdings" w:eastAsia="Wingdings" w:hint="default"/>
        </w:rPr>
        <w:t></w:t>
      </w:r>
      <w:r>
        <w:rPr>
          <w:rFonts w:ascii="Wingdings" w:hAnsi="Wingdings" w:cs="Wingdings" w:eastAsia="Wingdings" w:hint="default"/>
          <w:spacing w:val="-58"/>
        </w:rPr>
        <w:t></w:t>
      </w:r>
      <w:r>
        <w:rPr>
          <w:rFonts w:ascii="Times New Roman" w:hAnsi="Times New Roman" w:cs="Times New Roman" w:eastAsia="Times New Roman" w:hint="default"/>
          <w:spacing w:val="-58"/>
        </w:rPr>
      </w:r>
      <w:r>
        <w:rPr>
          <w:rFonts w:ascii="宋体" w:hAnsi="宋体" w:cs="宋体" w:eastAsia="宋体" w:hint="default"/>
        </w:rPr>
        <w:t>2009</w:t>
      </w:r>
      <w:r>
        <w:rPr>
          <w:rFonts w:ascii="宋体" w:hAnsi="宋体" w:cs="宋体" w:eastAsia="宋体" w:hint="default"/>
          <w:spacing w:val="-60"/>
        </w:rPr>
        <w:t> </w:t>
      </w:r>
      <w:r>
        <w:rPr>
          <w:rFonts w:ascii="宋体" w:hAnsi="宋体" w:cs="宋体" w:eastAsia="宋体" w:hint="default"/>
        </w:rPr>
        <w:t>年</w:t>
      </w:r>
      <w:r>
        <w:rPr>
          <w:rFonts w:ascii="宋体" w:hAnsi="宋体" w:cs="宋体" w:eastAsia="宋体" w:hint="default"/>
          <w:spacing w:val="-60"/>
        </w:rPr>
        <w:t> </w:t>
      </w:r>
      <w:r>
        <w:rPr>
          <w:rFonts w:ascii="宋体" w:hAnsi="宋体" w:cs="宋体" w:eastAsia="宋体" w:hint="default"/>
        </w:rPr>
        <w:t>12</w:t>
      </w:r>
      <w:r>
        <w:rPr>
          <w:rFonts w:ascii="宋体" w:hAnsi="宋体" w:cs="宋体" w:eastAsia="宋体" w:hint="default"/>
          <w:spacing w:val="-60"/>
        </w:rPr>
        <w:t> </w:t>
      </w:r>
      <w:r>
        <w:rPr>
          <w:rFonts w:ascii="宋体" w:hAnsi="宋体" w:cs="宋体" w:eastAsia="宋体" w:hint="default"/>
        </w:rPr>
        <w:t>月，刘积仁博士当选“2009 CCTV</w:t>
      </w:r>
      <w:r>
        <w:rPr>
          <w:rFonts w:ascii="宋体" w:hAnsi="宋体" w:cs="宋体" w:eastAsia="宋体" w:hint="default"/>
          <w:spacing w:val="-60"/>
        </w:rPr>
        <w:t> </w:t>
      </w:r>
      <w:r>
        <w:rPr>
          <w:rFonts w:ascii="宋体" w:hAnsi="宋体" w:cs="宋体" w:eastAsia="宋体" w:hint="default"/>
        </w:rPr>
        <w:t>中国经济年度人物”</w:t>
      </w:r>
    </w:p>
    <w:p>
      <w:pPr>
        <w:spacing w:after="0" w:line="240" w:lineRule="auto"/>
        <w:jc w:val="left"/>
        <w:rPr>
          <w:rFonts w:ascii="宋体" w:hAnsi="宋体" w:cs="宋体" w:eastAsia="宋体" w:hint="default"/>
        </w:rPr>
        <w:sectPr>
          <w:pgSz w:w="11910" w:h="16840"/>
          <w:pgMar w:header="851" w:footer="982" w:top="1220" w:bottom="1180" w:left="1660" w:right="16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5"/>
        <w:spacing w:line="240" w:lineRule="auto" w:before="182"/>
        <w:ind w:right="144"/>
        <w:jc w:val="left"/>
        <w:rPr>
          <w:rFonts w:ascii="宋体" w:hAnsi="宋体" w:cs="宋体" w:eastAsia="宋体" w:hint="default"/>
          <w:b w:val="0"/>
          <w:bCs w:val="0"/>
        </w:rPr>
      </w:pPr>
      <w:bookmarkStart w:name="_bookmark15" w:id="20"/>
      <w:bookmarkEnd w:id="20"/>
      <w:r>
        <w:rPr>
          <w:b w:val="0"/>
          <w:bCs w:val="0"/>
        </w:rPr>
      </w:r>
      <w:r>
        <w:rPr>
          <w:rFonts w:ascii="宋体" w:hAnsi="宋体" w:cs="宋体" w:eastAsia="宋体" w:hint="default"/>
        </w:rPr>
        <w:t>二、东软之于社会</w:t>
      </w:r>
      <w:r>
        <w:rPr>
          <w:rFonts w:ascii="宋体" w:hAnsi="宋体" w:cs="宋体" w:eastAsia="宋体" w:hint="default"/>
          <w:b w:val="0"/>
          <w:bCs w:val="0"/>
        </w:rPr>
      </w:r>
    </w:p>
    <w:p>
      <w:pPr>
        <w:spacing w:line="240" w:lineRule="auto" w:before="1"/>
        <w:rPr>
          <w:rFonts w:ascii="宋体" w:hAnsi="宋体" w:cs="宋体" w:eastAsia="宋体" w:hint="default"/>
          <w:b/>
          <w:bCs/>
          <w:sz w:val="21"/>
          <w:szCs w:val="21"/>
        </w:rPr>
      </w:pPr>
    </w:p>
    <w:p>
      <w:pPr>
        <w:spacing w:line="680" w:lineRule="atLeast" w:before="0"/>
        <w:ind w:left="620" w:right="223" w:hanging="480"/>
        <w:jc w:val="left"/>
        <w:rPr>
          <w:rFonts w:ascii="宋体" w:hAnsi="宋体" w:cs="宋体" w:eastAsia="宋体" w:hint="default"/>
          <w:sz w:val="24"/>
          <w:szCs w:val="24"/>
        </w:rPr>
      </w:pPr>
      <w:r>
        <w:rPr>
          <w:rFonts w:ascii="宋体" w:hAnsi="宋体" w:cs="宋体" w:eastAsia="宋体" w:hint="default"/>
          <w:b/>
          <w:bCs/>
          <w:sz w:val="24"/>
          <w:szCs w:val="24"/>
        </w:rPr>
        <w:t>1、规范运作和法制建设</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公司注重依法经营，建立健全了规范的内部运营体系，并在与客户和合作伙</w:t>
      </w:r>
    </w:p>
    <w:p>
      <w:pPr>
        <w:pStyle w:val="BodyText"/>
        <w:spacing w:line="312" w:lineRule="exact" w:before="28"/>
        <w:ind w:right="237"/>
        <w:jc w:val="both"/>
        <w:rPr>
          <w:rFonts w:ascii="宋体" w:hAnsi="宋体" w:cs="宋体" w:eastAsia="宋体" w:hint="default"/>
        </w:rPr>
      </w:pPr>
      <w:r>
        <w:rPr>
          <w:rFonts w:ascii="宋体" w:hAnsi="宋体" w:cs="宋体" w:eastAsia="宋体" w:hint="default"/>
          <w:spacing w:val="-3"/>
        </w:rPr>
        <w:t>伴的业务往来、合作，以及企业并购过程中遵从中国及当地的法律法规和相关规</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定；作为企业公民，认真履行纳税义务。公司自成立以来，无因违反法律法规出</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现诉讼、商业纠纷，以及受到司法部门惩处的情况。</w:t>
      </w:r>
    </w:p>
    <w:p>
      <w:pPr>
        <w:pStyle w:val="BodyText"/>
        <w:spacing w:line="312" w:lineRule="exact" w:before="156"/>
        <w:ind w:right="237" w:firstLine="480"/>
        <w:jc w:val="both"/>
        <w:rPr>
          <w:rFonts w:ascii="宋体" w:hAnsi="宋体" w:cs="宋体" w:eastAsia="宋体" w:hint="default"/>
        </w:rPr>
      </w:pPr>
      <w:r>
        <w:rPr>
          <w:rFonts w:ascii="宋体" w:hAnsi="宋体" w:cs="宋体" w:eastAsia="宋体" w:hint="default"/>
          <w:spacing w:val="-3"/>
        </w:rPr>
        <w:t>公司始终将依法规范运作作为公司运行的基本原则，在组织结构上，公司设</w:t>
      </w:r>
      <w:r>
        <w:rPr>
          <w:rFonts w:ascii="宋体" w:hAnsi="宋体" w:cs="宋体" w:eastAsia="宋体" w:hint="default"/>
        </w:rPr>
        <w:t> </w:t>
      </w:r>
      <w:r>
        <w:rPr>
          <w:rFonts w:ascii="宋体" w:hAnsi="宋体" w:cs="宋体" w:eastAsia="宋体" w:hint="default"/>
          <w:spacing w:val="-3"/>
        </w:rPr>
        <w:t>置了专门的法律部门，在投资、并购、技术研发、信息安全和运营管理等方面提</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供专业化法律支持，控制公司运行风险，维护公司权益。</w:t>
      </w:r>
    </w:p>
    <w:p>
      <w:pPr>
        <w:pStyle w:val="BodyText"/>
        <w:spacing w:line="312" w:lineRule="exact" w:before="156"/>
        <w:ind w:right="229" w:firstLine="480"/>
        <w:jc w:val="both"/>
        <w:rPr>
          <w:rFonts w:ascii="宋体" w:hAnsi="宋体" w:cs="宋体" w:eastAsia="宋体" w:hint="default"/>
        </w:rPr>
      </w:pPr>
      <w:r>
        <w:rPr>
          <w:rFonts w:ascii="宋体" w:hAnsi="宋体" w:cs="宋体" w:eastAsia="宋体" w:hint="default"/>
          <w:spacing w:val="-3"/>
        </w:rPr>
        <w:t>在企业普法教育方面，公司通过东软法律简报、法律月刊、案例汇编、法律</w:t>
      </w:r>
      <w:r>
        <w:rPr>
          <w:rFonts w:ascii="宋体" w:hAnsi="宋体" w:cs="宋体" w:eastAsia="宋体" w:hint="default"/>
        </w:rPr>
        <w:t> </w:t>
      </w:r>
      <w:r>
        <w:rPr>
          <w:rFonts w:ascii="宋体" w:hAnsi="宋体" w:cs="宋体" w:eastAsia="宋体" w:hint="default"/>
          <w:spacing w:val="4"/>
        </w:rPr>
        <w:t>知识普及手册和查询手册、法律知识培训讲座等多种形式进行日常法纪宣传。</w:t>
      </w:r>
      <w:r>
        <w:rPr>
          <w:rFonts w:ascii="宋体" w:hAnsi="宋体" w:cs="宋体" w:eastAsia="宋体" w:hint="default"/>
          <w:spacing w:val="4"/>
        </w:rPr>
        <w:t> </w:t>
      </w:r>
      <w:r>
        <w:rPr>
          <w:rFonts w:ascii="宋体" w:hAnsi="宋体" w:cs="宋体" w:eastAsia="宋体" w:hint="default"/>
        </w:rPr>
        <w:t>2009</w:t>
      </w:r>
      <w:r>
        <w:rPr>
          <w:rFonts w:ascii="宋体" w:hAnsi="宋体" w:cs="宋体" w:eastAsia="宋体" w:hint="default"/>
          <w:spacing w:val="2"/>
        </w:rPr>
        <w:t> </w:t>
      </w:r>
      <w:r>
        <w:rPr>
          <w:rFonts w:ascii="宋体" w:hAnsi="宋体" w:cs="宋体" w:eastAsia="宋体" w:hint="default"/>
        </w:rPr>
        <w:t>年，公司对员工进行了普法教育，并邀请知名律师为员工解析合同法，同</w:t>
      </w:r>
      <w:r>
        <w:rPr>
          <w:rFonts w:ascii="宋体" w:hAnsi="宋体" w:cs="宋体" w:eastAsia="宋体" w:hint="default"/>
        </w:rPr>
        <w:t> </w:t>
      </w:r>
      <w:r>
        <w:rPr>
          <w:rFonts w:ascii="宋体" w:hAnsi="宋体" w:cs="宋体" w:eastAsia="宋体" w:hint="default"/>
          <w:spacing w:val="-3"/>
        </w:rPr>
        <w:t>时为特殊岗位人员开设知识产权、信息安全等方面的专题培训，促进员工熟悉和</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掌握法律知识，进一步提高员工的法律意识和法律应用能力。</w:t>
      </w:r>
    </w:p>
    <w:p>
      <w:pPr>
        <w:spacing w:line="686" w:lineRule="exact" w:before="75"/>
        <w:ind w:left="620" w:right="223" w:hanging="480"/>
        <w:jc w:val="left"/>
        <w:rPr>
          <w:rFonts w:ascii="宋体" w:hAnsi="宋体" w:cs="宋体" w:eastAsia="宋体" w:hint="default"/>
          <w:sz w:val="24"/>
          <w:szCs w:val="24"/>
        </w:rPr>
      </w:pPr>
      <w:r>
        <w:rPr>
          <w:rFonts w:ascii="宋体" w:hAnsi="宋体" w:cs="宋体" w:eastAsia="宋体" w:hint="default"/>
          <w:b/>
          <w:bCs/>
          <w:sz w:val="24"/>
          <w:szCs w:val="24"/>
        </w:rPr>
        <w:t>2、创造经济和社会价值</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公司以软件技术为核心，通过软件与服务的结合，软件与制造的结合，提供</w:t>
      </w:r>
    </w:p>
    <w:p>
      <w:pPr>
        <w:pStyle w:val="BodyText"/>
        <w:spacing w:line="209" w:lineRule="exact"/>
        <w:ind w:right="144"/>
        <w:jc w:val="left"/>
        <w:rPr>
          <w:rFonts w:ascii="宋体" w:hAnsi="宋体" w:cs="宋体" w:eastAsia="宋体" w:hint="default"/>
        </w:rPr>
      </w:pPr>
      <w:r>
        <w:rPr>
          <w:rFonts w:ascii="宋体" w:hAnsi="宋体" w:cs="宋体" w:eastAsia="宋体" w:hint="default"/>
        </w:rPr>
        <w:t>行业解决方案、产品工程解决方案以及相关软件产品、平台及服务。</w:t>
      </w:r>
    </w:p>
    <w:p>
      <w:pPr>
        <w:pStyle w:val="BodyText"/>
        <w:spacing w:line="312" w:lineRule="exact" w:before="184"/>
        <w:ind w:right="100" w:firstLine="480"/>
        <w:jc w:val="left"/>
        <w:rPr>
          <w:rFonts w:ascii="宋体" w:hAnsi="宋体" w:cs="宋体" w:eastAsia="宋体" w:hint="default"/>
        </w:rPr>
      </w:pPr>
      <w:r>
        <w:rPr>
          <w:rFonts w:ascii="宋体" w:hAnsi="宋体" w:cs="宋体" w:eastAsia="宋体" w:hint="default"/>
          <w:spacing w:val="-3"/>
        </w:rPr>
        <w:t>面向行业客户，公司提供安全、可靠、高质量、易扩展的行业解决方案，帮</w:t>
      </w:r>
      <w:r>
        <w:rPr>
          <w:rFonts w:ascii="宋体" w:hAnsi="宋体" w:cs="宋体" w:eastAsia="宋体" w:hint="default"/>
        </w:rPr>
        <w:t> </w:t>
      </w:r>
      <w:r>
        <w:rPr>
          <w:rFonts w:ascii="宋体" w:hAnsi="宋体" w:cs="宋体" w:eastAsia="宋体" w:hint="default"/>
          <w:spacing w:val="-6"/>
        </w:rPr>
        <w:t>助客户不断优化信息管理体系，以满足客户业务快速发展的需求，目前涉及电信、</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spacing w:val="-3"/>
        </w:rPr>
        <w:t>电力、金融、政府（社会保障、财政、税务、公共安全、国土资源、海洋、质量</w:t>
      </w:r>
      <w:r>
        <w:rPr>
          <w:rFonts w:ascii="宋体" w:hAnsi="宋体" w:cs="宋体" w:eastAsia="宋体" w:hint="default"/>
          <w:spacing w:val="-113"/>
        </w:rPr>
        <w:t> </w:t>
      </w:r>
      <w:r>
        <w:rPr>
          <w:rFonts w:ascii="宋体" w:hAnsi="宋体" w:cs="宋体" w:eastAsia="宋体" w:hint="default"/>
          <w:spacing w:val="-113"/>
        </w:rPr>
      </w:r>
      <w:r>
        <w:rPr>
          <w:rFonts w:ascii="宋体" w:hAnsi="宋体" w:cs="宋体" w:eastAsia="宋体" w:hint="default"/>
          <w:spacing w:val="-7"/>
        </w:rPr>
        <w:t>监督检验检疫、工商、知识产权等）以及制造业与商贸流通业、医疗卫生、教育、</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rPr>
        <w:t>交通等多个行业。</w:t>
      </w:r>
    </w:p>
    <w:p>
      <w:pPr>
        <w:pStyle w:val="BodyText"/>
        <w:spacing w:line="312" w:lineRule="exact" w:before="156"/>
        <w:ind w:right="237" w:firstLine="480"/>
        <w:jc w:val="both"/>
        <w:rPr>
          <w:rFonts w:ascii="宋体" w:hAnsi="宋体" w:cs="宋体" w:eastAsia="宋体" w:hint="default"/>
        </w:rPr>
      </w:pPr>
      <w:r>
        <w:rPr>
          <w:rFonts w:ascii="宋体" w:hAnsi="宋体" w:cs="宋体" w:eastAsia="宋体" w:hint="default"/>
          <w:spacing w:val="-3"/>
        </w:rPr>
        <w:t>在产品工程解决方案领域，公司为世界各地客户提供嵌入式软件系统，目前</w:t>
      </w:r>
      <w:r>
        <w:rPr>
          <w:rFonts w:ascii="宋体" w:hAnsi="宋体" w:cs="宋体" w:eastAsia="宋体" w:hint="default"/>
        </w:rPr>
        <w:t> </w:t>
      </w:r>
      <w:r>
        <w:rPr>
          <w:rFonts w:ascii="宋体" w:hAnsi="宋体" w:cs="宋体" w:eastAsia="宋体" w:hint="default"/>
          <w:spacing w:val="-3"/>
        </w:rPr>
        <w:t>东软嵌入式软件系统在世界著名的数字家庭产品、移动终端、车载信息产品、IT</w:t>
      </w:r>
      <w:r>
        <w:rPr>
          <w:rFonts w:ascii="宋体" w:hAnsi="宋体" w:cs="宋体" w:eastAsia="宋体" w:hint="default"/>
          <w:spacing w:val="-108"/>
        </w:rPr>
        <w:t> </w:t>
      </w:r>
      <w:r>
        <w:rPr>
          <w:rFonts w:ascii="宋体" w:hAnsi="宋体" w:cs="宋体" w:eastAsia="宋体" w:hint="default"/>
          <w:spacing w:val="-108"/>
        </w:rPr>
      </w:r>
      <w:r>
        <w:rPr>
          <w:rFonts w:ascii="宋体" w:hAnsi="宋体" w:cs="宋体" w:eastAsia="宋体" w:hint="default"/>
        </w:rPr>
        <w:t>产品等设备中运行。</w:t>
      </w:r>
    </w:p>
    <w:p>
      <w:pPr>
        <w:pStyle w:val="BodyText"/>
        <w:spacing w:line="312" w:lineRule="exact" w:before="156"/>
        <w:ind w:right="103" w:firstLine="480"/>
        <w:jc w:val="left"/>
        <w:rPr>
          <w:rFonts w:ascii="宋体" w:hAnsi="宋体" w:cs="宋体" w:eastAsia="宋体" w:hint="default"/>
        </w:rPr>
      </w:pPr>
      <w:r>
        <w:rPr>
          <w:rFonts w:ascii="宋体" w:hAnsi="宋体" w:cs="宋体" w:eastAsia="宋体" w:hint="default"/>
        </w:rPr>
        <w:t>在自有品牌的产品工程领域，公司为</w:t>
      </w:r>
      <w:r>
        <w:rPr>
          <w:rFonts w:ascii="宋体" w:hAnsi="宋体" w:cs="宋体" w:eastAsia="宋体" w:hint="default"/>
          <w:spacing w:val="-63"/>
        </w:rPr>
        <w:t> </w:t>
      </w:r>
      <w:r>
        <w:rPr>
          <w:rFonts w:ascii="宋体" w:hAnsi="宋体" w:cs="宋体" w:eastAsia="宋体" w:hint="default"/>
        </w:rPr>
        <w:t>5000</w:t>
      </w:r>
      <w:r>
        <w:rPr>
          <w:rFonts w:ascii="宋体" w:hAnsi="宋体" w:cs="宋体" w:eastAsia="宋体" w:hint="default"/>
          <w:spacing w:val="-63"/>
        </w:rPr>
        <w:t> </w:t>
      </w:r>
      <w:r>
        <w:rPr>
          <w:rFonts w:ascii="宋体" w:hAnsi="宋体" w:cs="宋体" w:eastAsia="宋体" w:hint="default"/>
        </w:rPr>
        <w:t>余家客户提供中国品牌的</w:t>
      </w:r>
      <w:r>
        <w:rPr>
          <w:rFonts w:ascii="宋体" w:hAnsi="宋体" w:cs="宋体" w:eastAsia="宋体" w:hint="default"/>
          <w:spacing w:val="-63"/>
        </w:rPr>
        <w:t> </w:t>
      </w:r>
      <w:r>
        <w:rPr>
          <w:rFonts w:ascii="宋体" w:hAnsi="宋体" w:cs="宋体" w:eastAsia="宋体" w:hint="default"/>
          <w:spacing w:val="-5"/>
        </w:rPr>
        <w:t>CT、磁</w:t>
      </w:r>
      <w:r>
        <w:rPr>
          <w:rFonts w:ascii="宋体" w:hAnsi="宋体" w:cs="宋体" w:eastAsia="宋体" w:hint="default"/>
        </w:rPr>
        <w:t> 共振、数字</w:t>
      </w:r>
      <w:r>
        <w:rPr>
          <w:rFonts w:ascii="宋体" w:hAnsi="宋体" w:cs="宋体" w:eastAsia="宋体" w:hint="default"/>
          <w:spacing w:val="-60"/>
        </w:rPr>
        <w:t> </w:t>
      </w:r>
      <w:r>
        <w:rPr>
          <w:rFonts w:ascii="宋体" w:hAnsi="宋体" w:cs="宋体" w:eastAsia="宋体" w:hint="default"/>
        </w:rPr>
        <w:t>X</w:t>
      </w:r>
      <w:r>
        <w:rPr>
          <w:rFonts w:ascii="宋体" w:hAnsi="宋体" w:cs="宋体" w:eastAsia="宋体" w:hint="default"/>
          <w:spacing w:val="-60"/>
        </w:rPr>
        <w:t> </w:t>
      </w:r>
      <w:r>
        <w:rPr>
          <w:rFonts w:ascii="宋体" w:hAnsi="宋体" w:cs="宋体" w:eastAsia="宋体" w:hint="default"/>
        </w:rPr>
        <w:t>线机、彩超、全自动生化分析仪、多参数监护仪、放射治疗设备、</w:t>
      </w:r>
      <w:r>
        <w:rPr>
          <w:rFonts w:ascii="宋体" w:hAnsi="宋体" w:cs="宋体" w:eastAsia="宋体" w:hint="default"/>
        </w:rPr>
        <w:t> 核医学成像设备等</w:t>
      </w:r>
      <w:r>
        <w:rPr>
          <w:rFonts w:ascii="宋体" w:hAnsi="宋体" w:cs="宋体" w:eastAsia="宋体" w:hint="default"/>
          <w:spacing w:val="-59"/>
        </w:rPr>
        <w:t> </w:t>
      </w:r>
      <w:r>
        <w:rPr>
          <w:rFonts w:ascii="宋体" w:hAnsi="宋体" w:cs="宋体" w:eastAsia="宋体" w:hint="default"/>
        </w:rPr>
        <w:t>10</w:t>
      </w:r>
      <w:r>
        <w:rPr>
          <w:rFonts w:ascii="宋体" w:hAnsi="宋体" w:cs="宋体" w:eastAsia="宋体" w:hint="default"/>
          <w:spacing w:val="-59"/>
        </w:rPr>
        <w:t> </w:t>
      </w:r>
      <w:r>
        <w:rPr>
          <w:rFonts w:ascii="宋体" w:hAnsi="宋体" w:cs="宋体" w:eastAsia="宋体" w:hint="default"/>
        </w:rPr>
        <w:t>大系列</w:t>
      </w:r>
      <w:r>
        <w:rPr>
          <w:rFonts w:ascii="宋体" w:hAnsi="宋体" w:cs="宋体" w:eastAsia="宋体" w:hint="default"/>
          <w:spacing w:val="-59"/>
        </w:rPr>
        <w:t> </w:t>
      </w:r>
      <w:r>
        <w:rPr>
          <w:rFonts w:ascii="宋体" w:hAnsi="宋体" w:cs="宋体" w:eastAsia="宋体" w:hint="default"/>
        </w:rPr>
        <w:t>50</w:t>
      </w:r>
      <w:r>
        <w:rPr>
          <w:rFonts w:ascii="宋体" w:hAnsi="宋体" w:cs="宋体" w:eastAsia="宋体" w:hint="default"/>
          <w:spacing w:val="-59"/>
        </w:rPr>
        <w:t> </w:t>
      </w:r>
      <w:r>
        <w:rPr>
          <w:rFonts w:ascii="宋体" w:hAnsi="宋体" w:cs="宋体" w:eastAsia="宋体" w:hint="default"/>
          <w:spacing w:val="-3"/>
        </w:rPr>
        <w:t>余种医疗产品，覆盖国内</w:t>
      </w:r>
      <w:r>
        <w:rPr>
          <w:rFonts w:ascii="宋体" w:hAnsi="宋体" w:cs="宋体" w:eastAsia="宋体" w:hint="default"/>
          <w:spacing w:val="-59"/>
        </w:rPr>
        <w:t> </w:t>
      </w:r>
      <w:r>
        <w:rPr>
          <w:rFonts w:ascii="宋体" w:hAnsi="宋体" w:cs="宋体" w:eastAsia="宋体" w:hint="default"/>
        </w:rPr>
        <w:t>32</w:t>
      </w:r>
      <w:r>
        <w:rPr>
          <w:rFonts w:ascii="宋体" w:hAnsi="宋体" w:cs="宋体" w:eastAsia="宋体" w:hint="default"/>
          <w:spacing w:val="-59"/>
        </w:rPr>
        <w:t> </w:t>
      </w:r>
      <w:r>
        <w:rPr>
          <w:rFonts w:ascii="宋体" w:hAnsi="宋体" w:cs="宋体" w:eastAsia="宋体" w:hint="default"/>
          <w:spacing w:val="-8"/>
        </w:rPr>
        <w:t>个省、市、自治区，</w:t>
      </w:r>
      <w:r>
        <w:rPr>
          <w:rFonts w:ascii="宋体" w:hAnsi="宋体" w:cs="宋体" w:eastAsia="宋体" w:hint="default"/>
        </w:rPr>
        <w:t> </w:t>
      </w:r>
      <w:r>
        <w:rPr>
          <w:rFonts w:ascii="宋体" w:hAnsi="宋体" w:cs="宋体" w:eastAsia="宋体" w:hint="default"/>
          <w:spacing w:val="4"/>
        </w:rPr>
        <w:t>同时在美国、意大利、俄罗斯、巴西、沙特阿拉伯、巴基斯坦以及非洲等全球</w:t>
      </w:r>
      <w:r>
        <w:rPr>
          <w:rFonts w:ascii="宋体" w:hAnsi="宋体" w:cs="宋体" w:eastAsia="宋体" w:hint="default"/>
          <w:spacing w:val="4"/>
        </w:rPr>
        <w:t> </w:t>
      </w:r>
      <w:r>
        <w:rPr>
          <w:rFonts w:ascii="宋体" w:hAnsi="宋体" w:cs="宋体" w:eastAsia="宋体" w:hint="default"/>
        </w:rPr>
        <w:t>56</w:t>
      </w:r>
      <w:r>
        <w:rPr>
          <w:rFonts w:ascii="宋体" w:hAnsi="宋体" w:cs="宋体" w:eastAsia="宋体" w:hint="default"/>
          <w:spacing w:val="-60"/>
        </w:rPr>
        <w:t> </w:t>
      </w:r>
      <w:r>
        <w:rPr>
          <w:rFonts w:ascii="宋体" w:hAnsi="宋体" w:cs="宋体" w:eastAsia="宋体" w:hint="default"/>
        </w:rPr>
        <w:t>个国家和地区实现设备安装。</w:t>
      </w:r>
    </w:p>
    <w:p>
      <w:pPr>
        <w:pStyle w:val="BodyText"/>
        <w:spacing w:line="312" w:lineRule="exact" w:before="156"/>
        <w:ind w:right="234" w:firstLine="480"/>
        <w:jc w:val="both"/>
        <w:rPr>
          <w:rFonts w:ascii="宋体" w:hAnsi="宋体" w:cs="宋体" w:eastAsia="宋体" w:hint="default"/>
        </w:rPr>
      </w:pPr>
      <w:r>
        <w:rPr>
          <w:rFonts w:ascii="宋体" w:hAnsi="宋体" w:cs="宋体" w:eastAsia="宋体" w:hint="default"/>
        </w:rPr>
        <w:t>在服务领域，东软提供包括</w:t>
      </w:r>
      <w:r>
        <w:rPr>
          <w:rFonts w:ascii="宋体" w:hAnsi="宋体" w:cs="宋体" w:eastAsia="宋体" w:hint="default"/>
          <w:spacing w:val="-54"/>
        </w:rPr>
        <w:t> </w:t>
      </w:r>
      <w:r>
        <w:rPr>
          <w:rFonts w:ascii="宋体" w:hAnsi="宋体" w:cs="宋体" w:eastAsia="宋体" w:hint="default"/>
        </w:rPr>
        <w:t>IT</w:t>
      </w:r>
      <w:r>
        <w:rPr>
          <w:rFonts w:ascii="宋体" w:hAnsi="宋体" w:cs="宋体" w:eastAsia="宋体" w:hint="default"/>
          <w:spacing w:val="-54"/>
        </w:rPr>
        <w:t> </w:t>
      </w:r>
      <w:r>
        <w:rPr>
          <w:rFonts w:ascii="宋体" w:hAnsi="宋体" w:cs="宋体" w:eastAsia="宋体" w:hint="default"/>
        </w:rPr>
        <w:t>咨询服务、应用开发和维护、第三方</w:t>
      </w:r>
      <w:r>
        <w:rPr>
          <w:rFonts w:ascii="宋体" w:hAnsi="宋体" w:cs="宋体" w:eastAsia="宋体" w:hint="default"/>
          <w:spacing w:val="-54"/>
        </w:rPr>
        <w:t> </w:t>
      </w:r>
      <w:r>
        <w:rPr>
          <w:rFonts w:ascii="宋体" w:hAnsi="宋体" w:cs="宋体" w:eastAsia="宋体" w:hint="default"/>
        </w:rPr>
        <w:t>ERP</w:t>
      </w:r>
      <w:r>
        <w:rPr>
          <w:rFonts w:ascii="宋体" w:hAnsi="宋体" w:cs="宋体" w:eastAsia="宋体" w:hint="default"/>
          <w:spacing w:val="-54"/>
        </w:rPr>
        <w:t> </w:t>
      </w:r>
      <w:r>
        <w:rPr>
          <w:rFonts w:ascii="宋体" w:hAnsi="宋体" w:cs="宋体" w:eastAsia="宋体" w:hint="default"/>
        </w:rPr>
        <w:t>咨</w:t>
      </w:r>
      <w:r>
        <w:rPr>
          <w:rFonts w:ascii="宋体" w:hAnsi="宋体" w:cs="宋体" w:eastAsia="宋体" w:hint="default"/>
        </w:rPr>
        <w:t> 询与实施、专业测试及性能工程服务、本地化服务、IT 基础设施服务、业务流 </w:t>
      </w:r>
      <w:r>
        <w:rPr>
          <w:rFonts w:ascii="宋体" w:hAnsi="宋体" w:cs="宋体" w:eastAsia="宋体" w:hint="default"/>
          <w:spacing w:val="-11"/>
        </w:rPr>
        <w:t>程外包（BPO）、IT</w:t>
      </w:r>
      <w:r>
        <w:rPr>
          <w:rFonts w:ascii="宋体" w:hAnsi="宋体" w:cs="宋体" w:eastAsia="宋体" w:hint="default"/>
          <w:spacing w:val="-59"/>
        </w:rPr>
        <w:t> </w:t>
      </w:r>
      <w:r>
        <w:rPr>
          <w:rFonts w:ascii="宋体" w:hAnsi="宋体" w:cs="宋体" w:eastAsia="宋体" w:hint="default"/>
        </w:rPr>
        <w:t>培训等服务业务。</w:t>
      </w:r>
    </w:p>
    <w:p>
      <w:pPr>
        <w:spacing w:after="0" w:line="312" w:lineRule="exact"/>
        <w:jc w:val="both"/>
        <w:rPr>
          <w:rFonts w:ascii="宋体" w:hAnsi="宋体" w:cs="宋体" w:eastAsia="宋体" w:hint="default"/>
        </w:rPr>
        <w:sectPr>
          <w:pgSz w:w="11910" w:h="16840"/>
          <w:pgMar w:header="851" w:footer="982" w:top="1220" w:bottom="1180" w:left="1660" w:right="1560"/>
        </w:sectPr>
      </w:pPr>
    </w:p>
    <w:p>
      <w:pPr>
        <w:spacing w:line="240" w:lineRule="auto" w:before="8"/>
        <w:rPr>
          <w:rFonts w:ascii="宋体" w:hAnsi="宋体" w:cs="宋体" w:eastAsia="宋体" w:hint="default"/>
          <w:sz w:val="11"/>
          <w:szCs w:val="11"/>
        </w:rPr>
      </w:pPr>
    </w:p>
    <w:p>
      <w:pPr>
        <w:pStyle w:val="BodyText"/>
        <w:spacing w:line="312" w:lineRule="exact" w:before="56"/>
        <w:ind w:right="100" w:firstLine="480"/>
        <w:jc w:val="left"/>
        <w:rPr>
          <w:rFonts w:ascii="宋体" w:hAnsi="宋体" w:cs="宋体" w:eastAsia="宋体" w:hint="default"/>
        </w:rPr>
      </w:pPr>
      <w:bookmarkStart w:name="_bookmark16" w:id="21"/>
      <w:bookmarkEnd w:id="21"/>
      <w:r>
        <w:rPr/>
      </w:r>
      <w:r>
        <w:rPr>
          <w:rFonts w:ascii="宋体" w:hAnsi="宋体" w:cs="宋体" w:eastAsia="宋体" w:hint="default"/>
          <w:spacing w:val="-3"/>
        </w:rPr>
        <w:t>公司在业务不断发展与创新的同时，也带动了地区经济的发展。公司总部位</w:t>
      </w:r>
      <w:r>
        <w:rPr>
          <w:rFonts w:ascii="宋体" w:hAnsi="宋体" w:cs="宋体" w:eastAsia="宋体" w:hint="default"/>
        </w:rPr>
        <w:t> </w:t>
      </w:r>
      <w:r>
        <w:rPr>
          <w:rFonts w:ascii="宋体" w:hAnsi="宋体" w:cs="宋体" w:eastAsia="宋体" w:hint="default"/>
          <w:spacing w:val="-6"/>
        </w:rPr>
        <w:t>于沈阳市浑南新区。目前，浑南新区形成了以东软为龙头，多家软件企业为骨干，</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约</w:t>
      </w:r>
      <w:r>
        <w:rPr>
          <w:rFonts w:ascii="宋体" w:hAnsi="宋体" w:cs="宋体" w:eastAsia="宋体" w:hint="default"/>
          <w:spacing w:val="-60"/>
        </w:rPr>
        <w:t> </w:t>
      </w:r>
      <w:r>
        <w:rPr>
          <w:rFonts w:ascii="宋体" w:hAnsi="宋体" w:cs="宋体" w:eastAsia="宋体" w:hint="default"/>
        </w:rPr>
        <w:t>300</w:t>
      </w:r>
      <w:r>
        <w:rPr>
          <w:rFonts w:ascii="宋体" w:hAnsi="宋体" w:cs="宋体" w:eastAsia="宋体" w:hint="default"/>
          <w:spacing w:val="-60"/>
        </w:rPr>
        <w:t> </w:t>
      </w:r>
      <w:r>
        <w:rPr>
          <w:rFonts w:ascii="宋体" w:hAnsi="宋体" w:cs="宋体" w:eastAsia="宋体" w:hint="default"/>
          <w:spacing w:val="-3"/>
        </w:rPr>
        <w:t>家软件企业构成的软件产业群，成为具有较强创新能力的高新技术产业开</w:t>
      </w:r>
      <w:r>
        <w:rPr>
          <w:rFonts w:ascii="宋体" w:hAnsi="宋体" w:cs="宋体" w:eastAsia="宋体" w:hint="default"/>
        </w:rPr>
        <w:t> </w:t>
      </w:r>
      <w:r>
        <w:rPr>
          <w:rFonts w:ascii="宋体" w:hAnsi="宋体" w:cs="宋体" w:eastAsia="宋体" w:hint="default"/>
          <w:spacing w:val="-4"/>
        </w:rPr>
        <w:t>发区。2009</w:t>
      </w:r>
      <w:r>
        <w:rPr>
          <w:rFonts w:ascii="宋体" w:hAnsi="宋体" w:cs="宋体" w:eastAsia="宋体" w:hint="default"/>
          <w:spacing w:val="-58"/>
        </w:rPr>
        <w:t> </w:t>
      </w:r>
      <w:r>
        <w:rPr>
          <w:rFonts w:ascii="宋体" w:hAnsi="宋体" w:cs="宋体" w:eastAsia="宋体" w:hint="default"/>
          <w:spacing w:val="-3"/>
        </w:rPr>
        <w:t>年，公司实现营业收入</w:t>
      </w:r>
      <w:r>
        <w:rPr>
          <w:rFonts w:ascii="宋体" w:hAnsi="宋体" w:cs="宋体" w:eastAsia="宋体" w:hint="default"/>
          <w:spacing w:val="-58"/>
        </w:rPr>
        <w:t> </w:t>
      </w:r>
      <w:r>
        <w:rPr>
          <w:rFonts w:ascii="宋体" w:hAnsi="宋体" w:cs="宋体" w:eastAsia="宋体" w:hint="default"/>
        </w:rPr>
        <w:t>4,166,055,393</w:t>
      </w:r>
      <w:r>
        <w:rPr>
          <w:rFonts w:ascii="宋体" w:hAnsi="宋体" w:cs="宋体" w:eastAsia="宋体" w:hint="default"/>
          <w:spacing w:val="-58"/>
        </w:rPr>
        <w:t> </w:t>
      </w:r>
      <w:r>
        <w:rPr>
          <w:rFonts w:ascii="宋体" w:hAnsi="宋体" w:cs="宋体" w:eastAsia="宋体" w:hint="default"/>
          <w:spacing w:val="-4"/>
        </w:rPr>
        <w:t>元，比上年增长</w:t>
      </w:r>
      <w:r>
        <w:rPr>
          <w:rFonts w:ascii="宋体" w:hAnsi="宋体" w:cs="宋体" w:eastAsia="宋体" w:hint="default"/>
          <w:spacing w:val="-58"/>
        </w:rPr>
        <w:t> </w:t>
      </w:r>
      <w:r>
        <w:rPr>
          <w:rFonts w:ascii="宋体" w:hAnsi="宋体" w:cs="宋体" w:eastAsia="宋体" w:hint="default"/>
          <w:spacing w:val="-3"/>
        </w:rPr>
        <w:t>12.3%，实现</w:t>
      </w:r>
      <w:r>
        <w:rPr>
          <w:rFonts w:ascii="宋体" w:hAnsi="宋体" w:cs="宋体" w:eastAsia="宋体" w:hint="default"/>
          <w:spacing w:val="-115"/>
        </w:rPr>
        <w:t> </w:t>
      </w:r>
      <w:r>
        <w:rPr>
          <w:rFonts w:ascii="宋体" w:hAnsi="宋体" w:cs="宋体" w:eastAsia="宋体" w:hint="default"/>
          <w:spacing w:val="-115"/>
        </w:rPr>
      </w:r>
      <w:r>
        <w:rPr>
          <w:rFonts w:ascii="宋体" w:hAnsi="宋体" w:cs="宋体" w:eastAsia="宋体" w:hint="default"/>
        </w:rPr>
        <w:t>净利润(归属于公司普通股股东的净利润) 640,564,034</w:t>
      </w:r>
      <w:r>
        <w:rPr>
          <w:rFonts w:ascii="宋体" w:hAnsi="宋体" w:cs="宋体" w:eastAsia="宋体" w:hint="default"/>
          <w:spacing w:val="-60"/>
        </w:rPr>
        <w:t> </w:t>
      </w:r>
      <w:r>
        <w:rPr>
          <w:rFonts w:ascii="宋体" w:hAnsi="宋体" w:cs="宋体" w:eastAsia="宋体" w:hint="default"/>
        </w:rPr>
        <w:t>元，比上年增长</w:t>
      </w:r>
      <w:r>
        <w:rPr>
          <w:rFonts w:ascii="宋体" w:hAnsi="宋体" w:cs="宋体" w:eastAsia="宋体" w:hint="default"/>
          <w:spacing w:val="-60"/>
        </w:rPr>
        <w:t> </w:t>
      </w:r>
      <w:r>
        <w:rPr>
          <w:rFonts w:ascii="宋体" w:hAnsi="宋体" w:cs="宋体" w:eastAsia="宋体" w:hint="default"/>
        </w:rPr>
        <w:t>30.5%。</w:t>
      </w:r>
      <w:r>
        <w:rPr>
          <w:rFonts w:ascii="宋体" w:hAnsi="宋体" w:cs="宋体" w:eastAsia="宋体" w:hint="default"/>
        </w:rPr>
        <w:t> 公司在实现自身快速发展的同时，也为国家经济的发展做出了贡献，2009</w:t>
      </w:r>
      <w:r>
        <w:rPr>
          <w:rFonts w:ascii="宋体" w:hAnsi="宋体" w:cs="宋体" w:eastAsia="宋体" w:hint="default"/>
          <w:spacing w:val="2"/>
        </w:rPr>
        <w:t> </w:t>
      </w:r>
      <w:r>
        <w:rPr>
          <w:rFonts w:ascii="宋体" w:hAnsi="宋体" w:cs="宋体" w:eastAsia="宋体" w:hint="default"/>
        </w:rPr>
        <w:t>年度</w:t>
      </w:r>
      <w:r>
        <w:rPr>
          <w:rFonts w:ascii="宋体" w:hAnsi="宋体" w:cs="宋体" w:eastAsia="宋体" w:hint="default"/>
        </w:rPr>
        <w:t> 共上缴税金</w:t>
      </w:r>
      <w:r>
        <w:rPr>
          <w:rFonts w:ascii="宋体" w:hAnsi="宋体" w:cs="宋体" w:eastAsia="宋体" w:hint="default"/>
          <w:spacing w:val="-60"/>
        </w:rPr>
        <w:t> </w:t>
      </w:r>
      <w:r>
        <w:rPr>
          <w:rFonts w:ascii="宋体" w:hAnsi="宋体" w:cs="宋体" w:eastAsia="宋体" w:hint="default"/>
        </w:rPr>
        <w:t>316,395,385</w:t>
      </w:r>
      <w:r>
        <w:rPr>
          <w:rFonts w:ascii="宋体" w:hAnsi="宋体" w:cs="宋体" w:eastAsia="宋体" w:hint="default"/>
          <w:spacing w:val="-60"/>
        </w:rPr>
        <w:t> </w:t>
      </w:r>
      <w:r>
        <w:rPr>
          <w:rFonts w:ascii="宋体" w:hAnsi="宋体" w:cs="宋体" w:eastAsia="宋体" w:hint="default"/>
        </w:rPr>
        <w:t>元，同比增长</w:t>
      </w:r>
      <w:r>
        <w:rPr>
          <w:rFonts w:ascii="宋体" w:hAnsi="宋体" w:cs="宋体" w:eastAsia="宋体" w:hint="default"/>
          <w:spacing w:val="-60"/>
        </w:rPr>
        <w:t> </w:t>
      </w:r>
      <w:r>
        <w:rPr>
          <w:rFonts w:ascii="宋体" w:hAnsi="宋体" w:cs="宋体" w:eastAsia="宋体" w:hint="default"/>
        </w:rPr>
        <w:t>3.5%。</w:t>
      </w:r>
    </w:p>
    <w:p>
      <w:pPr>
        <w:spacing w:line="240" w:lineRule="auto" w:before="3"/>
        <w:rPr>
          <w:rFonts w:ascii="宋体" w:hAnsi="宋体" w:cs="宋体" w:eastAsia="宋体" w:hint="default"/>
          <w:sz w:val="26"/>
          <w:szCs w:val="26"/>
        </w:rPr>
      </w:pPr>
    </w:p>
    <w:p>
      <w:pPr>
        <w:pStyle w:val="Heading7"/>
        <w:spacing w:line="240" w:lineRule="auto"/>
        <w:ind w:right="0"/>
        <w:jc w:val="both"/>
        <w:rPr>
          <w:b w:val="0"/>
          <w:bCs w:val="0"/>
        </w:rPr>
      </w:pPr>
      <w:r>
        <w:rPr/>
        <w:t>3、打造节约和环保模式</w:t>
      </w:r>
      <w:r>
        <w:rPr>
          <w:b w:val="0"/>
          <w:bCs w:val="0"/>
        </w:rPr>
      </w:r>
    </w:p>
    <w:p>
      <w:pPr>
        <w:spacing w:line="240" w:lineRule="auto" w:before="6"/>
        <w:rPr>
          <w:rFonts w:ascii="宋体" w:hAnsi="宋体" w:cs="宋体" w:eastAsia="宋体" w:hint="default"/>
          <w:b/>
          <w:bCs/>
          <w:sz w:val="28"/>
          <w:szCs w:val="28"/>
        </w:rPr>
      </w:pPr>
    </w:p>
    <w:p>
      <w:pPr>
        <w:spacing w:before="0"/>
        <w:ind w:left="376" w:right="144" w:firstLine="0"/>
        <w:jc w:val="left"/>
        <w:rPr>
          <w:rFonts w:ascii="宋体" w:hAnsi="宋体" w:cs="宋体" w:eastAsia="宋体" w:hint="default"/>
          <w:sz w:val="24"/>
          <w:szCs w:val="24"/>
        </w:rPr>
      </w:pPr>
      <w:r>
        <w:rPr>
          <w:rFonts w:ascii="宋体" w:hAnsi="宋体" w:cs="宋体" w:eastAsia="宋体" w:hint="default"/>
          <w:b/>
          <w:bCs/>
          <w:sz w:val="24"/>
          <w:szCs w:val="24"/>
        </w:rPr>
        <w:t>（1）努力打造绿色、环保的工作模式</w:t>
      </w:r>
      <w:r>
        <w:rPr>
          <w:rFonts w:ascii="宋体" w:hAnsi="宋体" w:cs="宋体" w:eastAsia="宋体" w:hint="default"/>
          <w:sz w:val="24"/>
          <w:szCs w:val="24"/>
        </w:rPr>
      </w:r>
    </w:p>
    <w:p>
      <w:pPr>
        <w:pStyle w:val="BodyText"/>
        <w:spacing w:line="312" w:lineRule="exact" w:before="184"/>
        <w:ind w:right="100" w:firstLine="480"/>
        <w:jc w:val="left"/>
        <w:rPr>
          <w:rFonts w:ascii="宋体" w:hAnsi="宋体" w:cs="宋体" w:eastAsia="宋体" w:hint="default"/>
        </w:rPr>
      </w:pPr>
      <w:r>
        <w:rPr>
          <w:rFonts w:ascii="宋体" w:hAnsi="宋体" w:cs="宋体" w:eastAsia="宋体" w:hint="default"/>
        </w:rPr>
        <w:t>公司作为 IT</w:t>
      </w:r>
      <w:r>
        <w:rPr>
          <w:rFonts w:ascii="宋体" w:hAnsi="宋体" w:cs="宋体" w:eastAsia="宋体" w:hint="default"/>
          <w:spacing w:val="-94"/>
        </w:rPr>
        <w:t> </w:t>
      </w:r>
      <w:r>
        <w:rPr>
          <w:rFonts w:ascii="宋体" w:hAnsi="宋体" w:cs="宋体" w:eastAsia="宋体" w:hint="default"/>
        </w:rPr>
        <w:t>解决方案和服务供应商，在软件开发、生产、测试过程中不产</w:t>
      </w:r>
      <w:r>
        <w:rPr>
          <w:rFonts w:ascii="宋体" w:hAnsi="宋体" w:cs="宋体" w:eastAsia="宋体" w:hint="default"/>
        </w:rPr>
        <w:t> </w:t>
      </w:r>
      <w:r>
        <w:rPr>
          <w:rFonts w:ascii="宋体" w:hAnsi="宋体" w:cs="宋体" w:eastAsia="宋体" w:hint="default"/>
          <w:spacing w:val="-3"/>
        </w:rPr>
        <w:t>生灰尘、废气、废水、废渣或噪声等污染物，不会对环境造成污染。公司注重打</w:t>
      </w:r>
      <w:r>
        <w:rPr>
          <w:rFonts w:ascii="宋体" w:hAnsi="宋体" w:cs="宋体" w:eastAsia="宋体" w:hint="default"/>
          <w:spacing w:val="-113"/>
        </w:rPr>
        <w:t> </w:t>
      </w:r>
      <w:r>
        <w:rPr>
          <w:rFonts w:ascii="宋体" w:hAnsi="宋体" w:cs="宋体" w:eastAsia="宋体" w:hint="default"/>
          <w:spacing w:val="-113"/>
        </w:rPr>
      </w:r>
      <w:r>
        <w:rPr>
          <w:rFonts w:ascii="宋体" w:hAnsi="宋体" w:cs="宋体" w:eastAsia="宋体" w:hint="default"/>
          <w:spacing w:val="-6"/>
        </w:rPr>
        <w:t>造低碳、绿色、环保的工作模式，加快统一信息系统建设，运用办公自动化系统，</w:t>
      </w:r>
      <w:r>
        <w:rPr>
          <w:rFonts w:ascii="宋体" w:hAnsi="宋体" w:cs="宋体" w:eastAsia="宋体" w:hint="default"/>
        </w:rPr>
        <w:t> 实施无纸化办公；实现内部免费 VOIP</w:t>
      </w:r>
      <w:r>
        <w:rPr>
          <w:rFonts w:ascii="宋体" w:hAnsi="宋体" w:cs="宋体" w:eastAsia="宋体" w:hint="default"/>
          <w:spacing w:val="-94"/>
        </w:rPr>
        <w:t> </w:t>
      </w:r>
      <w:r>
        <w:rPr>
          <w:rFonts w:ascii="宋体" w:hAnsi="宋体" w:cs="宋体" w:eastAsia="宋体" w:hint="default"/>
        </w:rPr>
        <w:t>通话，引入远程会议系统，促进协同办公</w:t>
      </w:r>
      <w:r>
        <w:rPr>
          <w:rFonts w:ascii="宋体" w:hAnsi="宋体" w:cs="宋体" w:eastAsia="宋体" w:hint="default"/>
        </w:rPr>
        <w:t> </w:t>
      </w:r>
      <w:r>
        <w:rPr>
          <w:rFonts w:ascii="宋体" w:hAnsi="宋体" w:cs="宋体" w:eastAsia="宋体" w:hint="default"/>
          <w:spacing w:val="-3"/>
        </w:rPr>
        <w:t>模式；通过硬件升级等方式延长电脑使用寿命，将已报废电脑回收利用，杜绝浪</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费；采用节水、省电、无污染的水源热泵进行供暖，广泛使用节能灯，降低能耗</w:t>
      </w:r>
      <w:r>
        <w:rPr>
          <w:rFonts w:ascii="宋体" w:hAnsi="宋体" w:cs="宋体" w:eastAsia="宋体" w:hint="default"/>
          <w:spacing w:val="-113"/>
        </w:rPr>
        <w:t> </w:t>
      </w:r>
      <w:r>
        <w:rPr>
          <w:rFonts w:ascii="宋体" w:hAnsi="宋体" w:cs="宋体" w:eastAsia="宋体" w:hint="default"/>
          <w:spacing w:val="-113"/>
        </w:rPr>
      </w:r>
      <w:r>
        <w:rPr>
          <w:rFonts w:ascii="宋体" w:hAnsi="宋体" w:cs="宋体" w:eastAsia="宋体" w:hint="default"/>
        </w:rPr>
        <w:t>约</w:t>
      </w:r>
      <w:r>
        <w:rPr>
          <w:rFonts w:ascii="宋体" w:hAnsi="宋体" w:cs="宋体" w:eastAsia="宋体" w:hint="default"/>
          <w:spacing w:val="-60"/>
        </w:rPr>
        <w:t> </w:t>
      </w:r>
      <w:r>
        <w:rPr>
          <w:rFonts w:ascii="宋体" w:hAnsi="宋体" w:cs="宋体" w:eastAsia="宋体" w:hint="default"/>
        </w:rPr>
        <w:t>30%；按照“生态、科学、和谐”的理念建设软件园，倡导花园式办公环境，</w:t>
      </w:r>
      <w:r>
        <w:rPr>
          <w:rFonts w:ascii="宋体" w:hAnsi="宋体" w:cs="宋体" w:eastAsia="宋体" w:hint="default"/>
        </w:rPr>
        <w:t> 目前人均绿化面积约</w:t>
      </w:r>
      <w:r>
        <w:rPr>
          <w:rFonts w:ascii="宋体" w:hAnsi="宋体" w:cs="宋体" w:eastAsia="宋体" w:hint="default"/>
          <w:spacing w:val="-60"/>
        </w:rPr>
        <w:t> </w:t>
      </w:r>
      <w:r>
        <w:rPr>
          <w:rFonts w:ascii="宋体" w:hAnsi="宋体" w:cs="宋体" w:eastAsia="宋体" w:hint="default"/>
        </w:rPr>
        <w:t>40</w:t>
      </w:r>
      <w:r>
        <w:rPr>
          <w:rFonts w:ascii="宋体" w:hAnsi="宋体" w:cs="宋体" w:eastAsia="宋体" w:hint="default"/>
          <w:spacing w:val="-60"/>
        </w:rPr>
        <w:t> </w:t>
      </w:r>
      <w:r>
        <w:rPr>
          <w:rFonts w:ascii="宋体" w:hAnsi="宋体" w:cs="宋体" w:eastAsia="宋体" w:hint="default"/>
        </w:rPr>
        <w:t>平方米。</w:t>
      </w:r>
    </w:p>
    <w:p>
      <w:pPr>
        <w:spacing w:line="468" w:lineRule="exact" w:before="31"/>
        <w:ind w:left="620" w:right="144" w:hanging="244"/>
        <w:jc w:val="left"/>
        <w:rPr>
          <w:rFonts w:ascii="宋体" w:hAnsi="宋体" w:cs="宋体" w:eastAsia="宋体" w:hint="default"/>
          <w:sz w:val="24"/>
          <w:szCs w:val="24"/>
        </w:rPr>
      </w:pPr>
      <w:r>
        <w:rPr>
          <w:rFonts w:ascii="宋体" w:hAnsi="宋体" w:cs="宋体" w:eastAsia="宋体" w:hint="default"/>
          <w:b/>
          <w:bCs/>
          <w:sz w:val="24"/>
          <w:szCs w:val="24"/>
        </w:rPr>
        <w:t>（2）不断加强和提高对辐射源污染的管理</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公司重视医疗设备生产过程中的辐射环境管理工作，成立辐射工作管理小</w:t>
      </w:r>
      <w:r>
        <w:rPr>
          <w:rFonts w:ascii="宋体" w:hAnsi="宋体" w:cs="宋体" w:eastAsia="宋体" w:hint="default"/>
          <w:sz w:val="24"/>
          <w:szCs w:val="24"/>
        </w:rPr>
      </w:r>
    </w:p>
    <w:p>
      <w:pPr>
        <w:pStyle w:val="BodyText"/>
        <w:spacing w:line="251" w:lineRule="exact"/>
        <w:ind w:right="0"/>
        <w:jc w:val="both"/>
        <w:rPr>
          <w:rFonts w:ascii="宋体" w:hAnsi="宋体" w:cs="宋体" w:eastAsia="宋体" w:hint="default"/>
        </w:rPr>
      </w:pPr>
      <w:r>
        <w:rPr>
          <w:rFonts w:ascii="宋体" w:hAnsi="宋体" w:cs="宋体" w:eastAsia="宋体" w:hint="default"/>
          <w:spacing w:val="-3"/>
        </w:rPr>
        <w:t>组，制定并执行高于法律法规的辐射环境保护内控标准，每年投入资金用于辐射</w:t>
      </w:r>
    </w:p>
    <w:p>
      <w:pPr>
        <w:pStyle w:val="BodyText"/>
        <w:spacing w:line="312" w:lineRule="exact" w:before="29"/>
        <w:ind w:right="237"/>
        <w:jc w:val="both"/>
        <w:rPr>
          <w:rFonts w:ascii="宋体" w:hAnsi="宋体" w:cs="宋体" w:eastAsia="宋体" w:hint="default"/>
        </w:rPr>
      </w:pPr>
      <w:r>
        <w:rPr>
          <w:rFonts w:ascii="宋体" w:hAnsi="宋体" w:cs="宋体" w:eastAsia="宋体" w:hint="default"/>
          <w:spacing w:val="-3"/>
        </w:rPr>
        <w:t>工作环境的改造和日常维护，新建、改建和扩建项目的辐射环境投资比例一般不</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低于</w:t>
      </w:r>
      <w:r>
        <w:rPr>
          <w:rFonts w:ascii="宋体" w:hAnsi="宋体" w:cs="宋体" w:eastAsia="宋体" w:hint="default"/>
          <w:spacing w:val="-60"/>
        </w:rPr>
        <w:t> </w:t>
      </w:r>
      <w:r>
        <w:rPr>
          <w:rFonts w:ascii="宋体" w:hAnsi="宋体" w:cs="宋体" w:eastAsia="宋体" w:hint="default"/>
        </w:rPr>
        <w:t>5%。</w:t>
      </w:r>
    </w:p>
    <w:p>
      <w:pPr>
        <w:pStyle w:val="BodyText"/>
        <w:spacing w:line="312" w:lineRule="exact" w:before="156"/>
        <w:ind w:right="230" w:firstLine="480"/>
        <w:jc w:val="both"/>
        <w:rPr>
          <w:rFonts w:ascii="宋体" w:hAnsi="宋体" w:cs="宋体" w:eastAsia="宋体" w:hint="default"/>
        </w:rPr>
      </w:pPr>
      <w:r>
        <w:rPr>
          <w:rFonts w:ascii="宋体" w:hAnsi="宋体" w:cs="宋体" w:eastAsia="宋体" w:hint="default"/>
          <w:spacing w:val="4"/>
        </w:rPr>
        <w:t>对于存在的辐射源，公司采取了设置警示标志、安装红外报警系统、配备 </w:t>
      </w:r>
      <w:r>
        <w:rPr>
          <w:rFonts w:ascii="宋体" w:hAnsi="宋体" w:cs="宋体" w:eastAsia="宋体" w:hint="default"/>
        </w:rPr>
        <w:t>24</w:t>
      </w:r>
      <w:r>
        <w:rPr>
          <w:rFonts w:ascii="宋体" w:hAnsi="宋体" w:cs="宋体" w:eastAsia="宋体" w:hint="default"/>
          <w:spacing w:val="1"/>
        </w:rPr>
        <w:t> </w:t>
      </w:r>
      <w:r>
        <w:rPr>
          <w:rFonts w:ascii="宋体" w:hAnsi="宋体" w:cs="宋体" w:eastAsia="宋体" w:hint="default"/>
        </w:rPr>
        <w:t>小时闭路放射源监控系统和辐射监测设备、定期进行放射源装置周围环境监</w:t>
      </w:r>
      <w:r>
        <w:rPr>
          <w:rFonts w:ascii="宋体" w:hAnsi="宋体" w:cs="宋体" w:eastAsia="宋体" w:hint="default"/>
        </w:rPr>
        <w:t> </w:t>
      </w:r>
      <w:r>
        <w:rPr>
          <w:rFonts w:ascii="宋体" w:hAnsi="宋体" w:cs="宋体" w:eastAsia="宋体" w:hint="default"/>
          <w:spacing w:val="-3"/>
        </w:rPr>
        <w:t>测、指定核废物回收单位等一系列措施，并为辐射工作人员配备必要的防护用品</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和每年至少一次的职业病体检，以保护环境和员工健康。公司自投产以来，未发</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生环保违法违规事件，未发生辐射安全事故。</w:t>
      </w:r>
    </w:p>
    <w:p>
      <w:pPr>
        <w:spacing w:line="240" w:lineRule="auto" w:before="3"/>
        <w:rPr>
          <w:rFonts w:ascii="宋体" w:hAnsi="宋体" w:cs="宋体" w:eastAsia="宋体" w:hint="default"/>
          <w:sz w:val="26"/>
          <w:szCs w:val="26"/>
        </w:rPr>
      </w:pPr>
    </w:p>
    <w:p>
      <w:pPr>
        <w:pStyle w:val="Heading7"/>
        <w:spacing w:line="240" w:lineRule="auto"/>
        <w:ind w:right="0"/>
        <w:jc w:val="both"/>
        <w:rPr>
          <w:b w:val="0"/>
          <w:bCs w:val="0"/>
        </w:rPr>
      </w:pPr>
      <w:r>
        <w:rPr/>
        <w:t>4、推动教育和社会就业</w:t>
      </w:r>
      <w:r>
        <w:rPr>
          <w:b w:val="0"/>
          <w:bCs w:val="0"/>
        </w:rPr>
      </w:r>
    </w:p>
    <w:p>
      <w:pPr>
        <w:spacing w:line="240" w:lineRule="auto" w:before="7"/>
        <w:rPr>
          <w:rFonts w:ascii="宋体" w:hAnsi="宋体" w:cs="宋体" w:eastAsia="宋体" w:hint="default"/>
          <w:b/>
          <w:bCs/>
          <w:sz w:val="16"/>
          <w:szCs w:val="16"/>
        </w:rPr>
      </w:pPr>
    </w:p>
    <w:p>
      <w:pPr>
        <w:spacing w:line="470" w:lineRule="atLeast" w:before="0"/>
        <w:ind w:left="610" w:right="98" w:hanging="234"/>
        <w:jc w:val="left"/>
        <w:rPr>
          <w:rFonts w:ascii="宋体" w:hAnsi="宋体" w:cs="宋体" w:eastAsia="宋体" w:hint="default"/>
          <w:sz w:val="24"/>
          <w:szCs w:val="24"/>
        </w:rPr>
      </w:pPr>
      <w:r>
        <w:rPr>
          <w:rFonts w:ascii="宋体" w:hAnsi="宋体" w:cs="宋体" w:eastAsia="宋体" w:hint="default"/>
          <w:b/>
          <w:bCs/>
          <w:sz w:val="24"/>
          <w:szCs w:val="24"/>
        </w:rPr>
        <w:t>（1）注重员工培养，维护员工利益</w:t>
      </w:r>
      <w:r>
        <w:rPr>
          <w:rFonts w:ascii="宋体" w:hAnsi="宋体" w:cs="宋体" w:eastAsia="宋体" w:hint="default"/>
          <w:b/>
          <w:bCs/>
          <w:spacing w:val="1"/>
          <w:w w:val="99"/>
          <w:sz w:val="24"/>
          <w:szCs w:val="24"/>
        </w:rPr>
        <w:t> </w:t>
      </w:r>
      <w:r>
        <w:rPr>
          <w:rFonts w:ascii="宋体" w:hAnsi="宋体" w:cs="宋体" w:eastAsia="宋体" w:hint="default"/>
          <w:spacing w:val="-6"/>
          <w:sz w:val="24"/>
          <w:szCs w:val="24"/>
        </w:rPr>
        <w:t>公司重视人才培养，通过多年在员工培养方面的实践，以及校企合作的探索，</w:t>
      </w:r>
    </w:p>
    <w:p>
      <w:pPr>
        <w:pStyle w:val="BodyText"/>
        <w:spacing w:line="312" w:lineRule="exact" w:before="28"/>
        <w:ind w:left="139" w:right="237"/>
        <w:jc w:val="both"/>
        <w:rPr>
          <w:rFonts w:ascii="宋体" w:hAnsi="宋体" w:cs="宋体" w:eastAsia="宋体" w:hint="default"/>
        </w:rPr>
      </w:pPr>
      <w:r>
        <w:rPr>
          <w:rFonts w:ascii="宋体" w:hAnsi="宋体" w:cs="宋体" w:eastAsia="宋体" w:hint="default"/>
          <w:spacing w:val="-3"/>
        </w:rPr>
        <w:t>积累了丰富的人才培养经验，创新性地提出东软人才培养框架，以项目实践、产</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品和技术的创新不断提升员工能力，持续进行人才储备，促进员工成长和竞争能</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力的提高。</w:t>
      </w:r>
    </w:p>
    <w:p>
      <w:pPr>
        <w:pStyle w:val="BodyText"/>
        <w:spacing w:line="312" w:lineRule="exact" w:before="156"/>
        <w:ind w:left="139" w:right="142" w:firstLine="480"/>
        <w:jc w:val="both"/>
        <w:rPr>
          <w:rFonts w:ascii="宋体" w:hAnsi="宋体" w:cs="宋体" w:eastAsia="宋体" w:hint="default"/>
        </w:rPr>
      </w:pPr>
      <w:r>
        <w:rPr>
          <w:rFonts w:ascii="宋体" w:hAnsi="宋体" w:cs="宋体" w:eastAsia="宋体" w:hint="default"/>
        </w:rPr>
        <w:t>2009</w:t>
      </w:r>
      <w:r>
        <w:rPr>
          <w:rFonts w:ascii="宋体" w:hAnsi="宋体" w:cs="宋体" w:eastAsia="宋体" w:hint="default"/>
          <w:spacing w:val="10"/>
        </w:rPr>
        <w:t> </w:t>
      </w:r>
      <w:r>
        <w:rPr>
          <w:rFonts w:ascii="宋体" w:hAnsi="宋体" w:cs="宋体" w:eastAsia="宋体" w:hint="default"/>
        </w:rPr>
        <w:t>年，面对国际金融危机对经济与就业形势的影响，公司将稳定员工队</w:t>
      </w:r>
      <w:r>
        <w:rPr>
          <w:rFonts w:ascii="宋体" w:hAnsi="宋体" w:cs="宋体" w:eastAsia="宋体" w:hint="default"/>
          <w:spacing w:val="1"/>
        </w:rPr>
        <w:t> </w:t>
      </w:r>
      <w:r>
        <w:rPr>
          <w:rFonts w:ascii="宋体" w:hAnsi="宋体" w:cs="宋体" w:eastAsia="宋体" w:hint="default"/>
          <w:spacing w:val="-3"/>
        </w:rPr>
        <w:t>伍、促进社会就业作为公司重要的社会责任之一，在国内率先提出“不裁员，不</w:t>
      </w:r>
      <w:r>
        <w:rPr>
          <w:rFonts w:ascii="宋体" w:hAnsi="宋体" w:cs="宋体" w:eastAsia="宋体" w:hint="default"/>
          <w:spacing w:val="-110"/>
        </w:rPr>
        <w:t> </w:t>
      </w:r>
      <w:r>
        <w:rPr>
          <w:rFonts w:ascii="宋体" w:hAnsi="宋体" w:cs="宋体" w:eastAsia="宋体" w:hint="default"/>
          <w:spacing w:val="-110"/>
        </w:rPr>
      </w:r>
      <w:r>
        <w:rPr>
          <w:rFonts w:ascii="宋体" w:hAnsi="宋体" w:cs="宋体" w:eastAsia="宋体" w:hint="default"/>
          <w:spacing w:val="-15"/>
        </w:rPr>
        <w:t>降薪”。2009</w:t>
      </w:r>
      <w:r>
        <w:rPr>
          <w:rFonts w:ascii="宋体" w:hAnsi="宋体" w:cs="宋体" w:eastAsia="宋体" w:hint="default"/>
          <w:spacing w:val="-60"/>
        </w:rPr>
        <w:t> </w:t>
      </w:r>
      <w:r>
        <w:rPr>
          <w:rFonts w:ascii="宋体" w:hAnsi="宋体" w:cs="宋体" w:eastAsia="宋体" w:hint="default"/>
        </w:rPr>
        <w:t>年，公司在兑现上述承诺的同时，员工总数较</w:t>
      </w:r>
      <w:r>
        <w:rPr>
          <w:rFonts w:ascii="宋体" w:hAnsi="宋体" w:cs="宋体" w:eastAsia="宋体" w:hint="default"/>
          <w:spacing w:val="-60"/>
        </w:rPr>
        <w:t> </w:t>
      </w:r>
      <w:r>
        <w:rPr>
          <w:rFonts w:ascii="宋体" w:hAnsi="宋体" w:cs="宋体" w:eastAsia="宋体" w:hint="default"/>
        </w:rPr>
        <w:t>2008</w:t>
      </w:r>
      <w:r>
        <w:rPr>
          <w:rFonts w:ascii="宋体" w:hAnsi="宋体" w:cs="宋体" w:eastAsia="宋体" w:hint="default"/>
          <w:spacing w:val="-60"/>
        </w:rPr>
        <w:t> </w:t>
      </w:r>
      <w:r>
        <w:rPr>
          <w:rFonts w:ascii="宋体" w:hAnsi="宋体" w:cs="宋体" w:eastAsia="宋体" w:hint="default"/>
        </w:rPr>
        <w:t>年增长近</w:t>
      </w:r>
      <w:r>
        <w:rPr>
          <w:rFonts w:ascii="宋体" w:hAnsi="宋体" w:cs="宋体" w:eastAsia="宋体" w:hint="default"/>
          <w:spacing w:val="-60"/>
        </w:rPr>
        <w:t> </w:t>
      </w:r>
      <w:r>
        <w:rPr>
          <w:rFonts w:ascii="宋体" w:hAnsi="宋体" w:cs="宋体" w:eastAsia="宋体" w:hint="default"/>
        </w:rPr>
        <w:t>14%，</w:t>
      </w:r>
    </w:p>
    <w:p>
      <w:pPr>
        <w:spacing w:after="0" w:line="312" w:lineRule="exact"/>
        <w:jc w:val="both"/>
        <w:rPr>
          <w:rFonts w:ascii="宋体" w:hAnsi="宋体" w:cs="宋体" w:eastAsia="宋体" w:hint="default"/>
        </w:rPr>
        <w:sectPr>
          <w:pgSz w:w="11910" w:h="16840"/>
          <w:pgMar w:header="851" w:footer="982" w:top="1220" w:bottom="1180" w:left="1660" w:right="1560"/>
        </w:sectPr>
      </w:pPr>
    </w:p>
    <w:p>
      <w:pPr>
        <w:spacing w:line="240" w:lineRule="auto" w:before="8"/>
        <w:rPr>
          <w:rFonts w:ascii="宋体" w:hAnsi="宋体" w:cs="宋体" w:eastAsia="宋体" w:hint="default"/>
          <w:sz w:val="11"/>
          <w:szCs w:val="11"/>
        </w:rPr>
      </w:pPr>
    </w:p>
    <w:p>
      <w:pPr>
        <w:pStyle w:val="BodyText"/>
        <w:spacing w:line="240" w:lineRule="auto" w:before="26"/>
        <w:ind w:right="144"/>
        <w:jc w:val="left"/>
        <w:rPr>
          <w:rFonts w:ascii="宋体" w:hAnsi="宋体" w:cs="宋体" w:eastAsia="宋体" w:hint="default"/>
        </w:rPr>
      </w:pPr>
      <w:bookmarkStart w:name="_bookmark17" w:id="22"/>
      <w:bookmarkEnd w:id="22"/>
      <w:r>
        <w:rPr/>
      </w:r>
      <w:r>
        <w:rPr>
          <w:rFonts w:ascii="宋体" w:hAnsi="宋体" w:cs="宋体" w:eastAsia="宋体" w:hint="default"/>
        </w:rPr>
        <w:t>达到</w:t>
      </w:r>
      <w:r>
        <w:rPr>
          <w:rFonts w:ascii="宋体" w:hAnsi="宋体" w:cs="宋体" w:eastAsia="宋体" w:hint="default"/>
          <w:spacing w:val="-60"/>
        </w:rPr>
        <w:t> </w:t>
      </w:r>
      <w:r>
        <w:rPr>
          <w:rFonts w:ascii="宋体" w:hAnsi="宋体" w:cs="宋体" w:eastAsia="宋体" w:hint="default"/>
        </w:rPr>
        <w:t>15,760</w:t>
      </w:r>
      <w:r>
        <w:rPr>
          <w:rFonts w:ascii="宋体" w:hAnsi="宋体" w:cs="宋体" w:eastAsia="宋体" w:hint="default"/>
          <w:spacing w:val="-60"/>
        </w:rPr>
        <w:t> </w:t>
      </w:r>
      <w:r>
        <w:rPr>
          <w:rFonts w:ascii="宋体" w:hAnsi="宋体" w:cs="宋体" w:eastAsia="宋体" w:hint="default"/>
        </w:rPr>
        <w:t>人。</w:t>
      </w:r>
    </w:p>
    <w:p>
      <w:pPr>
        <w:spacing w:line="460" w:lineRule="atLeast" w:before="8"/>
        <w:ind w:left="620" w:right="100" w:hanging="244"/>
        <w:jc w:val="left"/>
        <w:rPr>
          <w:rFonts w:ascii="宋体" w:hAnsi="宋体" w:cs="宋体" w:eastAsia="宋体" w:hint="default"/>
          <w:sz w:val="24"/>
          <w:szCs w:val="24"/>
        </w:rPr>
      </w:pPr>
      <w:r>
        <w:rPr>
          <w:rFonts w:ascii="宋体" w:hAnsi="宋体" w:cs="宋体" w:eastAsia="宋体" w:hint="default"/>
          <w:b/>
          <w:bCs/>
          <w:sz w:val="24"/>
          <w:szCs w:val="24"/>
        </w:rPr>
        <w:t>（2）建立人才实训中心，为社会培训实用型人才</w:t>
      </w:r>
      <w:r>
        <w:rPr>
          <w:rFonts w:ascii="宋体" w:hAnsi="宋体" w:cs="宋体" w:eastAsia="宋体" w:hint="default"/>
          <w:b/>
          <w:bCs/>
          <w:spacing w:val="1"/>
          <w:w w:val="99"/>
          <w:sz w:val="24"/>
          <w:szCs w:val="24"/>
        </w:rPr>
        <w:t> </w:t>
      </w:r>
      <w:r>
        <w:rPr>
          <w:rFonts w:ascii="宋体" w:hAnsi="宋体" w:cs="宋体" w:eastAsia="宋体" w:hint="default"/>
          <w:spacing w:val="-7"/>
          <w:sz w:val="24"/>
          <w:szCs w:val="24"/>
        </w:rPr>
        <w:t>东软人才实训中心分别在沈阳、大连、南京和无锡建立了分布式的实训基地，</w:t>
      </w:r>
    </w:p>
    <w:p>
      <w:pPr>
        <w:pStyle w:val="BodyText"/>
        <w:spacing w:line="312" w:lineRule="exact" w:before="28"/>
        <w:ind w:right="229"/>
        <w:jc w:val="left"/>
        <w:rPr>
          <w:rFonts w:ascii="宋体" w:hAnsi="宋体" w:cs="宋体" w:eastAsia="宋体" w:hint="default"/>
        </w:rPr>
      </w:pPr>
      <w:r>
        <w:rPr>
          <w:rFonts w:ascii="宋体" w:hAnsi="宋体" w:cs="宋体" w:eastAsia="宋体" w:hint="default"/>
          <w:spacing w:val="-3"/>
        </w:rPr>
        <w:t>通过以能力为导向的软件人才培养路径，帮助学生完成知识向行为、技能和工程</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实践能力的转化。</w:t>
      </w:r>
    </w:p>
    <w:p>
      <w:pPr>
        <w:pStyle w:val="BodyText"/>
        <w:spacing w:line="312" w:lineRule="exact" w:before="156"/>
        <w:ind w:right="136" w:firstLine="480"/>
        <w:jc w:val="left"/>
        <w:rPr>
          <w:rFonts w:ascii="宋体" w:hAnsi="宋体" w:cs="宋体" w:eastAsia="宋体" w:hint="default"/>
        </w:rPr>
      </w:pPr>
      <w:r>
        <w:rPr>
          <w:rFonts w:ascii="宋体" w:hAnsi="宋体" w:cs="宋体" w:eastAsia="宋体" w:hint="default"/>
        </w:rPr>
        <w:t>2009</w:t>
      </w:r>
      <w:r>
        <w:rPr>
          <w:rFonts w:ascii="宋体" w:hAnsi="宋体" w:cs="宋体" w:eastAsia="宋体" w:hint="default"/>
          <w:spacing w:val="10"/>
        </w:rPr>
        <w:t> </w:t>
      </w:r>
      <w:r>
        <w:rPr>
          <w:rFonts w:ascii="宋体" w:hAnsi="宋体" w:cs="宋体" w:eastAsia="宋体" w:hint="default"/>
        </w:rPr>
        <w:t>年，东软人才实训中心承接了“辽宁省普通高校困难家庭毕业生就业</w:t>
      </w:r>
      <w:r>
        <w:rPr>
          <w:rFonts w:ascii="宋体" w:hAnsi="宋体" w:cs="宋体" w:eastAsia="宋体" w:hint="default"/>
          <w:spacing w:val="1"/>
        </w:rPr>
        <w:t> </w:t>
      </w:r>
      <w:r>
        <w:rPr>
          <w:rFonts w:ascii="宋体" w:hAnsi="宋体" w:cs="宋体" w:eastAsia="宋体" w:hint="default"/>
          <w:spacing w:val="-7"/>
        </w:rPr>
        <w:t>技能培训”、“辽宁省离校未就业高校毕业生专业转换及技能提升培训”等工作，</w:t>
      </w:r>
      <w:r>
        <w:rPr>
          <w:rFonts w:ascii="宋体" w:hAnsi="宋体" w:cs="宋体" w:eastAsia="宋体" w:hint="default"/>
          <w:spacing w:val="-108"/>
        </w:rPr>
        <w:t> </w:t>
      </w:r>
      <w:r>
        <w:rPr>
          <w:rFonts w:ascii="宋体" w:hAnsi="宋体" w:cs="宋体" w:eastAsia="宋体" w:hint="default"/>
          <w:spacing w:val="-108"/>
        </w:rPr>
      </w:r>
      <w:r>
        <w:rPr>
          <w:rFonts w:ascii="宋体" w:hAnsi="宋体" w:cs="宋体" w:eastAsia="宋体" w:hint="default"/>
        </w:rPr>
        <w:t>荣获“2009 年沈阳市高校毕业生就业工作突出贡献单位”称号。2009</w:t>
      </w:r>
      <w:r>
        <w:rPr>
          <w:rFonts w:ascii="宋体" w:hAnsi="宋体" w:cs="宋体" w:eastAsia="宋体" w:hint="default"/>
          <w:spacing w:val="-94"/>
        </w:rPr>
        <w:t> </w:t>
      </w:r>
      <w:r>
        <w:rPr>
          <w:rFonts w:ascii="宋体" w:hAnsi="宋体" w:cs="宋体" w:eastAsia="宋体" w:hint="default"/>
        </w:rPr>
        <w:t>年，人才</w:t>
      </w:r>
      <w:r>
        <w:rPr>
          <w:rFonts w:ascii="宋体" w:hAnsi="宋体" w:cs="宋体" w:eastAsia="宋体" w:hint="default"/>
        </w:rPr>
        <w:t> 实训中心对近 8,000</w:t>
      </w:r>
      <w:r>
        <w:rPr>
          <w:rFonts w:ascii="宋体" w:hAnsi="宋体" w:cs="宋体" w:eastAsia="宋体" w:hint="default"/>
          <w:spacing w:val="2"/>
        </w:rPr>
        <w:t> </w:t>
      </w:r>
      <w:r>
        <w:rPr>
          <w:rFonts w:ascii="宋体" w:hAnsi="宋体" w:cs="宋体" w:eastAsia="宋体" w:hint="default"/>
        </w:rPr>
        <w:t>名大学生开展就业实训工作，促进了大学生就业目标的实</w:t>
      </w:r>
      <w:r>
        <w:rPr>
          <w:rFonts w:ascii="宋体" w:hAnsi="宋体" w:cs="宋体" w:eastAsia="宋体" w:hint="default"/>
        </w:rPr>
        <w:t> 现。</w:t>
      </w:r>
    </w:p>
    <w:p>
      <w:pPr>
        <w:spacing w:line="468" w:lineRule="exact" w:before="31"/>
        <w:ind w:left="620" w:right="223" w:hanging="244"/>
        <w:jc w:val="left"/>
        <w:rPr>
          <w:rFonts w:ascii="宋体" w:hAnsi="宋体" w:cs="宋体" w:eastAsia="宋体" w:hint="default"/>
          <w:sz w:val="24"/>
          <w:szCs w:val="24"/>
        </w:rPr>
      </w:pPr>
      <w:r>
        <w:rPr>
          <w:rFonts w:ascii="宋体" w:hAnsi="宋体" w:cs="宋体" w:eastAsia="宋体" w:hint="default"/>
          <w:b/>
          <w:bCs/>
          <w:sz w:val="24"/>
          <w:szCs w:val="24"/>
        </w:rPr>
        <w:t>（3）举办学历教育学院，为社会培养</w:t>
      </w:r>
      <w:r>
        <w:rPr>
          <w:rFonts w:ascii="宋体" w:hAnsi="宋体" w:cs="宋体" w:eastAsia="宋体" w:hint="default"/>
          <w:b/>
          <w:bCs/>
          <w:spacing w:val="-60"/>
          <w:sz w:val="24"/>
          <w:szCs w:val="24"/>
        </w:rPr>
        <w:t> </w:t>
      </w:r>
      <w:r>
        <w:rPr>
          <w:rFonts w:ascii="宋体" w:hAnsi="宋体" w:cs="宋体" w:eastAsia="宋体" w:hint="default"/>
          <w:b/>
          <w:bCs/>
          <w:sz w:val="24"/>
          <w:szCs w:val="24"/>
        </w:rPr>
        <w:t>IT</w:t>
      </w:r>
      <w:r>
        <w:rPr>
          <w:rFonts w:ascii="宋体" w:hAnsi="宋体" w:cs="宋体" w:eastAsia="宋体" w:hint="default"/>
          <w:b/>
          <w:bCs/>
          <w:spacing w:val="-60"/>
          <w:sz w:val="24"/>
          <w:szCs w:val="24"/>
        </w:rPr>
        <w:t> </w:t>
      </w:r>
      <w:r>
        <w:rPr>
          <w:rFonts w:ascii="宋体" w:hAnsi="宋体" w:cs="宋体" w:eastAsia="宋体" w:hint="default"/>
          <w:b/>
          <w:bCs/>
          <w:sz w:val="24"/>
          <w:szCs w:val="24"/>
        </w:rPr>
        <w:t>应用型人才</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东软作为举办者，在大连、成都和南海分别建立了东软信息学院，为经济和</w:t>
      </w:r>
    </w:p>
    <w:p>
      <w:pPr>
        <w:pStyle w:val="BodyText"/>
        <w:spacing w:line="251" w:lineRule="exact"/>
        <w:ind w:right="144"/>
        <w:jc w:val="left"/>
        <w:rPr>
          <w:rFonts w:ascii="宋体" w:hAnsi="宋体" w:cs="宋体" w:eastAsia="宋体" w:hint="default"/>
        </w:rPr>
      </w:pPr>
      <w:r>
        <w:rPr>
          <w:rFonts w:ascii="宋体" w:hAnsi="宋体" w:cs="宋体" w:eastAsia="宋体" w:hint="default"/>
        </w:rPr>
        <w:t>产业发展培养了大批实用化、国际化、个性化的 IT</w:t>
      </w:r>
      <w:r>
        <w:rPr>
          <w:rFonts w:ascii="宋体" w:hAnsi="宋体" w:cs="宋体" w:eastAsia="宋体" w:hint="default"/>
          <w:spacing w:val="-94"/>
        </w:rPr>
        <w:t> </w:t>
      </w:r>
      <w:r>
        <w:rPr>
          <w:rFonts w:ascii="宋体" w:hAnsi="宋体" w:cs="宋体" w:eastAsia="宋体" w:hint="default"/>
        </w:rPr>
        <w:t>应用型人才，目前在校生约</w:t>
      </w:r>
    </w:p>
    <w:p>
      <w:pPr>
        <w:pStyle w:val="BodyText"/>
        <w:spacing w:line="313" w:lineRule="exact"/>
        <w:ind w:right="144"/>
        <w:jc w:val="left"/>
        <w:rPr>
          <w:rFonts w:ascii="宋体" w:hAnsi="宋体" w:cs="宋体" w:eastAsia="宋体" w:hint="default"/>
        </w:rPr>
      </w:pPr>
      <w:r>
        <w:rPr>
          <w:rFonts w:ascii="宋体" w:hAnsi="宋体" w:cs="宋体" w:eastAsia="宋体" w:hint="default"/>
        </w:rPr>
        <w:t>25,000</w:t>
      </w:r>
      <w:r>
        <w:rPr>
          <w:rFonts w:ascii="宋体" w:hAnsi="宋体" w:cs="宋体" w:eastAsia="宋体" w:hint="default"/>
          <w:spacing w:val="-60"/>
        </w:rPr>
        <w:t> </w:t>
      </w:r>
      <w:r>
        <w:rPr>
          <w:rFonts w:ascii="宋体" w:hAnsi="宋体" w:cs="宋体" w:eastAsia="宋体" w:hint="default"/>
        </w:rPr>
        <w:t>人。</w:t>
      </w:r>
    </w:p>
    <w:p>
      <w:pPr>
        <w:pStyle w:val="BodyText"/>
        <w:spacing w:line="312" w:lineRule="exact" w:before="184"/>
        <w:ind w:right="144" w:firstLine="480"/>
        <w:jc w:val="left"/>
        <w:rPr>
          <w:rFonts w:ascii="宋体" w:hAnsi="宋体" w:cs="宋体" w:eastAsia="宋体" w:hint="default"/>
        </w:rPr>
      </w:pPr>
      <w:r>
        <w:rPr>
          <w:rFonts w:ascii="宋体" w:hAnsi="宋体" w:cs="宋体" w:eastAsia="宋体" w:hint="default"/>
          <w:spacing w:val="-3"/>
        </w:rPr>
        <w:t>三地学院不断深化教学改革，通过教育教学改革的探索与实践，提高人才培</w:t>
      </w:r>
      <w:r>
        <w:rPr>
          <w:rFonts w:ascii="宋体" w:hAnsi="宋体" w:cs="宋体" w:eastAsia="宋体" w:hint="default"/>
        </w:rPr>
        <w:t> 养质量。2009</w:t>
      </w:r>
      <w:r>
        <w:rPr>
          <w:rFonts w:ascii="宋体" w:hAnsi="宋体" w:cs="宋体" w:eastAsia="宋体" w:hint="default"/>
          <w:spacing w:val="-89"/>
        </w:rPr>
        <w:t> </w:t>
      </w:r>
      <w:r>
        <w:rPr>
          <w:rFonts w:ascii="宋体" w:hAnsi="宋体" w:cs="宋体" w:eastAsia="宋体" w:hint="default"/>
        </w:rPr>
        <w:t>年，各学院师生在国内外各类竞赛、评比中均取得了较好的成绩，</w:t>
      </w:r>
      <w:r>
        <w:rPr>
          <w:rFonts w:ascii="宋体" w:hAnsi="宋体" w:cs="宋体" w:eastAsia="宋体" w:hint="default"/>
        </w:rPr>
        <w:t> 大连东软信息学院在本科层次荣获高等教育国家教学成果二等奖。2009 年，三 地学院合计全国招收新生</w:t>
      </w:r>
      <w:r>
        <w:rPr>
          <w:rFonts w:ascii="宋体" w:hAnsi="宋体" w:cs="宋体" w:eastAsia="宋体" w:hint="default"/>
          <w:spacing w:val="-59"/>
        </w:rPr>
        <w:t> </w:t>
      </w:r>
      <w:r>
        <w:rPr>
          <w:rFonts w:ascii="宋体" w:hAnsi="宋体" w:cs="宋体" w:eastAsia="宋体" w:hint="default"/>
        </w:rPr>
        <w:t>6,870</w:t>
      </w:r>
      <w:r>
        <w:rPr>
          <w:rFonts w:ascii="宋体" w:hAnsi="宋体" w:cs="宋体" w:eastAsia="宋体" w:hint="default"/>
          <w:spacing w:val="-59"/>
        </w:rPr>
        <w:t> </w:t>
      </w:r>
      <w:r>
        <w:rPr>
          <w:rFonts w:ascii="宋体" w:hAnsi="宋体" w:cs="宋体" w:eastAsia="宋体" w:hint="default"/>
          <w:spacing w:val="-5"/>
        </w:rPr>
        <w:t>人，向社会输送毕业生近</w:t>
      </w:r>
      <w:r>
        <w:rPr>
          <w:rFonts w:ascii="宋体" w:hAnsi="宋体" w:cs="宋体" w:eastAsia="宋体" w:hint="default"/>
          <w:spacing w:val="-59"/>
        </w:rPr>
        <w:t> </w:t>
      </w:r>
      <w:r>
        <w:rPr>
          <w:rFonts w:ascii="宋体" w:hAnsi="宋体" w:cs="宋体" w:eastAsia="宋体" w:hint="default"/>
        </w:rPr>
        <w:t>7,300</w:t>
      </w:r>
      <w:r>
        <w:rPr>
          <w:rFonts w:ascii="宋体" w:hAnsi="宋体" w:cs="宋体" w:eastAsia="宋体" w:hint="default"/>
          <w:spacing w:val="-59"/>
        </w:rPr>
        <w:t> </w:t>
      </w:r>
      <w:r>
        <w:rPr>
          <w:rFonts w:ascii="宋体" w:hAnsi="宋体" w:cs="宋体" w:eastAsia="宋体" w:hint="default"/>
          <w:spacing w:val="-7"/>
        </w:rPr>
        <w:t>人，就业率超过</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90%。</w:t>
      </w:r>
    </w:p>
    <w:p>
      <w:pPr>
        <w:pStyle w:val="Heading7"/>
        <w:spacing w:line="240" w:lineRule="auto" w:before="125"/>
        <w:ind w:left="376" w:right="144"/>
        <w:jc w:val="left"/>
        <w:rPr>
          <w:b w:val="0"/>
          <w:bCs w:val="0"/>
        </w:rPr>
      </w:pPr>
      <w:r>
        <w:rPr/>
        <w:t>（4）设立“东软”奖学金，造就优秀</w:t>
      </w:r>
      <w:r>
        <w:rPr>
          <w:spacing w:val="-70"/>
        </w:rPr>
        <w:t> </w:t>
      </w:r>
      <w:r>
        <w:rPr/>
        <w:t>IT</w:t>
      </w:r>
      <w:r>
        <w:rPr>
          <w:spacing w:val="-70"/>
        </w:rPr>
        <w:t> </w:t>
      </w:r>
      <w:r>
        <w:rPr/>
        <w:t>人才</w:t>
      </w:r>
      <w:r>
        <w:rPr>
          <w:b w:val="0"/>
          <w:bCs w:val="0"/>
        </w:rPr>
      </w:r>
    </w:p>
    <w:p>
      <w:pPr>
        <w:pStyle w:val="BodyText"/>
        <w:spacing w:line="312" w:lineRule="exact" w:before="184"/>
        <w:ind w:right="218" w:firstLine="480"/>
        <w:jc w:val="left"/>
        <w:rPr>
          <w:rFonts w:ascii="宋体" w:hAnsi="宋体" w:cs="宋体" w:eastAsia="宋体" w:hint="default"/>
        </w:rPr>
      </w:pPr>
      <w:r>
        <w:rPr>
          <w:rFonts w:ascii="宋体" w:hAnsi="宋体" w:cs="宋体" w:eastAsia="宋体" w:hint="default"/>
        </w:rPr>
        <w:t>公司每年出资 50</w:t>
      </w:r>
      <w:r>
        <w:rPr>
          <w:rFonts w:ascii="宋体" w:hAnsi="宋体" w:cs="宋体" w:eastAsia="宋体" w:hint="default"/>
          <w:spacing w:val="-94"/>
        </w:rPr>
        <w:t> </w:t>
      </w:r>
      <w:r>
        <w:rPr>
          <w:rFonts w:ascii="宋体" w:hAnsi="宋体" w:cs="宋体" w:eastAsia="宋体" w:hint="default"/>
        </w:rPr>
        <w:t>万元，在三地东软信息学院设立了“企业奖学金”，以激</w:t>
      </w:r>
      <w:r>
        <w:rPr>
          <w:rFonts w:ascii="宋体" w:hAnsi="宋体" w:cs="宋体" w:eastAsia="宋体" w:hint="default"/>
        </w:rPr>
        <w:t> 励学生勤奋学习、努力进取，促进学生在德、智、体、美等方面全面发展。</w:t>
      </w:r>
    </w:p>
    <w:p>
      <w:pPr>
        <w:pStyle w:val="BodyText"/>
        <w:spacing w:line="312" w:lineRule="exact" w:before="156"/>
        <w:ind w:right="218" w:firstLine="480"/>
        <w:jc w:val="left"/>
        <w:rPr>
          <w:rFonts w:ascii="宋体" w:hAnsi="宋体" w:cs="宋体" w:eastAsia="宋体" w:hint="default"/>
        </w:rPr>
      </w:pPr>
      <w:r>
        <w:rPr>
          <w:rFonts w:ascii="宋体" w:hAnsi="宋体" w:cs="宋体" w:eastAsia="宋体" w:hint="default"/>
        </w:rPr>
        <w:t>公司每年出资 12</w:t>
      </w:r>
      <w:r>
        <w:rPr>
          <w:rFonts w:ascii="宋体" w:hAnsi="宋体" w:cs="宋体" w:eastAsia="宋体" w:hint="default"/>
          <w:spacing w:val="-94"/>
        </w:rPr>
        <w:t> </w:t>
      </w:r>
      <w:r>
        <w:rPr>
          <w:rFonts w:ascii="宋体" w:hAnsi="宋体" w:cs="宋体" w:eastAsia="宋体" w:hint="default"/>
        </w:rPr>
        <w:t>万，面向东北大学信息学院和软件学院，设立“东软集团</w:t>
      </w:r>
      <w:r>
        <w:rPr>
          <w:rFonts w:ascii="宋体" w:hAnsi="宋体" w:cs="宋体" w:eastAsia="宋体" w:hint="default"/>
        </w:rPr>
        <w:t> </w:t>
      </w:r>
      <w:r>
        <w:rPr>
          <w:rFonts w:ascii="宋体" w:hAnsi="宋体" w:cs="宋体" w:eastAsia="宋体" w:hint="default"/>
          <w:spacing w:val="-7"/>
        </w:rPr>
        <w:t>命名奖学金”，以奖励品学兼优的学生。</w:t>
      </w:r>
    </w:p>
    <w:p>
      <w:pPr>
        <w:pStyle w:val="BodyText"/>
        <w:spacing w:line="312" w:lineRule="exact" w:before="156"/>
        <w:ind w:right="98" w:firstLine="480"/>
        <w:jc w:val="left"/>
        <w:rPr>
          <w:rFonts w:ascii="宋体" w:hAnsi="宋体" w:cs="宋体" w:eastAsia="宋体" w:hint="default"/>
        </w:rPr>
      </w:pPr>
      <w:r>
        <w:rPr>
          <w:rFonts w:ascii="宋体" w:hAnsi="宋体" w:cs="宋体" w:eastAsia="宋体" w:hint="default"/>
        </w:rPr>
        <w:t>公司每年出资</w:t>
      </w:r>
      <w:r>
        <w:rPr>
          <w:rFonts w:ascii="宋体" w:hAnsi="宋体" w:cs="宋体" w:eastAsia="宋体" w:hint="default"/>
          <w:spacing w:val="-47"/>
        </w:rPr>
        <w:t> </w:t>
      </w:r>
      <w:r>
        <w:rPr>
          <w:rFonts w:ascii="宋体" w:hAnsi="宋体" w:cs="宋体" w:eastAsia="宋体" w:hint="default"/>
        </w:rPr>
        <w:t>7</w:t>
      </w:r>
      <w:r>
        <w:rPr>
          <w:rFonts w:ascii="宋体" w:hAnsi="宋体" w:cs="宋体" w:eastAsia="宋体" w:hint="default"/>
          <w:spacing w:val="-47"/>
        </w:rPr>
        <w:t> </w:t>
      </w:r>
      <w:r>
        <w:rPr>
          <w:rFonts w:ascii="宋体" w:hAnsi="宋体" w:cs="宋体" w:eastAsia="宋体" w:hint="default"/>
        </w:rPr>
        <w:t>万，赞助东北大学“东软杯”大学生科技节。目前</w:t>
      </w:r>
      <w:r>
        <w:rPr>
          <w:rFonts w:ascii="宋体" w:hAnsi="宋体" w:cs="宋体" w:eastAsia="宋体" w:hint="default"/>
          <w:spacing w:val="-120"/>
        </w:rPr>
        <w:t>，</w:t>
      </w:r>
      <w:r>
        <w:rPr>
          <w:rFonts w:ascii="宋体" w:hAnsi="宋体" w:cs="宋体" w:eastAsia="宋体" w:hint="default"/>
        </w:rPr>
        <w:t>“东软</w:t>
      </w:r>
      <w:r>
        <w:rPr>
          <w:rFonts w:ascii="宋体" w:hAnsi="宋体" w:cs="宋体" w:eastAsia="宋体" w:hint="default"/>
        </w:rPr>
        <w:t> 杯</w:t>
      </w:r>
      <w:r>
        <w:rPr>
          <w:rFonts w:ascii="宋体" w:hAnsi="宋体" w:cs="宋体" w:eastAsia="宋体" w:hint="default"/>
          <w:spacing w:val="-107"/>
        </w:rPr>
        <w:t>”</w:t>
      </w:r>
      <w:r>
        <w:rPr>
          <w:rFonts w:ascii="宋体" w:hAnsi="宋体" w:cs="宋体" w:eastAsia="宋体" w:hint="default"/>
        </w:rPr>
        <w:t>大学生科技节已成为校园文化活动的知名品牌</w:t>
      </w:r>
      <w:r>
        <w:rPr>
          <w:rFonts w:ascii="宋体" w:hAnsi="宋体" w:cs="宋体" w:eastAsia="宋体" w:hint="default"/>
          <w:spacing w:val="-107"/>
        </w:rPr>
        <w:t>，</w:t>
      </w:r>
      <w:r>
        <w:rPr>
          <w:rFonts w:ascii="宋体" w:hAnsi="宋体" w:cs="宋体" w:eastAsia="宋体" w:hint="default"/>
        </w:rPr>
        <w:t>营造了良好的校园文化氛围。</w:t>
      </w:r>
    </w:p>
    <w:p>
      <w:pPr>
        <w:spacing w:line="240" w:lineRule="auto" w:before="3"/>
        <w:rPr>
          <w:rFonts w:ascii="宋体" w:hAnsi="宋体" w:cs="宋体" w:eastAsia="宋体" w:hint="default"/>
          <w:sz w:val="26"/>
          <w:szCs w:val="26"/>
        </w:rPr>
      </w:pPr>
    </w:p>
    <w:p>
      <w:pPr>
        <w:pStyle w:val="Heading7"/>
        <w:spacing w:line="240" w:lineRule="auto"/>
        <w:ind w:right="144"/>
        <w:jc w:val="left"/>
        <w:rPr>
          <w:b w:val="0"/>
          <w:bCs w:val="0"/>
        </w:rPr>
      </w:pPr>
      <w:r>
        <w:rPr/>
        <w:t>5、投身援助和社会公益</w:t>
      </w:r>
      <w:r>
        <w:rPr>
          <w:b w:val="0"/>
          <w:bCs w:val="0"/>
        </w:rPr>
      </w:r>
    </w:p>
    <w:p>
      <w:pPr>
        <w:spacing w:line="240" w:lineRule="auto" w:before="4"/>
        <w:rPr>
          <w:rFonts w:ascii="宋体" w:hAnsi="宋体" w:cs="宋体" w:eastAsia="宋体" w:hint="default"/>
          <w:b/>
          <w:bCs/>
          <w:sz w:val="17"/>
          <w:szCs w:val="17"/>
        </w:rPr>
      </w:pPr>
    </w:p>
    <w:p>
      <w:pPr>
        <w:spacing w:line="460" w:lineRule="atLeast" w:before="0"/>
        <w:ind w:left="620" w:right="223" w:hanging="244"/>
        <w:jc w:val="left"/>
        <w:rPr>
          <w:rFonts w:ascii="宋体" w:hAnsi="宋体" w:cs="宋体" w:eastAsia="宋体" w:hint="default"/>
          <w:sz w:val="24"/>
          <w:szCs w:val="24"/>
        </w:rPr>
      </w:pPr>
      <w:r>
        <w:rPr>
          <w:rFonts w:ascii="宋体" w:hAnsi="宋体" w:cs="宋体" w:eastAsia="宋体" w:hint="default"/>
          <w:b/>
          <w:bCs/>
          <w:sz w:val="24"/>
          <w:szCs w:val="24"/>
        </w:rPr>
        <w:t>（1）参加社会公益活动，关注弱势群体</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公司多年来坚持回馈社会，保护弱势群体，积极参与社会公益活动，出资援</w:t>
      </w:r>
    </w:p>
    <w:p>
      <w:pPr>
        <w:pStyle w:val="BodyText"/>
        <w:spacing w:line="312" w:lineRule="exact" w:before="28"/>
        <w:ind w:right="218"/>
        <w:jc w:val="left"/>
        <w:rPr>
          <w:rFonts w:ascii="宋体" w:hAnsi="宋体" w:cs="宋体" w:eastAsia="宋体" w:hint="default"/>
        </w:rPr>
      </w:pPr>
      <w:r>
        <w:rPr>
          <w:rFonts w:ascii="宋体" w:hAnsi="宋体" w:cs="宋体" w:eastAsia="宋体" w:hint="default"/>
        </w:rPr>
        <w:t>建贫困小学、资助贫困大学生、向受灾地区提供爱心捐助。公司因 2008</w:t>
      </w:r>
      <w:r>
        <w:rPr>
          <w:rFonts w:ascii="宋体" w:hAnsi="宋体" w:cs="宋体" w:eastAsia="宋体" w:hint="default"/>
          <w:spacing w:val="-94"/>
        </w:rPr>
        <w:t> </w:t>
      </w:r>
      <w:r>
        <w:rPr>
          <w:rFonts w:ascii="宋体" w:hAnsi="宋体" w:cs="宋体" w:eastAsia="宋体" w:hint="default"/>
        </w:rPr>
        <w:t>年对汶</w:t>
      </w:r>
      <w:r>
        <w:rPr>
          <w:rFonts w:ascii="宋体" w:hAnsi="宋体" w:cs="宋体" w:eastAsia="宋体" w:hint="default"/>
        </w:rPr>
        <w:t> </w:t>
      </w:r>
      <w:r>
        <w:rPr>
          <w:rFonts w:ascii="宋体" w:hAnsi="宋体" w:cs="宋体" w:eastAsia="宋体" w:hint="default"/>
          <w:spacing w:val="-4"/>
        </w:rPr>
        <w:t>川地震灾区的捐助和支持，被辽宁省红十字会授予“辽宁红十字勋章”。</w:t>
      </w:r>
    </w:p>
    <w:p>
      <w:pPr>
        <w:spacing w:line="468" w:lineRule="exact" w:before="31"/>
        <w:ind w:left="612" w:right="100" w:hanging="237"/>
        <w:jc w:val="left"/>
        <w:rPr>
          <w:rFonts w:ascii="宋体" w:hAnsi="宋体" w:cs="宋体" w:eastAsia="宋体" w:hint="default"/>
          <w:sz w:val="24"/>
          <w:szCs w:val="24"/>
        </w:rPr>
      </w:pPr>
      <w:r>
        <w:rPr>
          <w:rFonts w:ascii="宋体" w:hAnsi="宋体" w:cs="宋体" w:eastAsia="宋体" w:hint="default"/>
          <w:b/>
          <w:bCs/>
          <w:sz w:val="24"/>
          <w:szCs w:val="24"/>
        </w:rPr>
        <w:t>（2）组织志愿活动，帮助贫困、失学儿童</w:t>
      </w:r>
      <w:r>
        <w:rPr>
          <w:rFonts w:ascii="宋体" w:hAnsi="宋体" w:cs="宋体" w:eastAsia="宋体" w:hint="default"/>
          <w:b/>
          <w:bCs/>
          <w:spacing w:val="1"/>
          <w:w w:val="99"/>
          <w:sz w:val="24"/>
          <w:szCs w:val="24"/>
        </w:rPr>
        <w:t> </w:t>
      </w:r>
      <w:r>
        <w:rPr>
          <w:rFonts w:ascii="宋体" w:hAnsi="宋体" w:cs="宋体" w:eastAsia="宋体" w:hint="default"/>
          <w:spacing w:val="-7"/>
          <w:sz w:val="24"/>
          <w:szCs w:val="24"/>
        </w:rPr>
        <w:t>东软的志愿者曾走进辽中孤儿“爱心家园”、沈阳社会福利院帮助孤残儿童，</w:t>
      </w:r>
    </w:p>
    <w:p>
      <w:pPr>
        <w:pStyle w:val="BodyText"/>
        <w:spacing w:line="251" w:lineRule="exact"/>
        <w:ind w:right="144"/>
        <w:jc w:val="left"/>
        <w:rPr>
          <w:rFonts w:ascii="宋体" w:hAnsi="宋体" w:cs="宋体" w:eastAsia="宋体" w:hint="default"/>
        </w:rPr>
      </w:pPr>
      <w:r>
        <w:rPr>
          <w:rFonts w:ascii="宋体" w:hAnsi="宋体" w:cs="宋体" w:eastAsia="宋体" w:hint="default"/>
        </w:rPr>
        <w:t>组织与辽宁残奥运动员活动。2009</w:t>
      </w:r>
      <w:r>
        <w:rPr>
          <w:rFonts w:ascii="宋体" w:hAnsi="宋体" w:cs="宋体" w:eastAsia="宋体" w:hint="default"/>
          <w:spacing w:val="-1"/>
        </w:rPr>
        <w:t> </w:t>
      </w:r>
      <w:r>
        <w:rPr>
          <w:rFonts w:ascii="宋体" w:hAnsi="宋体" w:cs="宋体" w:eastAsia="宋体" w:hint="default"/>
        </w:rPr>
        <w:t>年，在公司组织“呵护春蕾”爱心活动中，</w:t>
      </w:r>
    </w:p>
    <w:p>
      <w:pPr>
        <w:pStyle w:val="BodyText"/>
        <w:spacing w:line="313" w:lineRule="exact"/>
        <w:ind w:right="144"/>
        <w:jc w:val="left"/>
        <w:rPr>
          <w:rFonts w:ascii="宋体" w:hAnsi="宋体" w:cs="宋体" w:eastAsia="宋体" w:hint="default"/>
        </w:rPr>
      </w:pPr>
      <w:r>
        <w:rPr>
          <w:rFonts w:ascii="宋体" w:hAnsi="宋体" w:cs="宋体" w:eastAsia="宋体" w:hint="default"/>
        </w:rPr>
        <w:t>志愿者与失学儿童组建帮扶对子，帮助他们继续读书。在 2009</w:t>
      </w:r>
      <w:r>
        <w:rPr>
          <w:rFonts w:ascii="宋体" w:hAnsi="宋体" w:cs="宋体" w:eastAsia="宋体" w:hint="default"/>
          <w:spacing w:val="-94"/>
        </w:rPr>
        <w:t> </w:t>
      </w:r>
      <w:r>
        <w:rPr>
          <w:rFonts w:ascii="宋体" w:hAnsi="宋体" w:cs="宋体" w:eastAsia="宋体" w:hint="default"/>
        </w:rPr>
        <w:t>年“助残日”的</w:t>
      </w:r>
    </w:p>
    <w:p>
      <w:pPr>
        <w:spacing w:after="0" w:line="313" w:lineRule="exact"/>
        <w:jc w:val="left"/>
        <w:rPr>
          <w:rFonts w:ascii="宋体" w:hAnsi="宋体" w:cs="宋体" w:eastAsia="宋体" w:hint="default"/>
        </w:rPr>
        <w:sectPr>
          <w:pgSz w:w="11910" w:h="16840"/>
          <w:pgMar w:header="851" w:footer="982" w:top="1220" w:bottom="1180" w:left="1660" w:right="1560"/>
        </w:sectPr>
      </w:pPr>
    </w:p>
    <w:p>
      <w:pPr>
        <w:spacing w:line="240" w:lineRule="auto" w:before="8"/>
        <w:rPr>
          <w:rFonts w:ascii="宋体" w:hAnsi="宋体" w:cs="宋体" w:eastAsia="宋体" w:hint="default"/>
          <w:sz w:val="11"/>
          <w:szCs w:val="11"/>
        </w:rPr>
      </w:pPr>
    </w:p>
    <w:p>
      <w:pPr>
        <w:pStyle w:val="BodyText"/>
        <w:spacing w:line="240" w:lineRule="auto" w:before="26"/>
        <w:ind w:right="0"/>
        <w:jc w:val="both"/>
        <w:rPr>
          <w:rFonts w:ascii="宋体" w:hAnsi="宋体" w:cs="宋体" w:eastAsia="宋体" w:hint="default"/>
        </w:rPr>
      </w:pPr>
      <w:r>
        <w:rPr>
          <w:rFonts w:ascii="宋体" w:hAnsi="宋体" w:cs="宋体" w:eastAsia="宋体" w:hint="default"/>
        </w:rPr>
        <w:t>“大手牵小手”东软爱心活动中，志愿者前往福利院慰问身患残疾的弃儿。</w:t>
      </w:r>
    </w:p>
    <w:p>
      <w:pPr>
        <w:pStyle w:val="Heading7"/>
        <w:spacing w:line="240" w:lineRule="auto" w:before="154"/>
        <w:ind w:left="376" w:right="84"/>
        <w:jc w:val="left"/>
        <w:rPr>
          <w:b w:val="0"/>
          <w:bCs w:val="0"/>
        </w:rPr>
      </w:pPr>
      <w:r>
        <w:rPr/>
        <w:t>（3）设立爱心基金，帮助困难员工</w:t>
      </w:r>
      <w:r>
        <w:rPr>
          <w:b w:val="0"/>
          <w:bCs w:val="0"/>
        </w:rPr>
      </w:r>
    </w:p>
    <w:p>
      <w:pPr>
        <w:pStyle w:val="BodyText"/>
        <w:spacing w:line="313" w:lineRule="exact" w:before="154"/>
        <w:ind w:left="620" w:right="84"/>
        <w:jc w:val="left"/>
        <w:rPr>
          <w:rFonts w:ascii="宋体" w:hAnsi="宋体" w:cs="宋体" w:eastAsia="宋体" w:hint="default"/>
        </w:rPr>
      </w:pPr>
      <w:r>
        <w:rPr>
          <w:rFonts w:ascii="宋体" w:hAnsi="宋体" w:cs="宋体" w:eastAsia="宋体" w:hint="default"/>
        </w:rPr>
        <w:t>东软爱心基金于</w:t>
      </w:r>
      <w:r>
        <w:rPr>
          <w:rFonts w:ascii="宋体" w:hAnsi="宋体" w:cs="宋体" w:eastAsia="宋体" w:hint="default"/>
          <w:spacing w:val="-54"/>
        </w:rPr>
        <w:t> </w:t>
      </w:r>
      <w:r>
        <w:rPr>
          <w:rFonts w:ascii="宋体" w:hAnsi="宋体" w:cs="宋体" w:eastAsia="宋体" w:hint="default"/>
        </w:rPr>
        <w:t>2006</w:t>
      </w:r>
      <w:r>
        <w:rPr>
          <w:rFonts w:ascii="宋体" w:hAnsi="宋体" w:cs="宋体" w:eastAsia="宋体" w:hint="default"/>
          <w:spacing w:val="-53"/>
        </w:rPr>
        <w:t> </w:t>
      </w:r>
      <w:r>
        <w:rPr>
          <w:rFonts w:ascii="宋体" w:hAnsi="宋体" w:cs="宋体" w:eastAsia="宋体" w:hint="default"/>
        </w:rPr>
        <w:t>年</w:t>
      </w:r>
      <w:r>
        <w:rPr>
          <w:rFonts w:ascii="宋体" w:hAnsi="宋体" w:cs="宋体" w:eastAsia="宋体" w:hint="default"/>
          <w:spacing w:val="-54"/>
        </w:rPr>
        <w:t> </w:t>
      </w:r>
      <w:r>
        <w:rPr>
          <w:rFonts w:ascii="宋体" w:hAnsi="宋体" w:cs="宋体" w:eastAsia="宋体" w:hint="default"/>
        </w:rPr>
        <w:t>8</w:t>
      </w:r>
      <w:r>
        <w:rPr>
          <w:rFonts w:ascii="宋体" w:hAnsi="宋体" w:cs="宋体" w:eastAsia="宋体" w:hint="default"/>
          <w:spacing w:val="-54"/>
        </w:rPr>
        <w:t> </w:t>
      </w:r>
      <w:r>
        <w:rPr>
          <w:rFonts w:ascii="宋体" w:hAnsi="宋体" w:cs="宋体" w:eastAsia="宋体" w:hint="default"/>
        </w:rPr>
        <w:t>月正式成立，用以援助公司困难员工和社会弱势</w:t>
      </w:r>
    </w:p>
    <w:p>
      <w:pPr>
        <w:pStyle w:val="BodyText"/>
        <w:spacing w:line="312" w:lineRule="exact" w:before="29"/>
        <w:ind w:right="102"/>
        <w:jc w:val="both"/>
        <w:rPr>
          <w:rFonts w:ascii="宋体" w:hAnsi="宋体" w:cs="宋体" w:eastAsia="宋体" w:hint="default"/>
        </w:rPr>
      </w:pPr>
      <w:r>
        <w:rPr>
          <w:rFonts w:ascii="宋体" w:hAnsi="宋体" w:cs="宋体" w:eastAsia="宋体" w:hint="default"/>
        </w:rPr>
        <w:t>群体，启动资金 20</w:t>
      </w:r>
      <w:r>
        <w:rPr>
          <w:rFonts w:ascii="宋体" w:hAnsi="宋体" w:cs="宋体" w:eastAsia="宋体" w:hint="default"/>
          <w:spacing w:val="-94"/>
        </w:rPr>
        <w:t> </w:t>
      </w:r>
      <w:r>
        <w:rPr>
          <w:rFonts w:ascii="宋体" w:hAnsi="宋体" w:cs="宋体" w:eastAsia="宋体" w:hint="default"/>
        </w:rPr>
        <w:t>万元，后续资金由员工自愿捐助、东软艺术团唱片义卖等多</w:t>
      </w:r>
      <w:r>
        <w:rPr>
          <w:rFonts w:ascii="宋体" w:hAnsi="宋体" w:cs="宋体" w:eastAsia="宋体" w:hint="default"/>
        </w:rPr>
        <w:t> 种方式筹集。爱心基金正在帮助越来越多的人度过难关，2009</w:t>
      </w:r>
      <w:r>
        <w:rPr>
          <w:rFonts w:ascii="宋体" w:hAnsi="宋体" w:cs="宋体" w:eastAsia="宋体" w:hint="default"/>
          <w:spacing w:val="1"/>
        </w:rPr>
        <w:t> </w:t>
      </w:r>
      <w:r>
        <w:rPr>
          <w:rFonts w:ascii="宋体" w:hAnsi="宋体" w:cs="宋体" w:eastAsia="宋体" w:hint="default"/>
        </w:rPr>
        <w:t>年，爱心基金对</w:t>
      </w:r>
      <w:r>
        <w:rPr>
          <w:rFonts w:ascii="宋体" w:hAnsi="宋体" w:cs="宋体" w:eastAsia="宋体" w:hint="default"/>
        </w:rPr>
        <w:t> 内实施援助</w:t>
      </w:r>
      <w:r>
        <w:rPr>
          <w:rFonts w:ascii="宋体" w:hAnsi="宋体" w:cs="宋体" w:eastAsia="宋体" w:hint="default"/>
          <w:spacing w:val="-60"/>
        </w:rPr>
        <w:t> </w:t>
      </w:r>
      <w:r>
        <w:rPr>
          <w:rFonts w:ascii="宋体" w:hAnsi="宋体" w:cs="宋体" w:eastAsia="宋体" w:hint="default"/>
        </w:rPr>
        <w:t>22.2</w:t>
      </w:r>
      <w:r>
        <w:rPr>
          <w:rFonts w:ascii="宋体" w:hAnsi="宋体" w:cs="宋体" w:eastAsia="宋体" w:hint="default"/>
          <w:spacing w:val="-60"/>
        </w:rPr>
        <w:t> </w:t>
      </w:r>
      <w:r>
        <w:rPr>
          <w:rFonts w:ascii="宋体" w:hAnsi="宋体" w:cs="宋体" w:eastAsia="宋体" w:hint="default"/>
        </w:rPr>
        <w:t>万元，自成立以来共援助员工</w:t>
      </w:r>
      <w:r>
        <w:rPr>
          <w:rFonts w:ascii="宋体" w:hAnsi="宋体" w:cs="宋体" w:eastAsia="宋体" w:hint="default"/>
          <w:spacing w:val="-60"/>
        </w:rPr>
        <w:t> </w:t>
      </w:r>
      <w:r>
        <w:rPr>
          <w:rFonts w:ascii="宋体" w:hAnsi="宋体" w:cs="宋体" w:eastAsia="宋体" w:hint="default"/>
        </w:rPr>
        <w:t>75</w:t>
      </w:r>
      <w:r>
        <w:rPr>
          <w:rFonts w:ascii="宋体" w:hAnsi="宋体" w:cs="宋体" w:eastAsia="宋体" w:hint="default"/>
          <w:spacing w:val="-60"/>
        </w:rPr>
        <w:t> </w:t>
      </w:r>
      <w:r>
        <w:rPr>
          <w:rFonts w:ascii="宋体" w:hAnsi="宋体" w:cs="宋体" w:eastAsia="宋体" w:hint="default"/>
        </w:rPr>
        <w:t>人，累计金额</w:t>
      </w:r>
      <w:r>
        <w:rPr>
          <w:rFonts w:ascii="宋体" w:hAnsi="宋体" w:cs="宋体" w:eastAsia="宋体" w:hint="default"/>
          <w:spacing w:val="-60"/>
        </w:rPr>
        <w:t> </w:t>
      </w:r>
      <w:r>
        <w:rPr>
          <w:rFonts w:ascii="宋体" w:hAnsi="宋体" w:cs="宋体" w:eastAsia="宋体" w:hint="default"/>
        </w:rPr>
        <w:t>1,146,000</w:t>
      </w:r>
      <w:r>
        <w:rPr>
          <w:rFonts w:ascii="宋体" w:hAnsi="宋体" w:cs="宋体" w:eastAsia="宋体" w:hint="default"/>
          <w:spacing w:val="-60"/>
        </w:rPr>
        <w:t> </w:t>
      </w:r>
      <w:r>
        <w:rPr>
          <w:rFonts w:ascii="宋体" w:hAnsi="宋体" w:cs="宋体" w:eastAsia="宋体" w:hint="default"/>
        </w:rPr>
        <w:t>元。</w:t>
      </w:r>
    </w:p>
    <w:p>
      <w:pPr>
        <w:spacing w:after="0" w:line="312" w:lineRule="exact"/>
        <w:jc w:val="both"/>
        <w:rPr>
          <w:rFonts w:ascii="宋体" w:hAnsi="宋体" w:cs="宋体" w:eastAsia="宋体" w:hint="default"/>
        </w:rPr>
        <w:sectPr>
          <w:pgSz w:w="11910" w:h="16840"/>
          <w:pgMar w:header="851" w:footer="982" w:top="1220" w:bottom="1180" w:left="1660" w:right="16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5"/>
        <w:spacing w:line="240" w:lineRule="auto" w:before="182"/>
        <w:ind w:right="144"/>
        <w:jc w:val="left"/>
        <w:rPr>
          <w:rFonts w:ascii="宋体" w:hAnsi="宋体" w:cs="宋体" w:eastAsia="宋体" w:hint="default"/>
          <w:b w:val="0"/>
          <w:bCs w:val="0"/>
        </w:rPr>
      </w:pPr>
      <w:bookmarkStart w:name="_bookmark18" w:id="23"/>
      <w:bookmarkEnd w:id="23"/>
      <w:r>
        <w:rPr>
          <w:b w:val="0"/>
          <w:bCs w:val="0"/>
        </w:rPr>
      </w:r>
      <w:r>
        <w:rPr>
          <w:rFonts w:ascii="宋体" w:hAnsi="宋体" w:cs="宋体" w:eastAsia="宋体" w:hint="default"/>
        </w:rPr>
        <w:t>三、东软之于客户</w:t>
      </w:r>
      <w:r>
        <w:rPr>
          <w:rFonts w:ascii="宋体" w:hAnsi="宋体" w:cs="宋体" w:eastAsia="宋体" w:hint="default"/>
          <w:b w:val="0"/>
          <w:bCs w:val="0"/>
        </w:rPr>
      </w:r>
    </w:p>
    <w:p>
      <w:pPr>
        <w:spacing w:line="240" w:lineRule="auto" w:before="1"/>
        <w:rPr>
          <w:rFonts w:ascii="宋体" w:hAnsi="宋体" w:cs="宋体" w:eastAsia="宋体" w:hint="default"/>
          <w:b/>
          <w:bCs/>
          <w:sz w:val="21"/>
          <w:szCs w:val="21"/>
        </w:rPr>
      </w:pPr>
    </w:p>
    <w:p>
      <w:pPr>
        <w:spacing w:line="680" w:lineRule="atLeast" w:before="0"/>
        <w:ind w:left="620" w:right="223" w:hanging="480"/>
        <w:jc w:val="left"/>
        <w:rPr>
          <w:rFonts w:ascii="宋体" w:hAnsi="宋体" w:cs="宋体" w:eastAsia="宋体" w:hint="default"/>
          <w:sz w:val="24"/>
          <w:szCs w:val="24"/>
        </w:rPr>
      </w:pPr>
      <w:r>
        <w:rPr>
          <w:rFonts w:ascii="宋体" w:hAnsi="宋体" w:cs="宋体" w:eastAsia="宋体" w:hint="default"/>
          <w:b/>
          <w:bCs/>
          <w:sz w:val="24"/>
          <w:szCs w:val="24"/>
        </w:rPr>
        <w:t>1、注重客户交流</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公司在业务发展中重视与行业客户、政府部门及合作伙伴的沟通，了解客户</w:t>
      </w:r>
    </w:p>
    <w:p>
      <w:pPr>
        <w:pStyle w:val="BodyText"/>
        <w:spacing w:line="312" w:lineRule="exact" w:before="28"/>
        <w:ind w:right="100"/>
        <w:jc w:val="left"/>
        <w:rPr>
          <w:rFonts w:ascii="宋体" w:hAnsi="宋体" w:cs="宋体" w:eastAsia="宋体" w:hint="default"/>
        </w:rPr>
      </w:pPr>
      <w:r>
        <w:rPr>
          <w:rFonts w:ascii="宋体" w:hAnsi="宋体" w:cs="宋体" w:eastAsia="宋体" w:hint="default"/>
          <w:spacing w:val="-3"/>
        </w:rPr>
        <w:t>需求和行业趋势。公司每年至少开展一次公司级客户满意度调查，了解评价质量</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6"/>
        </w:rPr>
        <w:t>管理体系与客户预期匹配度，针对客户反馈的问题制定改善措施，不断提高产品、</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rPr>
        <w:t>服务的质量及客户满意度。公司积极开展客户交流活动，2009</w:t>
      </w:r>
      <w:r>
        <w:rPr>
          <w:rFonts w:ascii="宋体" w:hAnsi="宋体" w:cs="宋体" w:eastAsia="宋体" w:hint="default"/>
          <w:spacing w:val="1"/>
        </w:rPr>
        <w:t> </w:t>
      </w:r>
      <w:r>
        <w:rPr>
          <w:rFonts w:ascii="宋体" w:hAnsi="宋体" w:cs="宋体" w:eastAsia="宋体" w:hint="default"/>
        </w:rPr>
        <w:t>年共举办行业客</w:t>
      </w:r>
      <w:r>
        <w:rPr>
          <w:rFonts w:ascii="宋体" w:hAnsi="宋体" w:cs="宋体" w:eastAsia="宋体" w:hint="default"/>
        </w:rPr>
        <w:t> 户研讨会</w:t>
      </w:r>
      <w:r>
        <w:rPr>
          <w:rFonts w:ascii="宋体" w:hAnsi="宋体" w:cs="宋体" w:eastAsia="宋体" w:hint="default"/>
          <w:spacing w:val="-59"/>
        </w:rPr>
        <w:t> </w:t>
      </w:r>
      <w:r>
        <w:rPr>
          <w:rFonts w:ascii="宋体" w:hAnsi="宋体" w:cs="宋体" w:eastAsia="宋体" w:hint="default"/>
        </w:rPr>
        <w:t>125</w:t>
      </w:r>
      <w:r>
        <w:rPr>
          <w:rFonts w:ascii="宋体" w:hAnsi="宋体" w:cs="宋体" w:eastAsia="宋体" w:hint="default"/>
          <w:spacing w:val="-59"/>
        </w:rPr>
        <w:t> </w:t>
      </w:r>
      <w:r>
        <w:rPr>
          <w:rFonts w:ascii="宋体" w:hAnsi="宋体" w:cs="宋体" w:eastAsia="宋体" w:hint="default"/>
          <w:spacing w:val="-4"/>
        </w:rPr>
        <w:t>次，参加大型综合性市场策划活动</w:t>
      </w:r>
      <w:r>
        <w:rPr>
          <w:rFonts w:ascii="宋体" w:hAnsi="宋体" w:cs="宋体" w:eastAsia="宋体" w:hint="default"/>
          <w:spacing w:val="-59"/>
        </w:rPr>
        <w:t> </w:t>
      </w:r>
      <w:r>
        <w:rPr>
          <w:rFonts w:ascii="宋体" w:hAnsi="宋体" w:cs="宋体" w:eastAsia="宋体" w:hint="default"/>
        </w:rPr>
        <w:t>20</w:t>
      </w:r>
      <w:r>
        <w:rPr>
          <w:rFonts w:ascii="宋体" w:hAnsi="宋体" w:cs="宋体" w:eastAsia="宋体" w:hint="default"/>
          <w:spacing w:val="-59"/>
        </w:rPr>
        <w:t> </w:t>
      </w:r>
      <w:r>
        <w:rPr>
          <w:rFonts w:ascii="宋体" w:hAnsi="宋体" w:cs="宋体" w:eastAsia="宋体" w:hint="default"/>
          <w:spacing w:val="-6"/>
        </w:rPr>
        <w:t>次，参加全球领先</w:t>
      </w:r>
      <w:r>
        <w:rPr>
          <w:rFonts w:ascii="宋体" w:hAnsi="宋体" w:cs="宋体" w:eastAsia="宋体" w:hint="default"/>
          <w:spacing w:val="-59"/>
        </w:rPr>
        <w:t> </w:t>
      </w:r>
      <w:r>
        <w:rPr>
          <w:rFonts w:ascii="宋体" w:hAnsi="宋体" w:cs="宋体" w:eastAsia="宋体" w:hint="default"/>
        </w:rPr>
        <w:t>IT</w:t>
      </w:r>
      <w:r>
        <w:rPr>
          <w:rFonts w:ascii="宋体" w:hAnsi="宋体" w:cs="宋体" w:eastAsia="宋体" w:hint="default"/>
          <w:spacing w:val="-59"/>
        </w:rPr>
        <w:t> </w:t>
      </w:r>
      <w:r>
        <w:rPr>
          <w:rFonts w:ascii="宋体" w:hAnsi="宋体" w:cs="宋体" w:eastAsia="宋体" w:hint="default"/>
        </w:rPr>
        <w:t>厂商联</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合市场活动</w:t>
      </w:r>
      <w:r>
        <w:rPr>
          <w:rFonts w:ascii="宋体" w:hAnsi="宋体" w:cs="宋体" w:eastAsia="宋体" w:hint="default"/>
          <w:spacing w:val="-59"/>
        </w:rPr>
        <w:t> </w:t>
      </w:r>
      <w:r>
        <w:rPr>
          <w:rFonts w:ascii="宋体" w:hAnsi="宋体" w:cs="宋体" w:eastAsia="宋体" w:hint="default"/>
        </w:rPr>
        <w:t>18</w:t>
      </w:r>
      <w:r>
        <w:rPr>
          <w:rFonts w:ascii="宋体" w:hAnsi="宋体" w:cs="宋体" w:eastAsia="宋体" w:hint="default"/>
          <w:spacing w:val="-59"/>
        </w:rPr>
        <w:t> </w:t>
      </w:r>
      <w:r>
        <w:rPr>
          <w:rFonts w:ascii="宋体" w:hAnsi="宋体" w:cs="宋体" w:eastAsia="宋体" w:hint="default"/>
          <w:spacing w:val="-6"/>
        </w:rPr>
        <w:t>次，与客户保持紧密联系，同时促进了</w:t>
      </w:r>
      <w:r>
        <w:rPr>
          <w:rFonts w:ascii="宋体" w:hAnsi="宋体" w:cs="宋体" w:eastAsia="宋体" w:hint="default"/>
          <w:spacing w:val="-59"/>
        </w:rPr>
        <w:t> </w:t>
      </w:r>
      <w:r>
        <w:rPr>
          <w:rFonts w:ascii="宋体" w:hAnsi="宋体" w:cs="宋体" w:eastAsia="宋体" w:hint="default"/>
        </w:rPr>
        <w:t>IT</w:t>
      </w:r>
      <w:r>
        <w:rPr>
          <w:rFonts w:ascii="宋体" w:hAnsi="宋体" w:cs="宋体" w:eastAsia="宋体" w:hint="default"/>
          <w:spacing w:val="-59"/>
        </w:rPr>
        <w:t> </w:t>
      </w:r>
      <w:r>
        <w:rPr>
          <w:rFonts w:ascii="宋体" w:hAnsi="宋体" w:cs="宋体" w:eastAsia="宋体" w:hint="default"/>
        </w:rPr>
        <w:t>技术在中国信息化行业</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rPr>
        <w:t>中的广泛应用。</w:t>
      </w:r>
    </w:p>
    <w:p>
      <w:pPr>
        <w:pStyle w:val="BodyText"/>
        <w:spacing w:line="312" w:lineRule="exact" w:before="156"/>
        <w:ind w:right="235" w:firstLine="480"/>
        <w:jc w:val="both"/>
        <w:rPr>
          <w:rFonts w:ascii="宋体" w:hAnsi="宋体" w:cs="宋体" w:eastAsia="宋体" w:hint="default"/>
        </w:rPr>
      </w:pPr>
      <w:r>
        <w:rPr>
          <w:rFonts w:ascii="宋体" w:hAnsi="宋体" w:cs="宋体" w:eastAsia="宋体" w:hint="default"/>
          <w:spacing w:val="-3"/>
        </w:rPr>
        <w:t>“东软解决方案论坛”已成功举办十一届，每届都设有行业客户广泛关注的</w:t>
      </w:r>
      <w:r>
        <w:rPr>
          <w:rFonts w:ascii="宋体" w:hAnsi="宋体" w:cs="宋体" w:eastAsia="宋体" w:hint="default"/>
        </w:rPr>
        <w:t> </w:t>
      </w:r>
      <w:r>
        <w:rPr>
          <w:rFonts w:ascii="宋体" w:hAnsi="宋体" w:cs="宋体" w:eastAsia="宋体" w:hint="default"/>
          <w:spacing w:val="-7"/>
        </w:rPr>
        <w:t>主题，涉及</w:t>
      </w:r>
      <w:r>
        <w:rPr>
          <w:rFonts w:ascii="宋体" w:hAnsi="宋体" w:cs="宋体" w:eastAsia="宋体" w:hint="default"/>
          <w:spacing w:val="-59"/>
        </w:rPr>
        <w:t> </w:t>
      </w:r>
      <w:r>
        <w:rPr>
          <w:rFonts w:ascii="宋体" w:hAnsi="宋体" w:cs="宋体" w:eastAsia="宋体" w:hint="default"/>
        </w:rPr>
        <w:t>IT</w:t>
      </w:r>
      <w:r>
        <w:rPr>
          <w:rFonts w:ascii="宋体" w:hAnsi="宋体" w:cs="宋体" w:eastAsia="宋体" w:hint="default"/>
          <w:spacing w:val="-59"/>
        </w:rPr>
        <w:t> </w:t>
      </w:r>
      <w:r>
        <w:rPr>
          <w:rFonts w:ascii="宋体" w:hAnsi="宋体" w:cs="宋体" w:eastAsia="宋体" w:hint="default"/>
          <w:spacing w:val="-3"/>
        </w:rPr>
        <w:t>行业多个领域，多家国际知名厂商参与，目前已成为</w:t>
      </w:r>
      <w:r>
        <w:rPr>
          <w:rFonts w:ascii="宋体" w:hAnsi="宋体" w:cs="宋体" w:eastAsia="宋体" w:hint="default"/>
          <w:spacing w:val="-59"/>
        </w:rPr>
        <w:t> </w:t>
      </w:r>
      <w:r>
        <w:rPr>
          <w:rFonts w:ascii="宋体" w:hAnsi="宋体" w:cs="宋体" w:eastAsia="宋体" w:hint="default"/>
        </w:rPr>
        <w:t>IT</w:t>
      </w:r>
      <w:r>
        <w:rPr>
          <w:rFonts w:ascii="宋体" w:hAnsi="宋体" w:cs="宋体" w:eastAsia="宋体" w:hint="default"/>
          <w:spacing w:val="-59"/>
        </w:rPr>
        <w:t> </w:t>
      </w:r>
      <w:r>
        <w:rPr>
          <w:rFonts w:ascii="宋体" w:hAnsi="宋体" w:cs="宋体" w:eastAsia="宋体" w:hint="default"/>
        </w:rPr>
        <w:t>业界最具</w:t>
      </w:r>
      <w:r>
        <w:rPr>
          <w:rFonts w:ascii="宋体" w:hAnsi="宋体" w:cs="宋体" w:eastAsia="宋体" w:hint="default"/>
        </w:rPr>
        <w:t> 影响力的年度盛会之一。2009</w:t>
      </w:r>
      <w:r>
        <w:rPr>
          <w:rFonts w:ascii="宋体" w:hAnsi="宋体" w:cs="宋体" w:eastAsia="宋体" w:hint="default"/>
          <w:spacing w:val="2"/>
        </w:rPr>
        <w:t> </w:t>
      </w:r>
      <w:r>
        <w:rPr>
          <w:rFonts w:ascii="宋体" w:hAnsi="宋体" w:cs="宋体" w:eastAsia="宋体" w:hint="default"/>
        </w:rPr>
        <w:t>年的东软解决方案论坛以“创新·融合·开启新</w:t>
      </w:r>
      <w:r>
        <w:rPr>
          <w:rFonts w:ascii="宋体" w:hAnsi="宋体" w:cs="宋体" w:eastAsia="宋体" w:hint="default"/>
        </w:rPr>
        <w:t> </w:t>
      </w:r>
      <w:r>
        <w:rPr>
          <w:rFonts w:ascii="宋体" w:hAnsi="宋体" w:cs="宋体" w:eastAsia="宋体" w:hint="default"/>
          <w:spacing w:val="-6"/>
        </w:rPr>
        <w:t>的十年”为主题，来自政府和企业、研究机构、媒体及全球知名</w:t>
      </w:r>
      <w:r>
        <w:rPr>
          <w:rFonts w:ascii="宋体" w:hAnsi="宋体" w:cs="宋体" w:eastAsia="宋体" w:hint="default"/>
          <w:spacing w:val="-57"/>
        </w:rPr>
        <w:t> </w:t>
      </w:r>
      <w:r>
        <w:rPr>
          <w:rFonts w:ascii="宋体" w:hAnsi="宋体" w:cs="宋体" w:eastAsia="宋体" w:hint="default"/>
        </w:rPr>
        <w:t>IT</w:t>
      </w:r>
      <w:r>
        <w:rPr>
          <w:rFonts w:ascii="宋体" w:hAnsi="宋体" w:cs="宋体" w:eastAsia="宋体" w:hint="default"/>
          <w:spacing w:val="-57"/>
        </w:rPr>
        <w:t> </w:t>
      </w:r>
      <w:r>
        <w:rPr>
          <w:rFonts w:ascii="宋体" w:hAnsi="宋体" w:cs="宋体" w:eastAsia="宋体" w:hint="default"/>
        </w:rPr>
        <w:t>企业的约</w:t>
      </w:r>
      <w:r>
        <w:rPr>
          <w:rFonts w:ascii="宋体" w:hAnsi="宋体" w:cs="宋体" w:eastAsia="宋体" w:hint="default"/>
          <w:spacing w:val="-57"/>
        </w:rPr>
        <w:t> </w:t>
      </w:r>
      <w:r>
        <w:rPr>
          <w:rFonts w:ascii="宋体" w:hAnsi="宋体" w:cs="宋体" w:eastAsia="宋体" w:hint="default"/>
        </w:rPr>
        <w:t>500</w:t>
      </w:r>
      <w:r>
        <w:rPr>
          <w:rFonts w:ascii="宋体" w:hAnsi="宋体" w:cs="宋体" w:eastAsia="宋体" w:hint="default"/>
        </w:rPr>
        <w:t> 位嘉宾共聚论坛，探讨了 IT</w:t>
      </w:r>
      <w:r>
        <w:rPr>
          <w:rFonts w:ascii="宋体" w:hAnsi="宋体" w:cs="宋体" w:eastAsia="宋体" w:hint="default"/>
          <w:spacing w:val="-94"/>
        </w:rPr>
        <w:t> </w:t>
      </w:r>
      <w:r>
        <w:rPr>
          <w:rFonts w:ascii="宋体" w:hAnsi="宋体" w:cs="宋体" w:eastAsia="宋体" w:hint="default"/>
        </w:rPr>
        <w:t>行业最新最前沿的视点，分析了中国信息化建设和</w:t>
      </w:r>
      <w:r>
        <w:rPr>
          <w:rFonts w:ascii="宋体" w:hAnsi="宋体" w:cs="宋体" w:eastAsia="宋体" w:hint="default"/>
        </w:rPr>
        <w:t> IT</w:t>
      </w:r>
      <w:r>
        <w:rPr>
          <w:rFonts w:ascii="宋体" w:hAnsi="宋体" w:cs="宋体" w:eastAsia="宋体" w:hint="default"/>
          <w:spacing w:val="-60"/>
        </w:rPr>
        <w:t> </w:t>
      </w:r>
      <w:r>
        <w:rPr>
          <w:rFonts w:ascii="宋体" w:hAnsi="宋体" w:cs="宋体" w:eastAsia="宋体" w:hint="default"/>
        </w:rPr>
        <w:t>产业面临的机遇和挑战。</w:t>
      </w:r>
    </w:p>
    <w:p>
      <w:pPr>
        <w:pStyle w:val="BodyText"/>
        <w:spacing w:line="312" w:lineRule="exact" w:before="156"/>
        <w:ind w:right="232" w:firstLine="480"/>
        <w:jc w:val="both"/>
        <w:rPr>
          <w:rFonts w:ascii="宋体" w:hAnsi="宋体" w:cs="宋体" w:eastAsia="宋体" w:hint="default"/>
        </w:rPr>
      </w:pPr>
      <w:r>
        <w:rPr>
          <w:rFonts w:ascii="宋体" w:hAnsi="宋体" w:cs="宋体" w:eastAsia="宋体" w:hint="default"/>
        </w:rPr>
        <w:t>公司在与客户积极沟通的过程中重视东软的品牌建设。2009</w:t>
      </w:r>
      <w:r>
        <w:rPr>
          <w:rFonts w:ascii="宋体" w:hAnsi="宋体" w:cs="宋体" w:eastAsia="宋体" w:hint="default"/>
          <w:spacing w:val="25"/>
        </w:rPr>
        <w:t> </w:t>
      </w:r>
      <w:r>
        <w:rPr>
          <w:rFonts w:ascii="宋体" w:hAnsi="宋体" w:cs="宋体" w:eastAsia="宋体" w:hint="default"/>
        </w:rPr>
        <w:t>年，在国内市</w:t>
      </w:r>
      <w:r>
        <w:rPr>
          <w:rFonts w:ascii="宋体" w:hAnsi="宋体" w:cs="宋体" w:eastAsia="宋体" w:hint="default"/>
          <w:spacing w:val="1"/>
        </w:rPr>
        <w:t> </w:t>
      </w:r>
      <w:r>
        <w:rPr>
          <w:rFonts w:ascii="宋体" w:hAnsi="宋体" w:cs="宋体" w:eastAsia="宋体" w:hint="default"/>
        </w:rPr>
        <w:t>场，公司入选</w:t>
      </w:r>
      <w:r>
        <w:rPr>
          <w:rFonts w:ascii="宋体" w:hAnsi="宋体" w:cs="宋体" w:eastAsia="宋体" w:hint="default"/>
          <w:spacing w:val="-51"/>
        </w:rPr>
        <w:t> </w:t>
      </w:r>
      <w:r>
        <w:rPr>
          <w:rFonts w:ascii="宋体" w:hAnsi="宋体" w:cs="宋体" w:eastAsia="宋体" w:hint="default"/>
        </w:rPr>
        <w:t>CCTV“60</w:t>
      </w:r>
      <w:r>
        <w:rPr>
          <w:rFonts w:ascii="宋体" w:hAnsi="宋体" w:cs="宋体" w:eastAsia="宋体" w:hint="default"/>
          <w:spacing w:val="-51"/>
        </w:rPr>
        <w:t> </w:t>
      </w:r>
      <w:r>
        <w:rPr>
          <w:rFonts w:ascii="宋体" w:hAnsi="宋体" w:cs="宋体" w:eastAsia="宋体" w:hint="default"/>
        </w:rPr>
        <w:t>年</w:t>
      </w:r>
      <w:r>
        <w:rPr>
          <w:rFonts w:ascii="宋体" w:hAnsi="宋体" w:cs="宋体" w:eastAsia="宋体" w:hint="default"/>
          <w:spacing w:val="-51"/>
        </w:rPr>
        <w:t> </w:t>
      </w:r>
      <w:r>
        <w:rPr>
          <w:rFonts w:ascii="宋体" w:hAnsi="宋体" w:cs="宋体" w:eastAsia="宋体" w:hint="default"/>
        </w:rPr>
        <w:t>60</w:t>
      </w:r>
      <w:r>
        <w:rPr>
          <w:rFonts w:ascii="宋体" w:hAnsi="宋体" w:cs="宋体" w:eastAsia="宋体" w:hint="default"/>
          <w:spacing w:val="-51"/>
        </w:rPr>
        <w:t> </w:t>
      </w:r>
      <w:r>
        <w:rPr>
          <w:rFonts w:ascii="宋体" w:hAnsi="宋体" w:cs="宋体" w:eastAsia="宋体" w:hint="default"/>
          <w:spacing w:val="-6"/>
        </w:rPr>
        <w:t>品牌”，体现了东软品牌在推动中国经济的发展进</w:t>
      </w:r>
      <w:r>
        <w:rPr>
          <w:rFonts w:ascii="宋体" w:hAnsi="宋体" w:cs="宋体" w:eastAsia="宋体" w:hint="default"/>
        </w:rPr>
        <w:t> </w:t>
      </w:r>
      <w:r>
        <w:rPr>
          <w:rFonts w:ascii="宋体" w:hAnsi="宋体" w:cs="宋体" w:eastAsia="宋体" w:hint="default"/>
          <w:spacing w:val="-3"/>
        </w:rPr>
        <w:t>程中的重要作用；在国际市场，公司积极参与冬季达沃斯论坛、夏季新领军者峰</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会等国际活动，进一步提升了东软品牌在全球市场的影响力。</w:t>
      </w:r>
    </w:p>
    <w:p>
      <w:pPr>
        <w:spacing w:line="240" w:lineRule="auto" w:before="3"/>
        <w:rPr>
          <w:rFonts w:ascii="宋体" w:hAnsi="宋体" w:cs="宋体" w:eastAsia="宋体" w:hint="default"/>
          <w:sz w:val="26"/>
          <w:szCs w:val="26"/>
        </w:rPr>
      </w:pPr>
    </w:p>
    <w:p>
      <w:pPr>
        <w:pStyle w:val="Heading7"/>
        <w:spacing w:line="240" w:lineRule="auto"/>
        <w:ind w:right="144"/>
        <w:jc w:val="left"/>
        <w:rPr>
          <w:b w:val="0"/>
          <w:bCs w:val="0"/>
        </w:rPr>
      </w:pPr>
      <w:r>
        <w:rPr/>
        <w:t>2、确保信息安全</w:t>
      </w:r>
      <w:r>
        <w:rPr>
          <w:b w:val="0"/>
          <w:bCs w:val="0"/>
        </w:rPr>
      </w:r>
    </w:p>
    <w:p>
      <w:pPr>
        <w:spacing w:line="240" w:lineRule="auto" w:before="10"/>
        <w:rPr>
          <w:rFonts w:ascii="宋体" w:hAnsi="宋体" w:cs="宋体" w:eastAsia="宋体" w:hint="default"/>
          <w:b/>
          <w:bCs/>
          <w:sz w:val="30"/>
          <w:szCs w:val="30"/>
        </w:rPr>
      </w:pPr>
    </w:p>
    <w:p>
      <w:pPr>
        <w:pStyle w:val="BodyText"/>
        <w:spacing w:line="312" w:lineRule="exact"/>
        <w:ind w:right="235" w:firstLine="480"/>
        <w:jc w:val="both"/>
        <w:rPr>
          <w:rFonts w:ascii="宋体" w:hAnsi="宋体" w:cs="宋体" w:eastAsia="宋体" w:hint="default"/>
        </w:rPr>
      </w:pPr>
      <w:r>
        <w:rPr>
          <w:rFonts w:ascii="宋体" w:hAnsi="宋体" w:cs="宋体" w:eastAsia="宋体" w:hint="default"/>
        </w:rPr>
        <w:t>公司于</w:t>
      </w:r>
      <w:r>
        <w:rPr>
          <w:rFonts w:ascii="宋体" w:hAnsi="宋体" w:cs="宋体" w:eastAsia="宋体" w:hint="default"/>
          <w:spacing w:val="-60"/>
        </w:rPr>
        <w:t> </w:t>
      </w:r>
      <w:r>
        <w:rPr>
          <w:rFonts w:ascii="宋体" w:hAnsi="宋体" w:cs="宋体" w:eastAsia="宋体" w:hint="default"/>
        </w:rPr>
        <w:t>2006</w:t>
      </w:r>
      <w:r>
        <w:rPr>
          <w:rFonts w:ascii="宋体" w:hAnsi="宋体" w:cs="宋体" w:eastAsia="宋体" w:hint="default"/>
          <w:spacing w:val="-60"/>
        </w:rPr>
        <w:t> </w:t>
      </w:r>
      <w:r>
        <w:rPr>
          <w:rFonts w:ascii="宋体" w:hAnsi="宋体" w:cs="宋体" w:eastAsia="宋体" w:hint="default"/>
        </w:rPr>
        <w:t>年获得了国际信息安全标准</w:t>
      </w:r>
      <w:r>
        <w:rPr>
          <w:rFonts w:ascii="宋体" w:hAnsi="宋体" w:cs="宋体" w:eastAsia="宋体" w:hint="default"/>
          <w:spacing w:val="-60"/>
        </w:rPr>
        <w:t> </w:t>
      </w:r>
      <w:r>
        <w:rPr>
          <w:rFonts w:ascii="宋体" w:hAnsi="宋体" w:cs="宋体" w:eastAsia="宋体" w:hint="default"/>
        </w:rPr>
        <w:t>ISO27001</w:t>
      </w:r>
      <w:r>
        <w:rPr>
          <w:rFonts w:ascii="宋体" w:hAnsi="宋体" w:cs="宋体" w:eastAsia="宋体" w:hint="default"/>
          <w:spacing w:val="-60"/>
        </w:rPr>
        <w:t> </w:t>
      </w:r>
      <w:r>
        <w:rPr>
          <w:rFonts w:ascii="宋体" w:hAnsi="宋体" w:cs="宋体" w:eastAsia="宋体" w:hint="default"/>
          <w:spacing w:val="-14"/>
        </w:rPr>
        <w:t>认证，2008</w:t>
      </w:r>
      <w:r>
        <w:rPr>
          <w:rFonts w:ascii="宋体" w:hAnsi="宋体" w:cs="宋体" w:eastAsia="宋体" w:hint="default"/>
          <w:spacing w:val="-60"/>
        </w:rPr>
        <w:t> </w:t>
      </w:r>
      <w:r>
        <w:rPr>
          <w:rFonts w:ascii="宋体" w:hAnsi="宋体" w:cs="宋体" w:eastAsia="宋体" w:hint="default"/>
        </w:rPr>
        <w:t>年通过了</w:t>
      </w:r>
      <w:r>
        <w:rPr>
          <w:rFonts w:ascii="宋体" w:hAnsi="宋体" w:cs="宋体" w:eastAsia="宋体" w:hint="default"/>
          <w:spacing w:val="-60"/>
        </w:rPr>
        <w:t> </w:t>
      </w:r>
      <w:r>
        <w:rPr>
          <w:rFonts w:ascii="宋体" w:hAnsi="宋体" w:cs="宋体" w:eastAsia="宋体" w:hint="default"/>
        </w:rPr>
        <w:t>BSI</w:t>
      </w:r>
      <w:r>
        <w:rPr>
          <w:rFonts w:ascii="宋体" w:hAnsi="宋体" w:cs="宋体" w:eastAsia="宋体" w:hint="default"/>
        </w:rPr>
        <w:t> 的重新认证审核，2009</w:t>
      </w:r>
      <w:r>
        <w:rPr>
          <w:rFonts w:ascii="宋体" w:hAnsi="宋体" w:cs="宋体" w:eastAsia="宋体" w:hint="default"/>
          <w:spacing w:val="-32"/>
        </w:rPr>
        <w:t> </w:t>
      </w:r>
      <w:r>
        <w:rPr>
          <w:rFonts w:ascii="宋体" w:hAnsi="宋体" w:cs="宋体" w:eastAsia="宋体" w:hint="default"/>
        </w:rPr>
        <w:t>年通过了</w:t>
      </w:r>
      <w:r>
        <w:rPr>
          <w:rFonts w:ascii="宋体" w:hAnsi="宋体" w:cs="宋体" w:eastAsia="宋体" w:hint="default"/>
          <w:spacing w:val="-32"/>
        </w:rPr>
        <w:t> </w:t>
      </w:r>
      <w:r>
        <w:rPr>
          <w:rFonts w:ascii="宋体" w:hAnsi="宋体" w:cs="宋体" w:eastAsia="宋体" w:hint="default"/>
        </w:rPr>
        <w:t>BSI</w:t>
      </w:r>
      <w:r>
        <w:rPr>
          <w:rFonts w:ascii="宋体" w:hAnsi="宋体" w:cs="宋体" w:eastAsia="宋体" w:hint="default"/>
          <w:spacing w:val="-32"/>
        </w:rPr>
        <w:t> </w:t>
      </w:r>
      <w:r>
        <w:rPr>
          <w:rFonts w:ascii="宋体" w:hAnsi="宋体" w:cs="宋体" w:eastAsia="宋体" w:hint="default"/>
        </w:rPr>
        <w:t>的跟踪审核，注重信息安全管理，具有完</w:t>
      </w:r>
      <w:r>
        <w:rPr>
          <w:rFonts w:ascii="宋体" w:hAnsi="宋体" w:cs="宋体" w:eastAsia="宋体" w:hint="default"/>
        </w:rPr>
        <w:t> </w:t>
      </w:r>
      <w:r>
        <w:rPr>
          <w:rFonts w:ascii="宋体" w:hAnsi="宋体" w:cs="宋体" w:eastAsia="宋体" w:hint="default"/>
          <w:spacing w:val="-3"/>
        </w:rPr>
        <w:t>备的信息安全管理体系，内容涵盖人员安全管理、信息资产安全管理、物理与环</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境安全管理、信息安全风险管理、系统和网络安全管理、信息安全事件管理、信</w:t>
      </w:r>
      <w:r>
        <w:rPr>
          <w:rFonts w:ascii="宋体" w:hAnsi="宋体" w:cs="宋体" w:eastAsia="宋体" w:hint="default"/>
          <w:spacing w:val="-110"/>
        </w:rPr>
        <w:t> </w:t>
      </w:r>
      <w:r>
        <w:rPr>
          <w:rFonts w:ascii="宋体" w:hAnsi="宋体" w:cs="宋体" w:eastAsia="宋体" w:hint="default"/>
          <w:spacing w:val="-110"/>
        </w:rPr>
      </w:r>
      <w:r>
        <w:rPr>
          <w:rFonts w:ascii="宋体" w:hAnsi="宋体" w:cs="宋体" w:eastAsia="宋体" w:hint="default"/>
        </w:rPr>
        <w:t>息安全管理体系维护等多个方面。2009</w:t>
      </w:r>
      <w:r>
        <w:rPr>
          <w:rFonts w:ascii="宋体" w:hAnsi="宋体" w:cs="宋体" w:eastAsia="宋体" w:hint="default"/>
          <w:spacing w:val="2"/>
        </w:rPr>
        <w:t> </w:t>
      </w:r>
      <w:r>
        <w:rPr>
          <w:rFonts w:ascii="宋体" w:hAnsi="宋体" w:cs="宋体" w:eastAsia="宋体" w:hint="default"/>
        </w:rPr>
        <w:t>年，公司修订了《东软信息安全管理办</w:t>
      </w:r>
      <w:r>
        <w:rPr>
          <w:rFonts w:ascii="宋体" w:hAnsi="宋体" w:cs="宋体" w:eastAsia="宋体" w:hint="default"/>
        </w:rPr>
        <w:t> </w:t>
      </w:r>
      <w:r>
        <w:rPr>
          <w:rFonts w:ascii="宋体" w:hAnsi="宋体" w:cs="宋体" w:eastAsia="宋体" w:hint="default"/>
          <w:spacing w:val="-4"/>
        </w:rPr>
        <w:t>法》，进一步细化了公司信息安全管理中的规范行为、禁止行为及相应责任。</w:t>
      </w:r>
    </w:p>
    <w:p>
      <w:pPr>
        <w:pStyle w:val="BodyText"/>
        <w:spacing w:line="312" w:lineRule="exact" w:before="156"/>
        <w:ind w:right="234" w:firstLine="480"/>
        <w:jc w:val="both"/>
        <w:rPr>
          <w:rFonts w:ascii="宋体" w:hAnsi="宋体" w:cs="宋体" w:eastAsia="宋体" w:hint="default"/>
        </w:rPr>
      </w:pPr>
      <w:r>
        <w:rPr>
          <w:rFonts w:ascii="宋体" w:hAnsi="宋体" w:cs="宋体" w:eastAsia="宋体" w:hint="default"/>
          <w:spacing w:val="-3"/>
        </w:rPr>
        <w:t>公司将信息安全管理作为工作的重要一环，建立健全信息安全管理制度，成</w:t>
      </w:r>
      <w:r>
        <w:rPr>
          <w:rFonts w:ascii="宋体" w:hAnsi="宋体" w:cs="宋体" w:eastAsia="宋体" w:hint="default"/>
        </w:rPr>
        <w:t> </w:t>
      </w:r>
      <w:r>
        <w:rPr>
          <w:rFonts w:ascii="宋体" w:hAnsi="宋体" w:cs="宋体" w:eastAsia="宋体" w:hint="default"/>
          <w:spacing w:val="-4"/>
        </w:rPr>
        <w:t>立由公司高级管理人员组成的“信息系统规划与建设委员会”，在各部门和业务</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spacing w:val="-3"/>
        </w:rPr>
        <w:t>单元设置信息安全主管和信息安全专员，主动开展信息安全风险评估活动，积极</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组织信息安全培训，落实信息安全管理工作。2009</w:t>
      </w:r>
      <w:r>
        <w:rPr>
          <w:rFonts w:ascii="宋体" w:hAnsi="宋体" w:cs="宋体" w:eastAsia="宋体" w:hint="default"/>
          <w:spacing w:val="2"/>
        </w:rPr>
        <w:t> </w:t>
      </w:r>
      <w:r>
        <w:rPr>
          <w:rFonts w:ascii="宋体" w:hAnsi="宋体" w:cs="宋体" w:eastAsia="宋体" w:hint="default"/>
        </w:rPr>
        <w:t>年，公司发布信息安全月刊</w:t>
      </w:r>
      <w:r>
        <w:rPr>
          <w:rFonts w:ascii="宋体" w:hAnsi="宋体" w:cs="宋体" w:eastAsia="宋体" w:hint="default"/>
        </w:rPr>
        <w:t> </w:t>
      </w:r>
      <w:r>
        <w:rPr>
          <w:rFonts w:ascii="宋体" w:hAnsi="宋体" w:cs="宋体" w:eastAsia="宋体" w:hint="default"/>
          <w:spacing w:val="-3"/>
        </w:rPr>
        <w:t>等内部刊物，对员工进行信息安全意识培训，并对信息安全主管、信息安全专员</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以及服务器管理员等特殊岗位进行多次专项培训，以加强员工的规范和信息安全</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意识，从而避免因行为不当导致客户信息安全遭到威胁的情况发生。</w:t>
      </w:r>
    </w:p>
    <w:p>
      <w:pPr>
        <w:pStyle w:val="BodyText"/>
        <w:spacing w:line="312" w:lineRule="exact" w:before="156"/>
        <w:ind w:right="232" w:firstLine="480"/>
        <w:jc w:val="both"/>
        <w:rPr>
          <w:rFonts w:ascii="宋体" w:hAnsi="宋体" w:cs="宋体" w:eastAsia="宋体" w:hint="default"/>
        </w:rPr>
      </w:pPr>
      <w:r>
        <w:rPr>
          <w:rFonts w:ascii="宋体" w:hAnsi="宋体" w:cs="宋体" w:eastAsia="宋体" w:hint="default"/>
        </w:rPr>
        <w:t>2009</w:t>
      </w:r>
      <w:r>
        <w:rPr>
          <w:rFonts w:ascii="宋体" w:hAnsi="宋体" w:cs="宋体" w:eastAsia="宋体" w:hint="default"/>
          <w:spacing w:val="16"/>
        </w:rPr>
        <w:t> </w:t>
      </w:r>
      <w:r>
        <w:rPr>
          <w:rFonts w:ascii="宋体" w:hAnsi="宋体" w:cs="宋体" w:eastAsia="宋体" w:hint="default"/>
        </w:rPr>
        <w:t>年，公司重点加强了解决方案业务线的安全管理，加强对移动存贮介</w:t>
      </w:r>
      <w:r>
        <w:rPr>
          <w:rFonts w:ascii="宋体" w:hAnsi="宋体" w:cs="宋体" w:eastAsia="宋体" w:hint="default"/>
          <w:spacing w:val="1"/>
        </w:rPr>
        <w:t> </w:t>
      </w:r>
      <w:r>
        <w:rPr>
          <w:rFonts w:ascii="宋体" w:hAnsi="宋体" w:cs="宋体" w:eastAsia="宋体" w:hint="default"/>
          <w:spacing w:val="-3"/>
        </w:rPr>
        <w:t>质和外设端口的管理，监控外送邮件，采用终端安全产品进行终端管理，进一步</w:t>
      </w:r>
    </w:p>
    <w:p>
      <w:pPr>
        <w:spacing w:after="0" w:line="312" w:lineRule="exact"/>
        <w:jc w:val="both"/>
        <w:rPr>
          <w:rFonts w:ascii="宋体" w:hAnsi="宋体" w:cs="宋体" w:eastAsia="宋体" w:hint="default"/>
        </w:rPr>
        <w:sectPr>
          <w:pgSz w:w="11910" w:h="16840"/>
          <w:pgMar w:header="851" w:footer="982" w:top="1220" w:bottom="1180" w:left="1660" w:right="1560"/>
        </w:sectPr>
      </w:pPr>
    </w:p>
    <w:p>
      <w:pPr>
        <w:spacing w:line="240" w:lineRule="auto" w:before="8"/>
        <w:rPr>
          <w:rFonts w:ascii="宋体" w:hAnsi="宋体" w:cs="宋体" w:eastAsia="宋体" w:hint="default"/>
          <w:sz w:val="11"/>
          <w:szCs w:val="11"/>
        </w:rPr>
      </w:pPr>
    </w:p>
    <w:p>
      <w:pPr>
        <w:pStyle w:val="BodyText"/>
        <w:spacing w:line="312" w:lineRule="exact" w:before="56"/>
        <w:ind w:right="237"/>
        <w:jc w:val="both"/>
        <w:rPr>
          <w:rFonts w:ascii="宋体" w:hAnsi="宋体" w:cs="宋体" w:eastAsia="宋体" w:hint="default"/>
        </w:rPr>
      </w:pPr>
      <w:bookmarkStart w:name="_bookmark19" w:id="24"/>
      <w:bookmarkEnd w:id="24"/>
      <w:r>
        <w:rPr/>
      </w:r>
      <w:r>
        <w:rPr>
          <w:rFonts w:ascii="宋体" w:hAnsi="宋体" w:cs="宋体" w:eastAsia="宋体" w:hint="default"/>
          <w:spacing w:val="-3"/>
        </w:rPr>
        <w:t>加强打印管理，通过互联网信息搜索系统实时监控侵权行为并快速反应，采用网</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站过滤解决方案管理员工对网络的使用，在公司网络中形成多级防病毒体系，并</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采用多种防病毒系统交叉防毒在内的多种方案，防止各种恶意代码对公司系统和</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网络的危害，确保客户的信息安全、公众的个人隐私及资金安全得到保护。</w:t>
      </w:r>
    </w:p>
    <w:p>
      <w:pPr>
        <w:spacing w:line="240" w:lineRule="auto" w:before="3"/>
        <w:rPr>
          <w:rFonts w:ascii="宋体" w:hAnsi="宋体" w:cs="宋体" w:eastAsia="宋体" w:hint="default"/>
          <w:sz w:val="26"/>
          <w:szCs w:val="26"/>
        </w:rPr>
      </w:pPr>
    </w:p>
    <w:p>
      <w:pPr>
        <w:pStyle w:val="Heading7"/>
        <w:spacing w:line="240" w:lineRule="auto"/>
        <w:ind w:right="0"/>
        <w:jc w:val="both"/>
        <w:rPr>
          <w:b w:val="0"/>
          <w:bCs w:val="0"/>
        </w:rPr>
      </w:pPr>
      <w:r>
        <w:rPr/>
        <w:t>3、保证产品质量和服务</w:t>
      </w:r>
      <w:r>
        <w:rPr>
          <w:b w:val="0"/>
          <w:bCs w:val="0"/>
        </w:rPr>
      </w:r>
    </w:p>
    <w:p>
      <w:pPr>
        <w:spacing w:line="240" w:lineRule="auto" w:before="7"/>
        <w:rPr>
          <w:rFonts w:ascii="宋体" w:hAnsi="宋体" w:cs="宋体" w:eastAsia="宋体" w:hint="default"/>
          <w:b/>
          <w:bCs/>
          <w:sz w:val="16"/>
          <w:szCs w:val="16"/>
        </w:rPr>
      </w:pPr>
    </w:p>
    <w:p>
      <w:pPr>
        <w:spacing w:line="470" w:lineRule="atLeast" w:before="0"/>
        <w:ind w:left="620" w:right="223" w:hanging="244"/>
        <w:jc w:val="left"/>
        <w:rPr>
          <w:rFonts w:ascii="宋体" w:hAnsi="宋体" w:cs="宋体" w:eastAsia="宋体" w:hint="default"/>
          <w:sz w:val="24"/>
          <w:szCs w:val="24"/>
        </w:rPr>
      </w:pPr>
      <w:r>
        <w:rPr>
          <w:rFonts w:ascii="宋体" w:hAnsi="宋体" w:cs="宋体" w:eastAsia="宋体" w:hint="default"/>
          <w:b/>
          <w:bCs/>
          <w:sz w:val="24"/>
          <w:szCs w:val="24"/>
        </w:rPr>
        <w:t>（1）完善运营管理体系</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为满足客户需求，优化服务质量，实现与客户的共同成长和可持续发展，公</w:t>
      </w:r>
    </w:p>
    <w:p>
      <w:pPr>
        <w:pStyle w:val="BodyText"/>
        <w:spacing w:line="312" w:lineRule="exact" w:before="28"/>
        <w:ind w:right="100"/>
        <w:jc w:val="left"/>
        <w:rPr>
          <w:rFonts w:ascii="宋体" w:hAnsi="宋体" w:cs="宋体" w:eastAsia="宋体" w:hint="default"/>
        </w:rPr>
      </w:pPr>
      <w:r>
        <w:rPr>
          <w:rFonts w:ascii="宋体" w:hAnsi="宋体" w:cs="宋体" w:eastAsia="宋体" w:hint="default"/>
          <w:spacing w:val="-6"/>
        </w:rPr>
        <w:t>司经过多年的管理沉淀，构建了持续提升的运营管理体系与流程。以客户为中心，</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rPr>
        <w:t>建立各项业务的专业化运营部门、面向全球的营销和服务网络；以目标为导向， </w:t>
      </w:r>
      <w:r>
        <w:rPr>
          <w:rFonts w:ascii="宋体" w:hAnsi="宋体" w:cs="宋体" w:eastAsia="宋体" w:hint="default"/>
          <w:spacing w:val="-3"/>
        </w:rPr>
        <w:t>锁定客户核心业务，制定战略规划并构建战略执行体系；为进一步提高公司运营</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效率，构建清晰、可视、可持续改进的商务流程；坚持“软件创造客户价值”的</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经营理念，构建创造持续价值的客户管理体系；根据科学统筹，在全球建立规模</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4"/>
        </w:rPr>
        <w:t>化的软件研发基地和分布式的客户交付中心；为提高解决方案的构建速度和质</w:t>
      </w:r>
      <w:r>
        <w:rPr>
          <w:rFonts w:ascii="宋体" w:hAnsi="宋体" w:cs="宋体" w:eastAsia="宋体" w:hint="default"/>
          <w:spacing w:val="4"/>
        </w:rPr>
        <w:t> </w:t>
      </w:r>
      <w:r>
        <w:rPr>
          <w:rFonts w:ascii="宋体" w:hAnsi="宋体" w:cs="宋体" w:eastAsia="宋体" w:hint="default"/>
          <w:spacing w:val="-3"/>
        </w:rPr>
        <w:t>量，建立知识资产管理体系，倡导软件复用；以共赢为目标，与全球知名公司和</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国家各级部门保持战略联盟与合作关系。</w:t>
      </w:r>
    </w:p>
    <w:p>
      <w:pPr>
        <w:pStyle w:val="Heading7"/>
        <w:spacing w:line="240" w:lineRule="auto" w:before="125"/>
        <w:ind w:left="376" w:right="144"/>
        <w:jc w:val="left"/>
        <w:rPr>
          <w:b w:val="0"/>
          <w:bCs w:val="0"/>
        </w:rPr>
      </w:pPr>
      <w:r>
        <w:rPr/>
        <w:t>（2）健全质量管理体系</w:t>
      </w:r>
      <w:r>
        <w:rPr>
          <w:b w:val="0"/>
          <w:bCs w:val="0"/>
        </w:rPr>
      </w:r>
    </w:p>
    <w:p>
      <w:pPr>
        <w:pStyle w:val="BodyText"/>
        <w:spacing w:line="312" w:lineRule="exact" w:before="184"/>
        <w:ind w:right="124" w:firstLine="480"/>
        <w:jc w:val="left"/>
        <w:rPr>
          <w:rFonts w:ascii="宋体" w:hAnsi="宋体" w:cs="宋体" w:eastAsia="宋体" w:hint="default"/>
        </w:rPr>
      </w:pPr>
      <w:r>
        <w:rPr>
          <w:rFonts w:ascii="宋体" w:hAnsi="宋体" w:cs="宋体" w:eastAsia="宋体" w:hint="default"/>
        </w:rPr>
        <w:t>1998</w:t>
      </w:r>
      <w:r>
        <w:rPr>
          <w:rFonts w:ascii="宋体" w:hAnsi="宋体" w:cs="宋体" w:eastAsia="宋体" w:hint="default"/>
          <w:spacing w:val="-63"/>
        </w:rPr>
        <w:t> </w:t>
      </w:r>
      <w:r>
        <w:rPr>
          <w:rFonts w:ascii="宋体" w:hAnsi="宋体" w:cs="宋体" w:eastAsia="宋体" w:hint="default"/>
          <w:spacing w:val="-3"/>
        </w:rPr>
        <w:t>年，公司通过了</w:t>
      </w:r>
      <w:r>
        <w:rPr>
          <w:rFonts w:ascii="宋体" w:hAnsi="宋体" w:cs="宋体" w:eastAsia="宋体" w:hint="default"/>
          <w:spacing w:val="-63"/>
        </w:rPr>
        <w:t> </w:t>
      </w:r>
      <w:r>
        <w:rPr>
          <w:rFonts w:ascii="宋体" w:hAnsi="宋体" w:cs="宋体" w:eastAsia="宋体" w:hint="default"/>
        </w:rPr>
        <w:t>ISO9001:1994</w:t>
      </w:r>
      <w:r>
        <w:rPr>
          <w:rFonts w:ascii="宋体" w:hAnsi="宋体" w:cs="宋体" w:eastAsia="宋体" w:hint="default"/>
          <w:spacing w:val="-63"/>
        </w:rPr>
        <w:t> </w:t>
      </w:r>
      <w:r>
        <w:rPr>
          <w:rFonts w:ascii="宋体" w:hAnsi="宋体" w:cs="宋体" w:eastAsia="宋体" w:hint="default"/>
        </w:rPr>
        <w:t>质量管理体系认证，成为中国首家通过</w:t>
      </w:r>
      <w:r>
        <w:rPr>
          <w:rFonts w:ascii="宋体" w:hAnsi="宋体" w:cs="宋体" w:eastAsia="宋体" w:hint="default"/>
        </w:rPr>
        <w:t> ISO</w:t>
      </w:r>
      <w:r>
        <w:rPr>
          <w:rFonts w:ascii="宋体" w:hAnsi="宋体" w:cs="宋体" w:eastAsia="宋体" w:hint="default"/>
          <w:spacing w:val="-54"/>
        </w:rPr>
        <w:t> </w:t>
      </w:r>
      <w:r>
        <w:rPr>
          <w:rFonts w:ascii="宋体" w:hAnsi="宋体" w:cs="宋体" w:eastAsia="宋体" w:hint="default"/>
        </w:rPr>
        <w:t>质量管理体系认证的软件企业。2008</w:t>
      </w:r>
      <w:r>
        <w:rPr>
          <w:rFonts w:ascii="宋体" w:hAnsi="宋体" w:cs="宋体" w:eastAsia="宋体" w:hint="default"/>
          <w:spacing w:val="-54"/>
        </w:rPr>
        <w:t> </w:t>
      </w:r>
      <w:r>
        <w:rPr>
          <w:rFonts w:ascii="宋体" w:hAnsi="宋体" w:cs="宋体" w:eastAsia="宋体" w:hint="default"/>
        </w:rPr>
        <w:t>年，公司通过了对软件企业</w:t>
      </w:r>
      <w:r>
        <w:rPr>
          <w:rFonts w:ascii="宋体" w:hAnsi="宋体" w:cs="宋体" w:eastAsia="宋体" w:hint="default"/>
          <w:spacing w:val="-54"/>
        </w:rPr>
        <w:t> </w:t>
      </w:r>
      <w:r>
        <w:rPr>
          <w:rFonts w:ascii="宋体" w:hAnsi="宋体" w:cs="宋体" w:eastAsia="宋体" w:hint="default"/>
        </w:rPr>
        <w:t>CMMI</w:t>
      </w:r>
      <w:r>
        <w:rPr>
          <w:rFonts w:ascii="宋体" w:hAnsi="宋体" w:cs="宋体" w:eastAsia="宋体" w:hint="default"/>
          <w:spacing w:val="-54"/>
        </w:rPr>
        <w:t> </w:t>
      </w:r>
      <w:r>
        <w:rPr>
          <w:rFonts w:ascii="宋体" w:hAnsi="宋体" w:cs="宋体" w:eastAsia="宋体" w:hint="default"/>
        </w:rPr>
        <w:t>评估</w:t>
      </w:r>
      <w:r>
        <w:rPr>
          <w:rFonts w:ascii="宋体" w:hAnsi="宋体" w:cs="宋体" w:eastAsia="宋体" w:hint="default"/>
        </w:rPr>
        <w:t> 中最严格、标准最高的 CMMI(V1.2) Level 5</w:t>
      </w:r>
      <w:r>
        <w:rPr>
          <w:rFonts w:ascii="宋体" w:hAnsi="宋体" w:cs="宋体" w:eastAsia="宋体" w:hint="default"/>
          <w:spacing w:val="-94"/>
        </w:rPr>
        <w:t> </w:t>
      </w:r>
      <w:r>
        <w:rPr>
          <w:rFonts w:ascii="宋体" w:hAnsi="宋体" w:cs="宋体" w:eastAsia="宋体" w:hint="default"/>
        </w:rPr>
        <w:t>评估，成为通过该项评估的第一家</w:t>
      </w:r>
      <w:r>
        <w:rPr>
          <w:rFonts w:ascii="宋体" w:hAnsi="宋体" w:cs="宋体" w:eastAsia="宋体" w:hint="default"/>
        </w:rPr>
        <w:t> 中国软件企业。公司对产品的质量实行严格控制，力求“通过持续的体系改进， </w:t>
      </w:r>
      <w:r>
        <w:rPr>
          <w:rFonts w:ascii="宋体" w:hAnsi="宋体" w:cs="宋体" w:eastAsia="宋体" w:hint="default"/>
          <w:spacing w:val="-5"/>
        </w:rPr>
        <w:t>构建高效的过程管理模式，为顾客提供最优的软件与服务”。</w:t>
      </w:r>
    </w:p>
    <w:p>
      <w:pPr>
        <w:pStyle w:val="BodyText"/>
        <w:spacing w:line="312" w:lineRule="exact" w:before="156"/>
        <w:ind w:right="237" w:firstLine="480"/>
        <w:jc w:val="both"/>
        <w:rPr>
          <w:rFonts w:ascii="宋体" w:hAnsi="宋体" w:cs="宋体" w:eastAsia="宋体" w:hint="default"/>
        </w:rPr>
      </w:pPr>
      <w:r>
        <w:rPr>
          <w:rFonts w:ascii="宋体" w:hAnsi="宋体" w:cs="宋体" w:eastAsia="宋体" w:hint="default"/>
        </w:rPr>
        <w:t>公司坚持在</w:t>
      </w:r>
      <w:r>
        <w:rPr>
          <w:rFonts w:ascii="宋体" w:hAnsi="宋体" w:cs="宋体" w:eastAsia="宋体" w:hint="default"/>
          <w:spacing w:val="-60"/>
        </w:rPr>
        <w:t> </w:t>
      </w:r>
      <w:r>
        <w:rPr>
          <w:rFonts w:ascii="宋体" w:hAnsi="宋体" w:cs="宋体" w:eastAsia="宋体" w:hint="default"/>
        </w:rPr>
        <w:t>ISO9001</w:t>
      </w:r>
      <w:r>
        <w:rPr>
          <w:rFonts w:ascii="宋体" w:hAnsi="宋体" w:cs="宋体" w:eastAsia="宋体" w:hint="default"/>
          <w:spacing w:val="-60"/>
        </w:rPr>
        <w:t> </w:t>
      </w:r>
      <w:r>
        <w:rPr>
          <w:rFonts w:ascii="宋体" w:hAnsi="宋体" w:cs="宋体" w:eastAsia="宋体" w:hint="default"/>
          <w:spacing w:val="-4"/>
        </w:rPr>
        <w:t>质量管理体系的基础上，追求业务的精益求精，针对不</w:t>
      </w:r>
      <w:r>
        <w:rPr>
          <w:rFonts w:ascii="宋体" w:hAnsi="宋体" w:cs="宋体" w:eastAsia="宋体" w:hint="default"/>
        </w:rPr>
        <w:t> 同的产品业务线，先后引进了 CMM、CMMI、PCMM、RUP</w:t>
      </w:r>
      <w:r>
        <w:rPr>
          <w:rFonts w:ascii="宋体" w:hAnsi="宋体" w:cs="宋体" w:eastAsia="宋体" w:hint="default"/>
          <w:spacing w:val="-94"/>
        </w:rPr>
        <w:t> </w:t>
      </w:r>
      <w:r>
        <w:rPr>
          <w:rFonts w:ascii="宋体" w:hAnsi="宋体" w:cs="宋体" w:eastAsia="宋体" w:hint="default"/>
        </w:rPr>
        <w:t>等先进的质量管理思想，</w:t>
      </w:r>
      <w:r>
        <w:rPr>
          <w:rFonts w:ascii="宋体" w:hAnsi="宋体" w:cs="宋体" w:eastAsia="宋体" w:hint="default"/>
        </w:rPr>
        <w:t> 通过了</w:t>
      </w:r>
      <w:r>
        <w:rPr>
          <w:rFonts w:ascii="宋体" w:hAnsi="宋体" w:cs="宋体" w:eastAsia="宋体" w:hint="default"/>
          <w:spacing w:val="-54"/>
        </w:rPr>
        <w:t> </w:t>
      </w:r>
      <w:r>
        <w:rPr>
          <w:rFonts w:ascii="宋体" w:hAnsi="宋体" w:cs="宋体" w:eastAsia="宋体" w:hint="default"/>
          <w:spacing w:val="-17"/>
        </w:rPr>
        <w:t>DNV、BSI、QAI</w:t>
      </w:r>
      <w:r>
        <w:rPr>
          <w:rFonts w:ascii="宋体" w:hAnsi="宋体" w:cs="宋体" w:eastAsia="宋体" w:hint="default"/>
          <w:spacing w:val="-54"/>
        </w:rPr>
        <w:t> </w:t>
      </w:r>
      <w:r>
        <w:rPr>
          <w:rFonts w:ascii="宋体" w:hAnsi="宋体" w:cs="宋体" w:eastAsia="宋体" w:hint="default"/>
          <w:spacing w:val="-5"/>
        </w:rPr>
        <w:t>等第三方认证机构的质量体系认证，逐步建立了以</w:t>
      </w:r>
      <w:r>
        <w:rPr>
          <w:rFonts w:ascii="宋体" w:hAnsi="宋体" w:cs="宋体" w:eastAsia="宋体" w:hint="default"/>
          <w:spacing w:val="-54"/>
        </w:rPr>
        <w:t> </w:t>
      </w:r>
      <w:r>
        <w:rPr>
          <w:rFonts w:ascii="宋体" w:hAnsi="宋体" w:cs="宋体" w:eastAsia="宋体" w:hint="default"/>
        </w:rPr>
        <w:t>ISO9001</w:t>
      </w:r>
      <w:r>
        <w:rPr>
          <w:rFonts w:ascii="宋体" w:hAnsi="宋体" w:cs="宋体" w:eastAsia="宋体" w:hint="default"/>
        </w:rPr>
        <w:t> 为框架、以</w:t>
      </w:r>
      <w:r>
        <w:rPr>
          <w:rFonts w:ascii="宋体" w:hAnsi="宋体" w:cs="宋体" w:eastAsia="宋体" w:hint="default"/>
          <w:spacing w:val="-54"/>
        </w:rPr>
        <w:t> </w:t>
      </w:r>
      <w:r>
        <w:rPr>
          <w:rFonts w:ascii="宋体" w:hAnsi="宋体" w:cs="宋体" w:eastAsia="宋体" w:hint="default"/>
        </w:rPr>
        <w:t>CMMI</w:t>
      </w:r>
      <w:r>
        <w:rPr>
          <w:rFonts w:ascii="宋体" w:hAnsi="宋体" w:cs="宋体" w:eastAsia="宋体" w:hint="default"/>
          <w:spacing w:val="-54"/>
        </w:rPr>
        <w:t> </w:t>
      </w:r>
      <w:r>
        <w:rPr>
          <w:rFonts w:ascii="宋体" w:hAnsi="宋体" w:cs="宋体" w:eastAsia="宋体" w:hint="default"/>
        </w:rPr>
        <w:t>和</w:t>
      </w:r>
      <w:r>
        <w:rPr>
          <w:rFonts w:ascii="宋体" w:hAnsi="宋体" w:cs="宋体" w:eastAsia="宋体" w:hint="default"/>
          <w:spacing w:val="-53"/>
        </w:rPr>
        <w:t> </w:t>
      </w:r>
      <w:r>
        <w:rPr>
          <w:rFonts w:ascii="宋体" w:hAnsi="宋体" w:cs="宋体" w:eastAsia="宋体" w:hint="default"/>
        </w:rPr>
        <w:t>NUP（Neusoft Unified </w:t>
      </w:r>
      <w:r>
        <w:rPr>
          <w:rFonts w:ascii="宋体" w:hAnsi="宋体" w:cs="宋体" w:eastAsia="宋体" w:hint="default"/>
          <w:spacing w:val="-6"/>
        </w:rPr>
        <w:t>Process，东软统一过程）、PCMM</w:t>
      </w:r>
      <w:r>
        <w:rPr>
          <w:rFonts w:ascii="宋体" w:hAnsi="宋体" w:cs="宋体" w:eastAsia="宋体" w:hint="default"/>
          <w:spacing w:val="-54"/>
        </w:rPr>
        <w:t> </w:t>
      </w:r>
      <w:r>
        <w:rPr>
          <w:rFonts w:ascii="宋体" w:hAnsi="宋体" w:cs="宋体" w:eastAsia="宋体" w:hint="default"/>
        </w:rPr>
        <w:t>等</w:t>
      </w:r>
      <w:r>
        <w:rPr>
          <w:rFonts w:ascii="宋体" w:hAnsi="宋体" w:cs="宋体" w:eastAsia="宋体" w:hint="default"/>
        </w:rPr>
        <w:t> 为纵深的质量管理体系。</w:t>
      </w:r>
    </w:p>
    <w:p>
      <w:pPr>
        <w:spacing w:line="468" w:lineRule="exact" w:before="31"/>
        <w:ind w:left="620" w:right="223" w:hanging="244"/>
        <w:jc w:val="left"/>
        <w:rPr>
          <w:rFonts w:ascii="宋体" w:hAnsi="宋体" w:cs="宋体" w:eastAsia="宋体" w:hint="default"/>
          <w:sz w:val="24"/>
          <w:szCs w:val="24"/>
        </w:rPr>
      </w:pPr>
      <w:r>
        <w:rPr>
          <w:rFonts w:ascii="宋体" w:hAnsi="宋体" w:cs="宋体" w:eastAsia="宋体" w:hint="default"/>
          <w:b/>
          <w:bCs/>
          <w:sz w:val="24"/>
          <w:szCs w:val="24"/>
        </w:rPr>
        <w:t>（3）提高客户服务品质</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公司坚持“以客户为中心，打造卓越服务流程，为客户创造价值”的服务理</w:t>
      </w:r>
    </w:p>
    <w:p>
      <w:pPr>
        <w:pStyle w:val="BodyText"/>
        <w:spacing w:line="251" w:lineRule="exact"/>
        <w:ind w:right="0"/>
        <w:jc w:val="both"/>
        <w:rPr>
          <w:rFonts w:ascii="宋体" w:hAnsi="宋体" w:cs="宋体" w:eastAsia="宋体" w:hint="default"/>
        </w:rPr>
      </w:pPr>
      <w:r>
        <w:rPr>
          <w:rFonts w:ascii="宋体" w:hAnsi="宋体" w:cs="宋体" w:eastAsia="宋体" w:hint="default"/>
          <w:spacing w:val="-4"/>
        </w:rPr>
        <w:t>念，面向客户提供涵盖售前、售中、售后的全程服务。公司开通了 </w:t>
      </w:r>
      <w:r>
        <w:rPr>
          <w:rFonts w:ascii="宋体" w:hAnsi="宋体" w:cs="宋体" w:eastAsia="宋体" w:hint="default"/>
        </w:rPr>
        <w:t>7×24</w:t>
      </w:r>
      <w:r>
        <w:rPr>
          <w:rFonts w:ascii="宋体" w:hAnsi="宋体" w:cs="宋体" w:eastAsia="宋体" w:hint="default"/>
          <w:spacing w:val="-96"/>
        </w:rPr>
        <w:t> </w:t>
      </w:r>
      <w:r>
        <w:rPr>
          <w:rFonts w:ascii="宋体" w:hAnsi="宋体" w:cs="宋体" w:eastAsia="宋体" w:hint="default"/>
        </w:rPr>
        <w:t>小时免</w:t>
      </w:r>
    </w:p>
    <w:p>
      <w:pPr>
        <w:pStyle w:val="BodyText"/>
        <w:spacing w:line="312" w:lineRule="exact" w:before="29"/>
        <w:ind w:right="237"/>
        <w:jc w:val="both"/>
        <w:rPr>
          <w:rFonts w:ascii="宋体" w:hAnsi="宋体" w:cs="宋体" w:eastAsia="宋体" w:hint="default"/>
        </w:rPr>
      </w:pPr>
      <w:r>
        <w:rPr>
          <w:rFonts w:ascii="宋体" w:hAnsi="宋体" w:cs="宋体" w:eastAsia="宋体" w:hint="default"/>
          <w:spacing w:val="-3"/>
        </w:rPr>
        <w:t>费电话服务等多种沟通渠道，由训练有素的服务团队提供技术支持，建立并严格</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遵守问题解决流程，不断改善解决方案直至客户满意。同时，公司为客户量身定</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制金牌服务、银牌服务和标准服务，向客户分层次提供响应式服务、主动式服务</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和咨询服务，以满足不同客户对服务的个性化需求。</w:t>
      </w:r>
    </w:p>
    <w:p>
      <w:pPr>
        <w:pStyle w:val="Heading7"/>
        <w:spacing w:line="240" w:lineRule="auto" w:before="125"/>
        <w:ind w:left="376" w:right="144"/>
        <w:jc w:val="left"/>
        <w:rPr>
          <w:b w:val="0"/>
          <w:bCs w:val="0"/>
        </w:rPr>
      </w:pPr>
      <w:r>
        <w:rPr/>
        <w:t>（4）提升客户满意度</w:t>
      </w:r>
      <w:r>
        <w:rPr>
          <w:b w:val="0"/>
          <w:bCs w:val="0"/>
        </w:rPr>
      </w:r>
    </w:p>
    <w:p>
      <w:pPr>
        <w:pStyle w:val="BodyText"/>
        <w:spacing w:line="313" w:lineRule="exact" w:before="154"/>
        <w:ind w:left="620" w:right="144"/>
        <w:jc w:val="left"/>
        <w:rPr>
          <w:rFonts w:ascii="宋体" w:hAnsi="宋体" w:cs="宋体" w:eastAsia="宋体" w:hint="default"/>
        </w:rPr>
      </w:pPr>
      <w:r>
        <w:rPr>
          <w:rFonts w:ascii="宋体" w:hAnsi="宋体" w:cs="宋体" w:eastAsia="宋体" w:hint="default"/>
        </w:rPr>
        <w:t>2009</w:t>
      </w:r>
      <w:r>
        <w:rPr>
          <w:rFonts w:ascii="宋体" w:hAnsi="宋体" w:cs="宋体" w:eastAsia="宋体" w:hint="default"/>
          <w:spacing w:val="18"/>
        </w:rPr>
        <w:t> </w:t>
      </w:r>
      <w:r>
        <w:rPr>
          <w:rFonts w:ascii="宋体" w:hAnsi="宋体" w:cs="宋体" w:eastAsia="宋体" w:hint="default"/>
        </w:rPr>
        <w:t>年，公司共获得来自电力、电信、金融、交通、政府、企业等行业客</w:t>
      </w:r>
    </w:p>
    <w:p>
      <w:pPr>
        <w:pStyle w:val="BodyText"/>
        <w:spacing w:line="312" w:lineRule="exact" w:before="29"/>
        <w:ind w:right="237"/>
        <w:jc w:val="both"/>
        <w:rPr>
          <w:rFonts w:ascii="宋体" w:hAnsi="宋体" w:cs="宋体" w:eastAsia="宋体" w:hint="default"/>
        </w:rPr>
      </w:pPr>
      <w:r>
        <w:rPr>
          <w:rFonts w:ascii="宋体" w:hAnsi="宋体" w:cs="宋体" w:eastAsia="宋体" w:hint="default"/>
        </w:rPr>
        <w:t>户感谢信 51</w:t>
      </w:r>
      <w:r>
        <w:rPr>
          <w:rFonts w:ascii="宋体" w:hAnsi="宋体" w:cs="宋体" w:eastAsia="宋体" w:hint="default"/>
          <w:spacing w:val="-94"/>
        </w:rPr>
        <w:t> </w:t>
      </w:r>
      <w:r>
        <w:rPr>
          <w:rFonts w:ascii="宋体" w:hAnsi="宋体" w:cs="宋体" w:eastAsia="宋体" w:hint="default"/>
        </w:rPr>
        <w:t>封，客户对公司的服务态度、员工敬业水平、服务响应时间、项目</w:t>
      </w:r>
      <w:r>
        <w:rPr>
          <w:rFonts w:ascii="宋体" w:hAnsi="宋体" w:cs="宋体" w:eastAsia="宋体" w:hint="default"/>
        </w:rPr>
        <w:t> 实施质量、IT</w:t>
      </w:r>
      <w:r>
        <w:rPr>
          <w:rFonts w:ascii="宋体" w:hAnsi="宋体" w:cs="宋体" w:eastAsia="宋体" w:hint="default"/>
          <w:spacing w:val="-60"/>
        </w:rPr>
        <w:t> </w:t>
      </w:r>
      <w:r>
        <w:rPr>
          <w:rFonts w:ascii="宋体" w:hAnsi="宋体" w:cs="宋体" w:eastAsia="宋体" w:hint="default"/>
        </w:rPr>
        <w:t>技术水平及优秀个人表示满意并提出表扬。</w:t>
      </w:r>
    </w:p>
    <w:p>
      <w:pPr>
        <w:spacing w:after="0" w:line="312" w:lineRule="exact"/>
        <w:jc w:val="both"/>
        <w:rPr>
          <w:rFonts w:ascii="宋体" w:hAnsi="宋体" w:cs="宋体" w:eastAsia="宋体" w:hint="default"/>
        </w:rPr>
        <w:sectPr>
          <w:pgSz w:w="11910" w:h="16840"/>
          <w:pgMar w:header="851" w:footer="982" w:top="1220" w:bottom="1180" w:left="1660" w:right="1560"/>
        </w:sectPr>
      </w:pPr>
    </w:p>
    <w:p>
      <w:pPr>
        <w:spacing w:line="240" w:lineRule="auto" w:before="8"/>
        <w:rPr>
          <w:rFonts w:ascii="宋体" w:hAnsi="宋体" w:cs="宋体" w:eastAsia="宋体" w:hint="default"/>
          <w:sz w:val="11"/>
          <w:szCs w:val="11"/>
        </w:rPr>
      </w:pPr>
    </w:p>
    <w:p>
      <w:pPr>
        <w:pStyle w:val="BodyText"/>
        <w:spacing w:line="312" w:lineRule="exact" w:before="56"/>
        <w:ind w:right="237" w:firstLine="480"/>
        <w:jc w:val="both"/>
        <w:rPr>
          <w:rFonts w:ascii="宋体" w:hAnsi="宋体" w:cs="宋体" w:eastAsia="宋体" w:hint="default"/>
        </w:rPr>
      </w:pPr>
      <w:bookmarkStart w:name="_bookmark20" w:id="25"/>
      <w:bookmarkEnd w:id="25"/>
      <w:r>
        <w:rPr/>
      </w:r>
      <w:r>
        <w:rPr>
          <w:rFonts w:ascii="宋体" w:hAnsi="宋体" w:cs="宋体" w:eastAsia="宋体" w:hint="default"/>
        </w:rPr>
        <w:t>2009</w:t>
      </w:r>
      <w:r>
        <w:rPr>
          <w:rFonts w:ascii="宋体" w:hAnsi="宋体" w:cs="宋体" w:eastAsia="宋体" w:hint="default"/>
          <w:spacing w:val="-48"/>
        </w:rPr>
        <w:t> </w:t>
      </w:r>
      <w:r>
        <w:rPr>
          <w:rFonts w:ascii="宋体" w:hAnsi="宋体" w:cs="宋体" w:eastAsia="宋体" w:hint="default"/>
        </w:rPr>
        <w:t>年，公司对</w:t>
      </w:r>
      <w:r>
        <w:rPr>
          <w:rFonts w:ascii="宋体" w:hAnsi="宋体" w:cs="宋体" w:eastAsia="宋体" w:hint="default"/>
          <w:spacing w:val="-48"/>
        </w:rPr>
        <w:t> </w:t>
      </w:r>
      <w:r>
        <w:rPr>
          <w:rFonts w:ascii="宋体" w:hAnsi="宋体" w:cs="宋体" w:eastAsia="宋体" w:hint="default"/>
        </w:rPr>
        <w:t>11</w:t>
      </w:r>
      <w:r>
        <w:rPr>
          <w:rFonts w:ascii="宋体" w:hAnsi="宋体" w:cs="宋体" w:eastAsia="宋体" w:hint="default"/>
          <w:spacing w:val="-48"/>
        </w:rPr>
        <w:t> </w:t>
      </w:r>
      <w:r>
        <w:rPr>
          <w:rFonts w:ascii="宋体" w:hAnsi="宋体" w:cs="宋体" w:eastAsia="宋体" w:hint="default"/>
        </w:rPr>
        <w:t>个行业、2</w:t>
      </w:r>
      <w:r>
        <w:rPr>
          <w:rFonts w:ascii="宋体" w:hAnsi="宋体" w:cs="宋体" w:eastAsia="宋体" w:hint="default"/>
          <w:spacing w:val="-48"/>
        </w:rPr>
        <w:t> </w:t>
      </w:r>
      <w:r>
        <w:rPr>
          <w:rFonts w:ascii="宋体" w:hAnsi="宋体" w:cs="宋体" w:eastAsia="宋体" w:hint="default"/>
        </w:rPr>
        <w:t>个产品中心、1</w:t>
      </w:r>
      <w:r>
        <w:rPr>
          <w:rFonts w:ascii="宋体" w:hAnsi="宋体" w:cs="宋体" w:eastAsia="宋体" w:hint="default"/>
          <w:spacing w:val="-48"/>
        </w:rPr>
        <w:t> </w:t>
      </w:r>
      <w:r>
        <w:rPr>
          <w:rFonts w:ascii="宋体" w:hAnsi="宋体" w:cs="宋体" w:eastAsia="宋体" w:hint="default"/>
        </w:rPr>
        <w:t>个服务项目及</w:t>
      </w:r>
      <w:r>
        <w:rPr>
          <w:rFonts w:ascii="宋体" w:hAnsi="宋体" w:cs="宋体" w:eastAsia="宋体" w:hint="default"/>
          <w:spacing w:val="-48"/>
        </w:rPr>
        <w:t> </w:t>
      </w:r>
      <w:r>
        <w:rPr>
          <w:rFonts w:ascii="宋体" w:hAnsi="宋体" w:cs="宋体" w:eastAsia="宋体" w:hint="default"/>
        </w:rPr>
        <w:t>8</w:t>
      </w:r>
      <w:r>
        <w:rPr>
          <w:rFonts w:ascii="宋体" w:hAnsi="宋体" w:cs="宋体" w:eastAsia="宋体" w:hint="default"/>
          <w:spacing w:val="-48"/>
        </w:rPr>
        <w:t> </w:t>
      </w:r>
      <w:r>
        <w:rPr>
          <w:rFonts w:ascii="宋体" w:hAnsi="宋体" w:cs="宋体" w:eastAsia="宋体" w:hint="default"/>
        </w:rPr>
        <w:t>个国际部门</w:t>
      </w:r>
      <w:r>
        <w:rPr>
          <w:rFonts w:ascii="宋体" w:hAnsi="宋体" w:cs="宋体" w:eastAsia="宋体" w:hint="default"/>
        </w:rPr>
        <w:t> </w:t>
      </w:r>
      <w:r>
        <w:rPr>
          <w:rFonts w:ascii="宋体" w:hAnsi="宋体" w:cs="宋体" w:eastAsia="宋体" w:hint="default"/>
          <w:spacing w:val="-3"/>
        </w:rPr>
        <w:t>的行业解决方案、软件产品、产品工程及服务业务等主营业务进行了公司级客户</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满意度调查，客户总体满意度持续提升，2009</w:t>
      </w:r>
      <w:r>
        <w:rPr>
          <w:rFonts w:ascii="宋体" w:hAnsi="宋体" w:cs="宋体" w:eastAsia="宋体" w:hint="default"/>
          <w:spacing w:val="-60"/>
        </w:rPr>
        <w:t> </w:t>
      </w:r>
      <w:r>
        <w:rPr>
          <w:rFonts w:ascii="宋体" w:hAnsi="宋体" w:cs="宋体" w:eastAsia="宋体" w:hint="default"/>
        </w:rPr>
        <w:t>年关键客户满意率为</w:t>
      </w:r>
      <w:r>
        <w:rPr>
          <w:rFonts w:ascii="宋体" w:hAnsi="宋体" w:cs="宋体" w:eastAsia="宋体" w:hint="default"/>
          <w:spacing w:val="-60"/>
        </w:rPr>
        <w:t> </w:t>
      </w:r>
      <w:r>
        <w:rPr>
          <w:rFonts w:ascii="宋体" w:hAnsi="宋体" w:cs="宋体" w:eastAsia="宋体" w:hint="default"/>
        </w:rPr>
        <w:t>94%。</w:t>
      </w:r>
    </w:p>
    <w:p>
      <w:pPr>
        <w:spacing w:line="686" w:lineRule="exact" w:before="75"/>
        <w:ind w:left="620" w:right="124" w:hanging="480"/>
        <w:jc w:val="left"/>
        <w:rPr>
          <w:rFonts w:ascii="宋体" w:hAnsi="宋体" w:cs="宋体" w:eastAsia="宋体" w:hint="default"/>
          <w:sz w:val="24"/>
          <w:szCs w:val="24"/>
        </w:rPr>
      </w:pPr>
      <w:r>
        <w:rPr>
          <w:rFonts w:ascii="宋体" w:hAnsi="宋体" w:cs="宋体" w:eastAsia="宋体" w:hint="default"/>
          <w:b/>
          <w:bCs/>
          <w:sz w:val="24"/>
          <w:szCs w:val="24"/>
        </w:rPr>
        <w:t>4、推动技术创新</w:t>
      </w:r>
      <w:r>
        <w:rPr>
          <w:rFonts w:ascii="宋体" w:hAnsi="宋体" w:cs="宋体" w:eastAsia="宋体" w:hint="default"/>
          <w:b/>
          <w:bCs/>
          <w:spacing w:val="1"/>
          <w:w w:val="99"/>
          <w:sz w:val="24"/>
          <w:szCs w:val="24"/>
        </w:rPr>
        <w:t> </w:t>
      </w:r>
      <w:r>
        <w:rPr>
          <w:rFonts w:ascii="宋体" w:hAnsi="宋体" w:cs="宋体" w:eastAsia="宋体" w:hint="default"/>
          <w:sz w:val="24"/>
          <w:szCs w:val="24"/>
        </w:rPr>
        <w:t>公司以软件技术为核心，始终坚持“开放式创新”战略，对内建立公司级、</w:t>
      </w:r>
    </w:p>
    <w:p>
      <w:pPr>
        <w:pStyle w:val="BodyText"/>
        <w:spacing w:line="208" w:lineRule="exact"/>
        <w:ind w:right="144"/>
        <w:jc w:val="left"/>
        <w:rPr>
          <w:rFonts w:ascii="宋体" w:hAnsi="宋体" w:cs="宋体" w:eastAsia="宋体" w:hint="default"/>
        </w:rPr>
      </w:pPr>
      <w:r>
        <w:rPr>
          <w:rFonts w:ascii="宋体" w:hAnsi="宋体" w:cs="宋体" w:eastAsia="宋体" w:hint="default"/>
          <w:spacing w:val="-3"/>
        </w:rPr>
        <w:t>事业部级的两级研发体系，加强“产学研”合作，不断寻找可持续高速发展的技</w:t>
      </w:r>
    </w:p>
    <w:p>
      <w:pPr>
        <w:pStyle w:val="BodyText"/>
        <w:spacing w:line="312" w:lineRule="exact" w:before="29"/>
        <w:ind w:right="100"/>
        <w:jc w:val="left"/>
        <w:rPr>
          <w:rFonts w:ascii="宋体" w:hAnsi="宋体" w:cs="宋体" w:eastAsia="宋体" w:hint="default"/>
        </w:rPr>
      </w:pPr>
      <w:r>
        <w:rPr>
          <w:rFonts w:ascii="宋体" w:hAnsi="宋体" w:cs="宋体" w:eastAsia="宋体" w:hint="default"/>
          <w:spacing w:val="-3"/>
        </w:rPr>
        <w:t>术与商业模式；对外与合作伙伴共建卓越能力中心，通过联盟与合作的创新来获</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得更多的资源和更快的成长。自成立以来，公司重视对研发的投入，平均每年都</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要把营业收入的</w:t>
      </w:r>
      <w:r>
        <w:rPr>
          <w:rFonts w:ascii="宋体" w:hAnsi="宋体" w:cs="宋体" w:eastAsia="宋体" w:hint="default"/>
          <w:spacing w:val="-52"/>
        </w:rPr>
        <w:t> </w:t>
      </w:r>
      <w:r>
        <w:rPr>
          <w:rFonts w:ascii="宋体" w:hAnsi="宋体" w:cs="宋体" w:eastAsia="宋体" w:hint="default"/>
        </w:rPr>
        <w:t>5%至</w:t>
      </w:r>
      <w:r>
        <w:rPr>
          <w:rFonts w:ascii="宋体" w:hAnsi="宋体" w:cs="宋体" w:eastAsia="宋体" w:hint="default"/>
          <w:spacing w:val="-52"/>
        </w:rPr>
        <w:t> </w:t>
      </w:r>
      <w:r>
        <w:rPr>
          <w:rFonts w:ascii="宋体" w:hAnsi="宋体" w:cs="宋体" w:eastAsia="宋体" w:hint="default"/>
          <w:spacing w:val="-4"/>
        </w:rPr>
        <w:t>10%投入到面向未来的新业务/产品、新技术、新方法中去，</w:t>
      </w:r>
      <w:r>
        <w:rPr>
          <w:rFonts w:ascii="宋体" w:hAnsi="宋体" w:cs="宋体" w:eastAsia="宋体" w:hint="default"/>
        </w:rPr>
        <w:t> 有力推动了业务创新。</w:t>
      </w:r>
    </w:p>
    <w:p>
      <w:pPr>
        <w:pStyle w:val="BodyText"/>
        <w:spacing w:line="312" w:lineRule="exact" w:before="156"/>
        <w:ind w:right="232" w:firstLine="480"/>
        <w:jc w:val="both"/>
        <w:rPr>
          <w:rFonts w:ascii="宋体" w:hAnsi="宋体" w:cs="宋体" w:eastAsia="宋体" w:hint="default"/>
        </w:rPr>
      </w:pPr>
      <w:r>
        <w:rPr>
          <w:rFonts w:ascii="宋体" w:hAnsi="宋体" w:cs="宋体" w:eastAsia="宋体" w:hint="default"/>
        </w:rPr>
        <w:t>公司实施东软解决方案高效性策略</w:t>
      </w:r>
      <w:r>
        <w:rPr>
          <w:rFonts w:ascii="宋体" w:hAnsi="宋体" w:cs="宋体" w:eastAsia="宋体" w:hint="default"/>
          <w:spacing w:val="1"/>
        </w:rPr>
        <w:t> </w:t>
      </w:r>
      <w:r>
        <w:rPr>
          <w:rFonts w:ascii="宋体" w:hAnsi="宋体" w:cs="宋体" w:eastAsia="宋体" w:hint="default"/>
        </w:rPr>
        <w:t>NeuSA™，以产品与技术创新为基础，通</w:t>
      </w:r>
      <w:r>
        <w:rPr>
          <w:rFonts w:ascii="宋体" w:hAnsi="宋体" w:cs="宋体" w:eastAsia="宋体" w:hint="default"/>
        </w:rPr>
        <w:t> </w:t>
      </w:r>
      <w:r>
        <w:rPr>
          <w:rFonts w:ascii="宋体" w:hAnsi="宋体" w:cs="宋体" w:eastAsia="宋体" w:hint="default"/>
          <w:spacing w:val="-3"/>
        </w:rPr>
        <w:t>过方法学创新、员工能力提升、系统化复用、与合作伙伴协同创新形成东软独有</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技术创新体系，并通过卓越的技术团队推动体系持续改进，不断提升东软的核心</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竞争力。2009</w:t>
      </w:r>
      <w:r>
        <w:rPr>
          <w:rFonts w:ascii="宋体" w:hAnsi="宋体" w:cs="宋体" w:eastAsia="宋体" w:hint="default"/>
          <w:spacing w:val="-2"/>
        </w:rPr>
        <w:t> </w:t>
      </w:r>
      <w:r>
        <w:rPr>
          <w:rFonts w:ascii="宋体" w:hAnsi="宋体" w:cs="宋体" w:eastAsia="宋体" w:hint="default"/>
        </w:rPr>
        <w:t>年，公司继续深化实施东软解决方案高效性策略，落实东软“开</w:t>
      </w:r>
      <w:r>
        <w:rPr>
          <w:rFonts w:ascii="宋体" w:hAnsi="宋体" w:cs="宋体" w:eastAsia="宋体" w:hint="default"/>
        </w:rPr>
        <w:t> </w:t>
      </w:r>
      <w:r>
        <w:rPr>
          <w:rFonts w:ascii="宋体" w:hAnsi="宋体" w:cs="宋体" w:eastAsia="宋体" w:hint="default"/>
          <w:spacing w:val="-3"/>
        </w:rPr>
        <w:t>放式创新”战略，持续提升公司两级研发体系的创新能力与规模化的全球交付能</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力。</w:t>
      </w:r>
    </w:p>
    <w:p>
      <w:pPr>
        <w:pStyle w:val="BodyText"/>
        <w:spacing w:line="312" w:lineRule="exact" w:before="156"/>
        <w:ind w:right="100" w:firstLine="480"/>
        <w:jc w:val="left"/>
        <w:rPr>
          <w:rFonts w:ascii="宋体" w:hAnsi="宋体" w:cs="宋体" w:eastAsia="宋体" w:hint="default"/>
        </w:rPr>
      </w:pPr>
      <w:r>
        <w:rPr>
          <w:rFonts w:ascii="宋体" w:hAnsi="宋体" w:cs="宋体" w:eastAsia="宋体" w:hint="default"/>
        </w:rPr>
        <w:t>2009</w:t>
      </w:r>
      <w:r>
        <w:rPr>
          <w:rFonts w:ascii="宋体" w:hAnsi="宋体" w:cs="宋体" w:eastAsia="宋体" w:hint="default"/>
          <w:spacing w:val="-51"/>
        </w:rPr>
        <w:t> </w:t>
      </w:r>
      <w:r>
        <w:rPr>
          <w:rFonts w:ascii="宋体" w:hAnsi="宋体" w:cs="宋体" w:eastAsia="宋体" w:hint="default"/>
          <w:spacing w:val="-4"/>
        </w:rPr>
        <w:t>年，面对中国政府四万亿扩大内需新政、新型医疗体制改革、3G</w:t>
      </w:r>
      <w:r>
        <w:rPr>
          <w:rFonts w:ascii="宋体" w:hAnsi="宋体" w:cs="宋体" w:eastAsia="宋体" w:hint="default"/>
          <w:spacing w:val="-51"/>
        </w:rPr>
        <w:t> </w:t>
      </w:r>
      <w:r>
        <w:rPr>
          <w:rFonts w:ascii="宋体" w:hAnsi="宋体" w:cs="宋体" w:eastAsia="宋体" w:hint="default"/>
        </w:rPr>
        <w:t>建设、</w:t>
      </w:r>
      <w:r>
        <w:rPr>
          <w:rFonts w:ascii="宋体" w:hAnsi="宋体" w:cs="宋体" w:eastAsia="宋体" w:hint="default"/>
        </w:rPr>
        <w:t> </w:t>
      </w:r>
      <w:r>
        <w:rPr>
          <w:rFonts w:ascii="宋体" w:hAnsi="宋体" w:cs="宋体" w:eastAsia="宋体" w:hint="default"/>
          <w:spacing w:val="-6"/>
        </w:rPr>
        <w:t>智能电网以及上市公司《企业内部控制基本规范》实施等带来的新一轮市场机会，</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spacing w:val="-3"/>
        </w:rPr>
        <w:t>公司加大了在交通、医疗、电信、电力行业以及在业务监察、风险控制、数字安</w:t>
      </w:r>
      <w:r>
        <w:rPr>
          <w:rFonts w:ascii="宋体" w:hAnsi="宋体" w:cs="宋体" w:eastAsia="宋体" w:hint="default"/>
          <w:spacing w:val="-113"/>
        </w:rPr>
        <w:t> </w:t>
      </w:r>
      <w:r>
        <w:rPr>
          <w:rFonts w:ascii="宋体" w:hAnsi="宋体" w:cs="宋体" w:eastAsia="宋体" w:hint="default"/>
          <w:spacing w:val="-113"/>
        </w:rPr>
      </w:r>
      <w:r>
        <w:rPr>
          <w:rFonts w:ascii="宋体" w:hAnsi="宋体" w:cs="宋体" w:eastAsia="宋体" w:hint="default"/>
          <w:spacing w:val="-3"/>
        </w:rPr>
        <w:t>防领域的下一代核心业务解决方案的研发投入。在支撑平台方面，公司在业务基</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础平台(UniEAP v4.0)、云管理平台、云安全网关、管理服务平台、移动企业应</w:t>
      </w:r>
      <w:r>
        <w:rPr>
          <w:rFonts w:ascii="宋体" w:hAnsi="宋体" w:cs="宋体" w:eastAsia="宋体" w:hint="default"/>
        </w:rPr>
        <w:t> </w:t>
      </w:r>
      <w:r>
        <w:rPr>
          <w:rFonts w:ascii="宋体" w:hAnsi="宋体" w:cs="宋体" w:eastAsia="宋体" w:hint="default"/>
          <w:spacing w:val="-3"/>
        </w:rPr>
        <w:t>用支撑平台进行研发投入。在关键技术方面，公司重点开展了极限事务处理、数</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据并行处理、嵌入式/桌面计算（基于多核的并行程序设计模式）的研究与积累。</w:t>
      </w:r>
    </w:p>
    <w:p>
      <w:pPr>
        <w:pStyle w:val="BodyText"/>
        <w:spacing w:line="312" w:lineRule="exact" w:before="156"/>
        <w:ind w:right="232" w:firstLine="480"/>
        <w:jc w:val="both"/>
        <w:rPr>
          <w:rFonts w:ascii="宋体" w:hAnsi="宋体" w:cs="宋体" w:eastAsia="宋体" w:hint="default"/>
        </w:rPr>
      </w:pPr>
      <w:r>
        <w:rPr>
          <w:rFonts w:ascii="宋体" w:hAnsi="宋体" w:cs="宋体" w:eastAsia="宋体" w:hint="default"/>
        </w:rPr>
        <w:t>2009</w:t>
      </w:r>
      <w:r>
        <w:rPr>
          <w:rFonts w:ascii="宋体" w:hAnsi="宋体" w:cs="宋体" w:eastAsia="宋体" w:hint="default"/>
          <w:spacing w:val="16"/>
        </w:rPr>
        <w:t> </w:t>
      </w:r>
      <w:r>
        <w:rPr>
          <w:rFonts w:ascii="宋体" w:hAnsi="宋体" w:cs="宋体" w:eastAsia="宋体" w:hint="default"/>
        </w:rPr>
        <w:t>年，公司成功开发了易用性好、具有成本优势的个人健康设备以及个</w:t>
      </w:r>
      <w:r>
        <w:rPr>
          <w:rFonts w:ascii="宋体" w:hAnsi="宋体" w:cs="宋体" w:eastAsia="宋体" w:hint="default"/>
          <w:spacing w:val="1"/>
        </w:rPr>
        <w:t> </w:t>
      </w:r>
      <w:r>
        <w:rPr>
          <w:rFonts w:ascii="宋体" w:hAnsi="宋体" w:cs="宋体" w:eastAsia="宋体" w:hint="default"/>
        </w:rPr>
        <w:t>人医疗仪器集成解决方案，突破了超大规模多租户 SaaS</w:t>
      </w:r>
      <w:r>
        <w:rPr>
          <w:rFonts w:ascii="宋体" w:hAnsi="宋体" w:cs="宋体" w:eastAsia="宋体" w:hint="default"/>
          <w:spacing w:val="-94"/>
        </w:rPr>
        <w:t> </w:t>
      </w:r>
      <w:r>
        <w:rPr>
          <w:rFonts w:ascii="宋体" w:hAnsi="宋体" w:cs="宋体" w:eastAsia="宋体" w:hint="default"/>
        </w:rPr>
        <w:t>核心业务应用关键支撑</w:t>
      </w:r>
      <w:r>
        <w:rPr>
          <w:rFonts w:ascii="宋体" w:hAnsi="宋体" w:cs="宋体" w:eastAsia="宋体" w:hint="default"/>
        </w:rPr>
        <w:t> </w:t>
      </w:r>
      <w:r>
        <w:rPr>
          <w:rFonts w:ascii="宋体" w:hAnsi="宋体" w:cs="宋体" w:eastAsia="宋体" w:hint="default"/>
          <w:spacing w:val="-5"/>
        </w:rPr>
        <w:t>技术，推出东软的第一个云应用服务“熙康健康管理服务”，并于</w:t>
      </w:r>
      <w:r>
        <w:rPr>
          <w:rFonts w:ascii="宋体" w:hAnsi="宋体" w:cs="宋体" w:eastAsia="宋体" w:hint="default"/>
          <w:spacing w:val="-49"/>
        </w:rPr>
        <w:t> </w:t>
      </w:r>
      <w:r>
        <w:rPr>
          <w:rFonts w:ascii="宋体" w:hAnsi="宋体" w:cs="宋体" w:eastAsia="宋体" w:hint="default"/>
        </w:rPr>
        <w:t>2009</w:t>
      </w:r>
      <w:r>
        <w:rPr>
          <w:rFonts w:ascii="宋体" w:hAnsi="宋体" w:cs="宋体" w:eastAsia="宋体" w:hint="default"/>
          <w:spacing w:val="-49"/>
        </w:rPr>
        <w:t> </w:t>
      </w:r>
      <w:r>
        <w:rPr>
          <w:rFonts w:ascii="宋体" w:hAnsi="宋体" w:cs="宋体" w:eastAsia="宋体" w:hint="default"/>
        </w:rPr>
        <w:t>年</w:t>
      </w:r>
      <w:r>
        <w:rPr>
          <w:rFonts w:ascii="宋体" w:hAnsi="宋体" w:cs="宋体" w:eastAsia="宋体" w:hint="default"/>
          <w:spacing w:val="-49"/>
        </w:rPr>
        <w:t> </w:t>
      </w:r>
      <w:r>
        <w:rPr>
          <w:rFonts w:ascii="宋体" w:hAnsi="宋体" w:cs="宋体" w:eastAsia="宋体" w:hint="default"/>
        </w:rPr>
        <w:t>11</w:t>
      </w:r>
      <w:r>
        <w:rPr>
          <w:rFonts w:ascii="宋体" w:hAnsi="宋体" w:cs="宋体" w:eastAsia="宋体" w:hint="default"/>
          <w:spacing w:val="-49"/>
        </w:rPr>
        <w:t> </w:t>
      </w:r>
      <w:r>
        <w:rPr>
          <w:rFonts w:ascii="宋体" w:hAnsi="宋体" w:cs="宋体" w:eastAsia="宋体" w:hint="default"/>
        </w:rPr>
        <w:t>月</w:t>
      </w:r>
      <w:r>
        <w:rPr>
          <w:rFonts w:ascii="宋体" w:hAnsi="宋体" w:cs="宋体" w:eastAsia="宋体" w:hint="default"/>
        </w:rPr>
        <w:t> 作为中国第一个面向大众的健康管理云服务业务投入商业运营。</w:t>
      </w:r>
    </w:p>
    <w:p>
      <w:pPr>
        <w:spacing w:line="686" w:lineRule="exact" w:before="75"/>
        <w:ind w:left="620" w:right="223" w:hanging="480"/>
        <w:jc w:val="left"/>
        <w:rPr>
          <w:rFonts w:ascii="宋体" w:hAnsi="宋体" w:cs="宋体" w:eastAsia="宋体" w:hint="default"/>
          <w:sz w:val="24"/>
          <w:szCs w:val="24"/>
        </w:rPr>
      </w:pPr>
      <w:r>
        <w:rPr>
          <w:rFonts w:ascii="宋体" w:hAnsi="宋体" w:cs="宋体" w:eastAsia="宋体" w:hint="default"/>
          <w:b/>
          <w:bCs/>
          <w:sz w:val="24"/>
          <w:szCs w:val="24"/>
        </w:rPr>
        <w:t>5、保护知识产权</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公司严格遵守与客户达成的知识产权协议，注重与客户在知识产权方面建立</w:t>
      </w:r>
    </w:p>
    <w:p>
      <w:pPr>
        <w:pStyle w:val="BodyText"/>
        <w:spacing w:line="208" w:lineRule="exact"/>
        <w:ind w:right="0"/>
        <w:jc w:val="left"/>
        <w:rPr>
          <w:rFonts w:ascii="宋体" w:hAnsi="宋体" w:cs="宋体" w:eastAsia="宋体" w:hint="default"/>
        </w:rPr>
      </w:pPr>
      <w:r>
        <w:rPr>
          <w:rFonts w:ascii="宋体" w:hAnsi="宋体" w:cs="宋体" w:eastAsia="宋体" w:hint="default"/>
        </w:rPr>
        <w:t>日常沟通与合作机制</w:t>
      </w:r>
      <w:r>
        <w:rPr>
          <w:rFonts w:ascii="宋体" w:hAnsi="宋体" w:cs="宋体" w:eastAsia="宋体" w:hint="default"/>
          <w:spacing w:val="-107"/>
        </w:rPr>
        <w:t>，</w:t>
      </w:r>
      <w:r>
        <w:rPr>
          <w:rFonts w:ascii="宋体" w:hAnsi="宋体" w:cs="宋体" w:eastAsia="宋体" w:hint="default"/>
        </w:rPr>
        <w:t>不断提升知识产权管理水平</w:t>
      </w:r>
      <w:r>
        <w:rPr>
          <w:rFonts w:ascii="宋体" w:hAnsi="宋体" w:cs="宋体" w:eastAsia="宋体" w:hint="default"/>
          <w:spacing w:val="-107"/>
        </w:rPr>
        <w:t>。</w:t>
      </w:r>
      <w:r>
        <w:rPr>
          <w:rFonts w:ascii="宋体" w:hAnsi="宋体" w:cs="宋体" w:eastAsia="宋体" w:hint="default"/>
        </w:rPr>
        <w:t>公司建立信息安全管理体系，</w:t>
      </w:r>
    </w:p>
    <w:p>
      <w:pPr>
        <w:pStyle w:val="BodyText"/>
        <w:spacing w:line="312" w:lineRule="exact" w:before="29"/>
        <w:ind w:right="237"/>
        <w:jc w:val="both"/>
        <w:rPr>
          <w:rFonts w:ascii="宋体" w:hAnsi="宋体" w:cs="宋体" w:eastAsia="宋体" w:hint="default"/>
        </w:rPr>
      </w:pPr>
      <w:r>
        <w:rPr>
          <w:rFonts w:ascii="宋体" w:hAnsi="宋体" w:cs="宋体" w:eastAsia="宋体" w:hint="default"/>
          <w:spacing w:val="-3"/>
        </w:rPr>
        <w:t>保护客户的商业秘密不被非法泄露；建立知识产权分析制度，对与客户合作开发</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项目中涉及的第三方知识产权进行前置分析；建立第三方知识产权利用的行为规</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范，规避来自第三方的知识产权风险；定期组织员工知识产权培训，持续提升员</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工的规范意识，使员工在尊重他人知识产权基础上，努力创造自主知识产权。此</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外，公司还面向客户提供包括在中国知识产权申请评估、代理机构选聘等知识产</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权相关咨询服务。</w:t>
      </w:r>
    </w:p>
    <w:p>
      <w:pPr>
        <w:pStyle w:val="BodyText"/>
        <w:spacing w:line="240" w:lineRule="auto" w:before="125"/>
        <w:ind w:left="620" w:right="144"/>
        <w:jc w:val="left"/>
        <w:rPr>
          <w:rFonts w:ascii="宋体" w:hAnsi="宋体" w:cs="宋体" w:eastAsia="宋体" w:hint="default"/>
        </w:rPr>
      </w:pPr>
      <w:r>
        <w:rPr>
          <w:rFonts w:ascii="宋体" w:hAnsi="宋体" w:cs="宋体" w:eastAsia="宋体" w:hint="default"/>
          <w:spacing w:val="-3"/>
        </w:rPr>
        <w:t>公司以软件创新为主导，通过自主创新、合作创新，充分发挥公司及合作伙</w:t>
      </w:r>
    </w:p>
    <w:p>
      <w:pPr>
        <w:spacing w:after="0" w:line="240" w:lineRule="auto"/>
        <w:jc w:val="left"/>
        <w:rPr>
          <w:rFonts w:ascii="宋体" w:hAnsi="宋体" w:cs="宋体" w:eastAsia="宋体" w:hint="default"/>
        </w:rPr>
        <w:sectPr>
          <w:pgSz w:w="11910" w:h="16840"/>
          <w:pgMar w:header="851" w:footer="982" w:top="1220" w:bottom="1180" w:left="1660" w:right="1560"/>
        </w:sectPr>
      </w:pPr>
    </w:p>
    <w:p>
      <w:pPr>
        <w:spacing w:line="240" w:lineRule="auto" w:before="8"/>
        <w:rPr>
          <w:rFonts w:ascii="宋体" w:hAnsi="宋体" w:cs="宋体" w:eastAsia="宋体" w:hint="default"/>
          <w:sz w:val="11"/>
          <w:szCs w:val="11"/>
        </w:rPr>
      </w:pPr>
    </w:p>
    <w:p>
      <w:pPr>
        <w:pStyle w:val="BodyText"/>
        <w:spacing w:line="312" w:lineRule="exact" w:before="56"/>
        <w:ind w:right="84"/>
        <w:jc w:val="left"/>
        <w:rPr>
          <w:rFonts w:ascii="宋体" w:hAnsi="宋体" w:cs="宋体" w:eastAsia="宋体" w:hint="default"/>
        </w:rPr>
      </w:pPr>
      <w:r>
        <w:rPr>
          <w:rFonts w:ascii="宋体" w:hAnsi="宋体" w:cs="宋体" w:eastAsia="宋体" w:hint="default"/>
          <w:spacing w:val="-3"/>
        </w:rPr>
        <w:t>伴的技术优势，建立了“以市场需求为导向，兼顾成本与效率”的高效技术创新</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体系。在不断发展自有软件产品和平台的过程中，公司在数据库、企业管理、安</w:t>
      </w:r>
      <w:r>
        <w:rPr>
          <w:rFonts w:ascii="宋体" w:hAnsi="宋体" w:cs="宋体" w:eastAsia="宋体" w:hint="default"/>
          <w:spacing w:val="-110"/>
        </w:rPr>
        <w:t> </w:t>
      </w:r>
      <w:r>
        <w:rPr>
          <w:rFonts w:ascii="宋体" w:hAnsi="宋体" w:cs="宋体" w:eastAsia="宋体" w:hint="default"/>
          <w:spacing w:val="-110"/>
        </w:rPr>
      </w:r>
      <w:r>
        <w:rPr>
          <w:rFonts w:ascii="宋体" w:hAnsi="宋体" w:cs="宋体" w:eastAsia="宋体" w:hint="default"/>
        </w:rPr>
        <w:t>全管理和技术平台等领域形成了一系列拥有自主知识产权的套装应用软件产品、 基础软件平台和细分行业核心业务平台（如电子政务、社会保险、医疗、电信、 </w:t>
      </w:r>
      <w:r>
        <w:rPr>
          <w:rFonts w:ascii="宋体" w:hAnsi="宋体" w:cs="宋体" w:eastAsia="宋体" w:hint="default"/>
          <w:spacing w:val="-4"/>
        </w:rPr>
        <w:t>电力等），为公司快速、可靠地构建行业解决方案奠定了基础。截至目前，公司</w:t>
      </w:r>
      <w:r>
        <w:rPr>
          <w:rFonts w:ascii="宋体" w:hAnsi="宋体" w:cs="宋体" w:eastAsia="宋体" w:hint="default"/>
          <w:spacing w:val="-97"/>
        </w:rPr>
        <w:t> </w:t>
      </w:r>
      <w:r>
        <w:rPr>
          <w:rFonts w:ascii="宋体" w:hAnsi="宋体" w:cs="宋体" w:eastAsia="宋体" w:hint="default"/>
          <w:spacing w:val="-97"/>
        </w:rPr>
      </w:r>
      <w:r>
        <w:rPr>
          <w:rFonts w:ascii="宋体" w:hAnsi="宋体" w:cs="宋体" w:eastAsia="宋体" w:hint="default"/>
        </w:rPr>
        <w:t>共申请专利</w:t>
      </w:r>
      <w:r>
        <w:rPr>
          <w:rFonts w:ascii="宋体" w:hAnsi="宋体" w:cs="宋体" w:eastAsia="宋体" w:hint="default"/>
          <w:spacing w:val="-62"/>
        </w:rPr>
        <w:t> </w:t>
      </w:r>
      <w:r>
        <w:rPr>
          <w:rFonts w:ascii="宋体" w:hAnsi="宋体" w:cs="宋体" w:eastAsia="宋体" w:hint="default"/>
        </w:rPr>
        <w:t>169</w:t>
      </w:r>
      <w:r>
        <w:rPr>
          <w:rFonts w:ascii="宋体" w:hAnsi="宋体" w:cs="宋体" w:eastAsia="宋体" w:hint="default"/>
          <w:spacing w:val="-62"/>
        </w:rPr>
        <w:t> </w:t>
      </w:r>
      <w:r>
        <w:rPr>
          <w:rFonts w:ascii="宋体" w:hAnsi="宋体" w:cs="宋体" w:eastAsia="宋体" w:hint="default"/>
        </w:rPr>
        <w:t>项，获得专利权</w:t>
      </w:r>
      <w:r>
        <w:rPr>
          <w:rFonts w:ascii="宋体" w:hAnsi="宋体" w:cs="宋体" w:eastAsia="宋体" w:hint="default"/>
          <w:spacing w:val="-62"/>
        </w:rPr>
        <w:t> </w:t>
      </w:r>
      <w:r>
        <w:rPr>
          <w:rFonts w:ascii="宋体" w:hAnsi="宋体" w:cs="宋体" w:eastAsia="宋体" w:hint="default"/>
        </w:rPr>
        <w:t>66</w:t>
      </w:r>
      <w:r>
        <w:rPr>
          <w:rFonts w:ascii="宋体" w:hAnsi="宋体" w:cs="宋体" w:eastAsia="宋体" w:hint="default"/>
          <w:spacing w:val="-62"/>
        </w:rPr>
        <w:t> </w:t>
      </w:r>
      <w:r>
        <w:rPr>
          <w:rFonts w:ascii="宋体" w:hAnsi="宋体" w:cs="宋体" w:eastAsia="宋体" w:hint="default"/>
        </w:rPr>
        <w:t>项，获得软件著作权</w:t>
      </w:r>
      <w:r>
        <w:rPr>
          <w:rFonts w:ascii="宋体" w:hAnsi="宋体" w:cs="宋体" w:eastAsia="宋体" w:hint="default"/>
          <w:spacing w:val="-62"/>
        </w:rPr>
        <w:t> </w:t>
      </w:r>
      <w:r>
        <w:rPr>
          <w:rFonts w:ascii="宋体" w:hAnsi="宋体" w:cs="宋体" w:eastAsia="宋体" w:hint="default"/>
        </w:rPr>
        <w:t>217</w:t>
      </w:r>
      <w:r>
        <w:rPr>
          <w:rFonts w:ascii="宋体" w:hAnsi="宋体" w:cs="宋体" w:eastAsia="宋体" w:hint="default"/>
          <w:spacing w:val="-62"/>
        </w:rPr>
        <w:t> </w:t>
      </w:r>
      <w:r>
        <w:rPr>
          <w:rFonts w:ascii="宋体" w:hAnsi="宋体" w:cs="宋体" w:eastAsia="宋体" w:hint="default"/>
        </w:rPr>
        <w:t>项，登记软件产品</w:t>
      </w:r>
    </w:p>
    <w:p>
      <w:pPr>
        <w:pStyle w:val="BodyText"/>
        <w:spacing w:line="312" w:lineRule="exact"/>
        <w:ind w:right="193"/>
        <w:jc w:val="both"/>
        <w:rPr>
          <w:rFonts w:ascii="宋体" w:hAnsi="宋体" w:cs="宋体" w:eastAsia="宋体" w:hint="default"/>
        </w:rPr>
      </w:pPr>
      <w:r>
        <w:rPr>
          <w:rFonts w:ascii="宋体" w:hAnsi="宋体" w:cs="宋体" w:eastAsia="宋体" w:hint="default"/>
        </w:rPr>
        <w:t>194</w:t>
      </w:r>
      <w:r>
        <w:rPr>
          <w:rFonts w:ascii="宋体" w:hAnsi="宋体" w:cs="宋体" w:eastAsia="宋体" w:hint="default"/>
          <w:spacing w:val="-89"/>
        </w:rPr>
        <w:t> </w:t>
      </w:r>
      <w:r>
        <w:rPr>
          <w:rFonts w:ascii="宋体" w:hAnsi="宋体" w:cs="宋体" w:eastAsia="宋体" w:hint="default"/>
        </w:rPr>
        <w:t>项，有力地保护了公司的核心技术，对公司保持国内市场领先地位、积极开</w:t>
      </w:r>
      <w:r>
        <w:rPr>
          <w:rFonts w:ascii="宋体" w:hAnsi="宋体" w:cs="宋体" w:eastAsia="宋体" w:hint="default"/>
        </w:rPr>
        <w:t> 拓国际市场、打造自身核心竞争力起到了重要的保障和推动作用。2009</w:t>
      </w:r>
      <w:r>
        <w:rPr>
          <w:rFonts w:ascii="宋体" w:hAnsi="宋体" w:cs="宋体" w:eastAsia="宋体" w:hint="default"/>
          <w:spacing w:val="-1"/>
        </w:rPr>
        <w:t> </w:t>
      </w:r>
      <w:r>
        <w:rPr>
          <w:rFonts w:ascii="宋体" w:hAnsi="宋体" w:cs="宋体" w:eastAsia="宋体" w:hint="default"/>
        </w:rPr>
        <w:t>年，公</w:t>
      </w:r>
      <w:r>
        <w:rPr>
          <w:rFonts w:ascii="宋体" w:hAnsi="宋体" w:cs="宋体" w:eastAsia="宋体" w:hint="default"/>
        </w:rPr>
        <w:t> 司</w:t>
      </w:r>
      <w:r>
        <w:rPr>
          <w:rFonts w:ascii="宋体" w:hAnsi="宋体" w:cs="宋体" w:eastAsia="宋体" w:hint="default"/>
          <w:spacing w:val="-58"/>
        </w:rPr>
        <w:t> </w:t>
      </w:r>
      <w:r>
        <w:rPr>
          <w:rFonts w:ascii="宋体" w:hAnsi="宋体" w:cs="宋体" w:eastAsia="宋体" w:hint="default"/>
        </w:rPr>
        <w:t>6</w:t>
      </w:r>
      <w:r>
        <w:rPr>
          <w:rFonts w:ascii="宋体" w:hAnsi="宋体" w:cs="宋体" w:eastAsia="宋体" w:hint="default"/>
          <w:spacing w:val="-58"/>
        </w:rPr>
        <w:t> </w:t>
      </w:r>
      <w:r>
        <w:rPr>
          <w:rFonts w:ascii="宋体" w:hAnsi="宋体" w:cs="宋体" w:eastAsia="宋体" w:hint="default"/>
          <w:spacing w:val="-3"/>
        </w:rPr>
        <w:t>家子公司通过了国家高新技术企业认定，目前，公司通过高新技术企业认定</w:t>
      </w:r>
    </w:p>
    <w:p>
      <w:pPr>
        <w:pStyle w:val="BodyText"/>
        <w:spacing w:line="283" w:lineRule="exact"/>
        <w:ind w:right="84"/>
        <w:jc w:val="left"/>
        <w:rPr>
          <w:rFonts w:ascii="宋体" w:hAnsi="宋体" w:cs="宋体" w:eastAsia="宋体" w:hint="default"/>
        </w:rPr>
      </w:pPr>
      <w:r>
        <w:rPr>
          <w:rFonts w:ascii="宋体" w:hAnsi="宋体" w:cs="宋体" w:eastAsia="宋体" w:hint="default"/>
        </w:rPr>
        <w:t>的单位达到</w:t>
      </w:r>
      <w:r>
        <w:rPr>
          <w:rFonts w:ascii="宋体" w:hAnsi="宋体" w:cs="宋体" w:eastAsia="宋体" w:hint="default"/>
          <w:spacing w:val="-60"/>
        </w:rPr>
        <w:t> </w:t>
      </w:r>
      <w:r>
        <w:rPr>
          <w:rFonts w:ascii="宋体" w:hAnsi="宋体" w:cs="宋体" w:eastAsia="宋体" w:hint="default"/>
        </w:rPr>
        <w:t>15</w:t>
      </w:r>
      <w:r>
        <w:rPr>
          <w:rFonts w:ascii="宋体" w:hAnsi="宋体" w:cs="宋体" w:eastAsia="宋体" w:hint="default"/>
          <w:spacing w:val="-60"/>
        </w:rPr>
        <w:t> </w:t>
      </w:r>
      <w:r>
        <w:rPr>
          <w:rFonts w:ascii="宋体" w:hAnsi="宋体" w:cs="宋体" w:eastAsia="宋体" w:hint="default"/>
        </w:rPr>
        <w:t>家，涵盖了公司主要的业务单元。</w:t>
      </w:r>
    </w:p>
    <w:p>
      <w:pPr>
        <w:pStyle w:val="BodyText"/>
        <w:spacing w:line="312" w:lineRule="exact" w:before="184"/>
        <w:ind w:right="196" w:firstLine="480"/>
        <w:jc w:val="both"/>
        <w:rPr>
          <w:rFonts w:ascii="宋体" w:hAnsi="宋体" w:cs="宋体" w:eastAsia="宋体" w:hint="default"/>
        </w:rPr>
      </w:pPr>
      <w:r>
        <w:rPr>
          <w:rFonts w:ascii="宋体" w:hAnsi="宋体" w:cs="宋体" w:eastAsia="宋体" w:hint="default"/>
          <w:spacing w:val="-3"/>
        </w:rPr>
        <w:t>公司在国内率先建设在软件架构方向的企业国家重点实验室——“软件架构</w:t>
      </w:r>
      <w:r>
        <w:rPr>
          <w:rFonts w:ascii="宋体" w:hAnsi="宋体" w:cs="宋体" w:eastAsia="宋体" w:hint="default"/>
        </w:rPr>
        <w:t> </w:t>
      </w:r>
      <w:r>
        <w:rPr>
          <w:rFonts w:ascii="宋体" w:hAnsi="宋体" w:cs="宋体" w:eastAsia="宋体" w:hint="default"/>
          <w:spacing w:val="-4"/>
        </w:rPr>
        <w:t>新技术国家重点实验室”，围绕“软件架构定义及描述方法、主技术架构和面向</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spacing w:val="-3"/>
        </w:rPr>
        <w:t>特定应用场景的参考架构、企业应用软件产品线开发方法、企业应用统一架构平</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台、软件架构评估及验证方法”五个研究方向开展工作，这是国家科技部通过的</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第一个在软件架构方向上建设的国家重点实验室。</w:t>
      </w:r>
    </w:p>
    <w:p>
      <w:pPr>
        <w:spacing w:after="0" w:line="312" w:lineRule="exact"/>
        <w:jc w:val="both"/>
        <w:rPr>
          <w:rFonts w:ascii="宋体" w:hAnsi="宋体" w:cs="宋体" w:eastAsia="宋体" w:hint="default"/>
        </w:rPr>
        <w:sectPr>
          <w:pgSz w:w="11910" w:h="16840"/>
          <w:pgMar w:header="851" w:footer="982" w:top="1220" w:bottom="1180" w:left="1660" w:right="16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5"/>
        <w:spacing w:line="240" w:lineRule="auto" w:before="182"/>
        <w:ind w:right="0"/>
        <w:jc w:val="both"/>
        <w:rPr>
          <w:rFonts w:ascii="宋体" w:hAnsi="宋体" w:cs="宋体" w:eastAsia="宋体" w:hint="default"/>
          <w:b w:val="0"/>
          <w:bCs w:val="0"/>
        </w:rPr>
      </w:pPr>
      <w:bookmarkStart w:name="_bookmark21" w:id="26"/>
      <w:bookmarkEnd w:id="26"/>
      <w:r>
        <w:rPr>
          <w:b w:val="0"/>
          <w:bCs w:val="0"/>
        </w:rPr>
      </w:r>
      <w:r>
        <w:rPr>
          <w:rFonts w:ascii="宋体" w:hAnsi="宋体" w:cs="宋体" w:eastAsia="宋体" w:hint="default"/>
        </w:rPr>
        <w:t>四、东软之于股东</w:t>
      </w:r>
      <w:r>
        <w:rPr>
          <w:rFonts w:ascii="宋体" w:hAnsi="宋体" w:cs="宋体" w:eastAsia="宋体" w:hint="default"/>
          <w:b w:val="0"/>
          <w:bCs w:val="0"/>
        </w:rPr>
      </w:r>
    </w:p>
    <w:p>
      <w:pPr>
        <w:spacing w:line="240" w:lineRule="auto" w:before="1"/>
        <w:rPr>
          <w:rFonts w:ascii="宋体" w:hAnsi="宋体" w:cs="宋体" w:eastAsia="宋体" w:hint="default"/>
          <w:b/>
          <w:bCs/>
          <w:sz w:val="21"/>
          <w:szCs w:val="21"/>
        </w:rPr>
      </w:pPr>
    </w:p>
    <w:p>
      <w:pPr>
        <w:spacing w:line="680" w:lineRule="atLeast" w:before="0"/>
        <w:ind w:left="620" w:right="123" w:hanging="480"/>
        <w:jc w:val="left"/>
        <w:rPr>
          <w:rFonts w:ascii="宋体" w:hAnsi="宋体" w:cs="宋体" w:eastAsia="宋体" w:hint="default"/>
          <w:sz w:val="24"/>
          <w:szCs w:val="24"/>
        </w:rPr>
      </w:pPr>
      <w:r>
        <w:rPr>
          <w:rFonts w:ascii="宋体" w:hAnsi="宋体" w:cs="宋体" w:eastAsia="宋体" w:hint="default"/>
          <w:b/>
          <w:bCs/>
          <w:sz w:val="24"/>
          <w:szCs w:val="24"/>
        </w:rPr>
        <w:t>1、规范的公司治理</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公司在创立之初即十分重视公司治理，深知优秀的公司治理是保证上市公司</w:t>
      </w:r>
    </w:p>
    <w:p>
      <w:pPr>
        <w:pStyle w:val="BodyText"/>
        <w:spacing w:line="312" w:lineRule="exact" w:before="28"/>
        <w:ind w:left="139" w:right="137"/>
        <w:jc w:val="both"/>
        <w:rPr>
          <w:rFonts w:ascii="宋体" w:hAnsi="宋体" w:cs="宋体" w:eastAsia="宋体" w:hint="default"/>
        </w:rPr>
      </w:pPr>
      <w:r>
        <w:rPr>
          <w:rFonts w:ascii="宋体" w:hAnsi="宋体" w:cs="宋体" w:eastAsia="宋体" w:hint="default"/>
          <w:spacing w:val="-3"/>
        </w:rPr>
        <w:t>规范运作的基础。为此，公司长期致力于法人治理结构的构建和持续完善，严格</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10"/>
        </w:rPr>
        <w:t>按照《公司法》、《证券法》和中国证监会、证券交易所有关法律法规的要求，不</w:t>
      </w:r>
      <w:r>
        <w:rPr>
          <w:rFonts w:ascii="宋体" w:hAnsi="宋体" w:cs="宋体" w:eastAsia="宋体" w:hint="default"/>
          <w:spacing w:val="-98"/>
        </w:rPr>
        <w:t> </w:t>
      </w:r>
      <w:r>
        <w:rPr>
          <w:rFonts w:ascii="宋体" w:hAnsi="宋体" w:cs="宋体" w:eastAsia="宋体" w:hint="default"/>
          <w:spacing w:val="-98"/>
        </w:rPr>
      </w:r>
      <w:r>
        <w:rPr>
          <w:rFonts w:ascii="宋体" w:hAnsi="宋体" w:cs="宋体" w:eastAsia="宋体" w:hint="default"/>
          <w:spacing w:val="-10"/>
        </w:rPr>
        <w:t>断完善公司法人治理结构，规范化运作。公司按照《上市公司章程指引》、《上市</w:t>
      </w:r>
      <w:r>
        <w:rPr>
          <w:rFonts w:ascii="宋体" w:hAnsi="宋体" w:cs="宋体" w:eastAsia="宋体" w:hint="default"/>
          <w:spacing w:val="-96"/>
        </w:rPr>
        <w:t> </w:t>
      </w:r>
      <w:r>
        <w:rPr>
          <w:rFonts w:ascii="宋体" w:hAnsi="宋体" w:cs="宋体" w:eastAsia="宋体" w:hint="default"/>
          <w:spacing w:val="-96"/>
        </w:rPr>
      </w:r>
      <w:r>
        <w:rPr>
          <w:rFonts w:ascii="宋体" w:hAnsi="宋体" w:cs="宋体" w:eastAsia="宋体" w:hint="default"/>
          <w:spacing w:val="-4"/>
        </w:rPr>
        <w:t>公司治理准则》等规定修订了公司章程，制订、完善了《股东大会议事规则》、</w:t>
      </w:r>
    </w:p>
    <w:p>
      <w:pPr>
        <w:pStyle w:val="BodyText"/>
        <w:spacing w:line="312" w:lineRule="exact"/>
        <w:ind w:left="139" w:right="137"/>
        <w:jc w:val="both"/>
        <w:rPr>
          <w:rFonts w:ascii="宋体" w:hAnsi="宋体" w:cs="宋体" w:eastAsia="宋体" w:hint="default"/>
        </w:rPr>
      </w:pPr>
      <w:r>
        <w:rPr>
          <w:rFonts w:ascii="宋体" w:hAnsi="宋体" w:cs="宋体" w:eastAsia="宋体" w:hint="default"/>
          <w:spacing w:val="-16"/>
        </w:rPr>
        <w:t>《董事会议事规则》、《监事会议事规则》、《投资者关系管理制度》和《信息披露</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spacing w:val="-3"/>
        </w:rPr>
        <w:t>管理制度》等制度，建立了独立董事制度，并根据中国证监会和上海证券交易所</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的要求不断进行修订和完善，从制度上加强和细化了公司的管理。</w:t>
      </w:r>
    </w:p>
    <w:p>
      <w:pPr>
        <w:pStyle w:val="BodyText"/>
        <w:spacing w:line="312" w:lineRule="exact" w:before="156"/>
        <w:ind w:left="139" w:right="134" w:firstLine="480"/>
        <w:jc w:val="both"/>
        <w:rPr>
          <w:rFonts w:ascii="宋体" w:hAnsi="宋体" w:cs="宋体" w:eastAsia="宋体" w:hint="default"/>
        </w:rPr>
      </w:pPr>
      <w:r>
        <w:rPr>
          <w:rFonts w:ascii="宋体" w:hAnsi="宋体" w:cs="宋体" w:eastAsia="宋体" w:hint="default"/>
          <w:spacing w:val="-3"/>
        </w:rPr>
        <w:t>公司注重公司治理的理论与实践相结合，在资本市场上实施了多项创新型项</w:t>
      </w:r>
      <w:r>
        <w:rPr>
          <w:rFonts w:ascii="宋体" w:hAnsi="宋体" w:cs="宋体" w:eastAsia="宋体" w:hint="default"/>
        </w:rPr>
        <w:t> </w:t>
      </w:r>
      <w:r>
        <w:rPr>
          <w:rFonts w:ascii="宋体" w:hAnsi="宋体" w:cs="宋体" w:eastAsia="宋体" w:hint="default"/>
          <w:spacing w:val="-5"/>
        </w:rPr>
        <w:t>目，并取得了良好的效果，保障了投资者的利益。在上海证券交易所举办的</w:t>
      </w:r>
      <w:r>
        <w:rPr>
          <w:rFonts w:ascii="宋体" w:hAnsi="宋体" w:cs="宋体" w:eastAsia="宋体" w:hint="default"/>
          <w:spacing w:val="-53"/>
        </w:rPr>
        <w:t> </w:t>
      </w:r>
      <w:r>
        <w:rPr>
          <w:rFonts w:ascii="宋体" w:hAnsi="宋体" w:cs="宋体" w:eastAsia="宋体" w:hint="default"/>
        </w:rPr>
        <w:t>2009</w:t>
      </w:r>
      <w:r>
        <w:rPr>
          <w:rFonts w:ascii="宋体" w:hAnsi="宋体" w:cs="宋体" w:eastAsia="宋体" w:hint="default"/>
        </w:rPr>
        <w:t> </w:t>
      </w:r>
      <w:r>
        <w:rPr>
          <w:rFonts w:ascii="宋体" w:hAnsi="宋体" w:cs="宋体" w:eastAsia="宋体" w:hint="default"/>
          <w:spacing w:val="-4"/>
        </w:rPr>
        <w:t>年度公司治理专项奖评选中，公司获得“典型并购重组案例提名奖”。目前，公</w:t>
      </w:r>
      <w:r>
        <w:rPr>
          <w:rFonts w:ascii="宋体" w:hAnsi="宋体" w:cs="宋体" w:eastAsia="宋体" w:hint="default"/>
          <w:spacing w:val="-95"/>
        </w:rPr>
        <w:t> </w:t>
      </w:r>
      <w:r>
        <w:rPr>
          <w:rFonts w:ascii="宋体" w:hAnsi="宋体" w:cs="宋体" w:eastAsia="宋体" w:hint="default"/>
          <w:spacing w:val="-95"/>
        </w:rPr>
      </w:r>
      <w:r>
        <w:rPr>
          <w:rFonts w:ascii="宋体" w:hAnsi="宋体" w:cs="宋体" w:eastAsia="宋体" w:hint="default"/>
        </w:rPr>
        <w:t>司是上海证券交易所“公司治理指数”的成份股。2009</w:t>
      </w:r>
      <w:r>
        <w:rPr>
          <w:rFonts w:ascii="宋体" w:hAnsi="宋体" w:cs="宋体" w:eastAsia="宋体" w:hint="default"/>
          <w:spacing w:val="1"/>
        </w:rPr>
        <w:t> </w:t>
      </w:r>
      <w:r>
        <w:rPr>
          <w:rFonts w:ascii="宋体" w:hAnsi="宋体" w:cs="宋体" w:eastAsia="宋体" w:hint="default"/>
        </w:rPr>
        <w:t>年，公司修订了《公司</w:t>
      </w:r>
      <w:r>
        <w:rPr>
          <w:rFonts w:ascii="宋体" w:hAnsi="宋体" w:cs="宋体" w:eastAsia="宋体" w:hint="default"/>
        </w:rPr>
        <w:t> </w:t>
      </w:r>
      <w:r>
        <w:rPr>
          <w:rFonts w:ascii="宋体" w:hAnsi="宋体" w:cs="宋体" w:eastAsia="宋体" w:hint="default"/>
          <w:spacing w:val="-4"/>
        </w:rPr>
        <w:t>章程》和《董事会审计委员会年度财务报告审议工作规程》，进一步完善了公司</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rPr>
        <w:t>管理制度建设，规范了公司运作。</w:t>
      </w:r>
    </w:p>
    <w:p>
      <w:pPr>
        <w:pStyle w:val="BodyText"/>
        <w:spacing w:line="312" w:lineRule="exact" w:before="156"/>
        <w:ind w:left="139" w:right="137" w:firstLine="480"/>
        <w:jc w:val="both"/>
        <w:rPr>
          <w:rFonts w:ascii="宋体" w:hAnsi="宋体" w:cs="宋体" w:eastAsia="宋体" w:hint="default"/>
        </w:rPr>
      </w:pPr>
      <w:r>
        <w:rPr>
          <w:rFonts w:ascii="宋体" w:hAnsi="宋体" w:cs="宋体" w:eastAsia="宋体" w:hint="default"/>
          <w:spacing w:val="-3"/>
        </w:rPr>
        <w:t>为进一步强化和提高董事对规范运作和诚信意识的认识和理解，树立公司规</w:t>
      </w:r>
      <w:r>
        <w:rPr>
          <w:rFonts w:ascii="宋体" w:hAnsi="宋体" w:cs="宋体" w:eastAsia="宋体" w:hint="default"/>
        </w:rPr>
        <w:t> 范化运作的理念，2009</w:t>
      </w:r>
      <w:r>
        <w:rPr>
          <w:rFonts w:ascii="宋体" w:hAnsi="宋体" w:cs="宋体" w:eastAsia="宋体" w:hint="default"/>
          <w:spacing w:val="-1"/>
        </w:rPr>
        <w:t> </w:t>
      </w:r>
      <w:r>
        <w:rPr>
          <w:rFonts w:ascii="宋体" w:hAnsi="宋体" w:cs="宋体" w:eastAsia="宋体" w:hint="default"/>
        </w:rPr>
        <w:t>年，公司积极组织董事、监事和高级管理人员参加证券</w:t>
      </w:r>
      <w:r>
        <w:rPr>
          <w:rFonts w:ascii="宋体" w:hAnsi="宋体" w:cs="宋体" w:eastAsia="宋体" w:hint="default"/>
        </w:rPr>
        <w:t> </w:t>
      </w:r>
      <w:r>
        <w:rPr>
          <w:rFonts w:ascii="宋体" w:hAnsi="宋体" w:cs="宋体" w:eastAsia="宋体" w:hint="default"/>
          <w:spacing w:val="-3"/>
        </w:rPr>
        <w:t>监管部门组织的各项法律法规、规则制度的学习，同时在公司内部积极组织信息</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披露等各类专项培训和专题讲解，牢固树立公司规范化运作的理念，积极推动公</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司治理水平的进一步提高。</w:t>
      </w:r>
    </w:p>
    <w:p>
      <w:pPr>
        <w:spacing w:line="686" w:lineRule="exact" w:before="75"/>
        <w:ind w:left="619" w:right="124" w:hanging="480"/>
        <w:jc w:val="left"/>
        <w:rPr>
          <w:rFonts w:ascii="宋体" w:hAnsi="宋体" w:cs="宋体" w:eastAsia="宋体" w:hint="default"/>
          <w:sz w:val="24"/>
          <w:szCs w:val="24"/>
        </w:rPr>
      </w:pPr>
      <w:r>
        <w:rPr>
          <w:rFonts w:ascii="宋体" w:hAnsi="宋体" w:cs="宋体" w:eastAsia="宋体" w:hint="default"/>
          <w:b/>
          <w:bCs/>
          <w:sz w:val="24"/>
          <w:szCs w:val="24"/>
        </w:rPr>
        <w:t>2、透明的信息披露</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公司一直注重信息披露的质量，为使信息披露更加透明，公司制定并实施了</w:t>
      </w:r>
    </w:p>
    <w:p>
      <w:pPr>
        <w:pStyle w:val="BodyText"/>
        <w:spacing w:line="208" w:lineRule="exact"/>
        <w:ind w:left="139" w:right="0"/>
        <w:jc w:val="both"/>
        <w:rPr>
          <w:rFonts w:ascii="宋体" w:hAnsi="宋体" w:cs="宋体" w:eastAsia="宋体" w:hint="default"/>
        </w:rPr>
      </w:pPr>
      <w:r>
        <w:rPr>
          <w:rFonts w:ascii="宋体" w:hAnsi="宋体" w:cs="宋体" w:eastAsia="宋体" w:hint="default"/>
        </w:rPr>
        <w:t>《信息披露事务管理制度</w:t>
      </w:r>
      <w:r>
        <w:rPr>
          <w:rFonts w:ascii="宋体" w:hAnsi="宋体" w:cs="宋体" w:eastAsia="宋体" w:hint="default"/>
          <w:spacing w:val="-119"/>
        </w:rPr>
        <w:t>》</w:t>
      </w:r>
      <w:r>
        <w:rPr>
          <w:rFonts w:ascii="宋体" w:hAnsi="宋体" w:cs="宋体" w:eastAsia="宋体" w:hint="default"/>
        </w:rPr>
        <w:t>，力求信息披露工作的真实、准确、完整、及时。公</w:t>
      </w:r>
    </w:p>
    <w:p>
      <w:pPr>
        <w:pStyle w:val="BodyText"/>
        <w:spacing w:line="313" w:lineRule="exact"/>
        <w:ind w:left="139" w:right="0"/>
        <w:jc w:val="both"/>
        <w:rPr>
          <w:rFonts w:ascii="宋体" w:hAnsi="宋体" w:cs="宋体" w:eastAsia="宋体" w:hint="default"/>
        </w:rPr>
      </w:pPr>
      <w:r>
        <w:rPr>
          <w:rFonts w:ascii="宋体" w:hAnsi="宋体" w:cs="宋体" w:eastAsia="宋体" w:hint="default"/>
        </w:rPr>
        <w:t>司自上市以来，未受到过证监会、证券交易所及其他监管部门的处罚。</w:t>
      </w:r>
    </w:p>
    <w:p>
      <w:pPr>
        <w:pStyle w:val="BodyText"/>
        <w:spacing w:line="312" w:lineRule="exact" w:before="184"/>
        <w:ind w:left="139" w:right="137" w:firstLine="480"/>
        <w:jc w:val="both"/>
        <w:rPr>
          <w:rFonts w:ascii="宋体" w:hAnsi="宋体" w:cs="宋体" w:eastAsia="宋体" w:hint="default"/>
        </w:rPr>
      </w:pPr>
      <w:r>
        <w:rPr>
          <w:rFonts w:ascii="宋体" w:hAnsi="宋体" w:cs="宋体" w:eastAsia="宋体" w:hint="default"/>
          <w:spacing w:val="-3"/>
        </w:rPr>
        <w:t>公司积极组织信息披露相关人员参加证券监管部门组织的相关培训，以提高</w:t>
      </w:r>
      <w:r>
        <w:rPr>
          <w:rFonts w:ascii="宋体" w:hAnsi="宋体" w:cs="宋体" w:eastAsia="宋体" w:hint="default"/>
        </w:rPr>
        <w:t> </w:t>
      </w:r>
      <w:r>
        <w:rPr>
          <w:rFonts w:ascii="宋体" w:hAnsi="宋体" w:cs="宋体" w:eastAsia="宋体" w:hint="default"/>
          <w:spacing w:val="-3"/>
        </w:rPr>
        <w:t>信息披露相关人员的规范意识和业务能力，保证公司信息披露及时准确，切实保</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护投资者的利益。2009</w:t>
      </w:r>
      <w:r>
        <w:rPr>
          <w:rFonts w:ascii="宋体" w:hAnsi="宋体" w:cs="宋体" w:eastAsia="宋体" w:hint="default"/>
          <w:spacing w:val="-32"/>
        </w:rPr>
        <w:t> </w:t>
      </w:r>
      <w:r>
        <w:rPr>
          <w:rFonts w:ascii="宋体" w:hAnsi="宋体" w:cs="宋体" w:eastAsia="宋体" w:hint="default"/>
        </w:rPr>
        <w:t>年，公司按时在指定媒体披露了定期报告</w:t>
      </w:r>
      <w:r>
        <w:rPr>
          <w:rFonts w:ascii="宋体" w:hAnsi="宋体" w:cs="宋体" w:eastAsia="宋体" w:hint="default"/>
          <w:spacing w:val="-32"/>
        </w:rPr>
        <w:t> </w:t>
      </w:r>
      <w:r>
        <w:rPr>
          <w:rFonts w:ascii="宋体" w:hAnsi="宋体" w:cs="宋体" w:eastAsia="宋体" w:hint="default"/>
        </w:rPr>
        <w:t>4</w:t>
      </w:r>
      <w:r>
        <w:rPr>
          <w:rFonts w:ascii="宋体" w:hAnsi="宋体" w:cs="宋体" w:eastAsia="宋体" w:hint="default"/>
          <w:spacing w:val="-32"/>
        </w:rPr>
        <w:t> </w:t>
      </w:r>
      <w:r>
        <w:rPr>
          <w:rFonts w:ascii="宋体" w:hAnsi="宋体" w:cs="宋体" w:eastAsia="宋体" w:hint="default"/>
        </w:rPr>
        <w:t>次，发布临</w:t>
      </w:r>
      <w:r>
        <w:rPr>
          <w:rFonts w:ascii="宋体" w:hAnsi="宋体" w:cs="宋体" w:eastAsia="宋体" w:hint="default"/>
        </w:rPr>
        <w:t> 时公告</w:t>
      </w:r>
      <w:r>
        <w:rPr>
          <w:rFonts w:ascii="宋体" w:hAnsi="宋体" w:cs="宋体" w:eastAsia="宋体" w:hint="default"/>
          <w:spacing w:val="-60"/>
        </w:rPr>
        <w:t> </w:t>
      </w:r>
      <w:r>
        <w:rPr>
          <w:rFonts w:ascii="宋体" w:hAnsi="宋体" w:cs="宋体" w:eastAsia="宋体" w:hint="default"/>
        </w:rPr>
        <w:t>24</w:t>
      </w:r>
      <w:r>
        <w:rPr>
          <w:rFonts w:ascii="宋体" w:hAnsi="宋体" w:cs="宋体" w:eastAsia="宋体" w:hint="default"/>
          <w:spacing w:val="-60"/>
        </w:rPr>
        <w:t> </w:t>
      </w:r>
      <w:r>
        <w:rPr>
          <w:rFonts w:ascii="宋体" w:hAnsi="宋体" w:cs="宋体" w:eastAsia="宋体" w:hint="default"/>
        </w:rPr>
        <w:t>次，无补充或更正情况发生。</w:t>
      </w:r>
    </w:p>
    <w:p>
      <w:pPr>
        <w:spacing w:line="686" w:lineRule="exact" w:before="75"/>
        <w:ind w:left="619" w:right="0" w:hanging="480"/>
        <w:jc w:val="left"/>
        <w:rPr>
          <w:rFonts w:ascii="宋体" w:hAnsi="宋体" w:cs="宋体" w:eastAsia="宋体" w:hint="default"/>
          <w:sz w:val="24"/>
          <w:szCs w:val="24"/>
        </w:rPr>
      </w:pPr>
      <w:r>
        <w:rPr>
          <w:rFonts w:ascii="宋体" w:hAnsi="宋体" w:cs="宋体" w:eastAsia="宋体" w:hint="default"/>
          <w:b/>
          <w:bCs/>
          <w:sz w:val="24"/>
          <w:szCs w:val="24"/>
        </w:rPr>
        <w:t>3、良好的投资者关系</w:t>
      </w:r>
      <w:r>
        <w:rPr>
          <w:rFonts w:ascii="宋体" w:hAnsi="宋体" w:cs="宋体" w:eastAsia="宋体" w:hint="default"/>
          <w:b/>
          <w:bCs/>
          <w:w w:val="99"/>
          <w:sz w:val="24"/>
          <w:szCs w:val="24"/>
        </w:rPr>
        <w:t> </w:t>
      </w:r>
      <w:r>
        <w:rPr>
          <w:rFonts w:ascii="宋体" w:hAnsi="宋体" w:cs="宋体" w:eastAsia="宋体" w:hint="default"/>
          <w:spacing w:val="4"/>
          <w:sz w:val="24"/>
          <w:szCs w:val="24"/>
        </w:rPr>
        <w:t>公司一直注重投资者尤其是中小投资者在公司发展中的地位和作用，建立</w:t>
      </w:r>
      <w:r>
        <w:rPr>
          <w:rFonts w:ascii="宋体" w:hAnsi="宋体" w:cs="宋体" w:eastAsia="宋体" w:hint="default"/>
          <w:sz w:val="24"/>
          <w:szCs w:val="24"/>
        </w:rPr>
      </w:r>
    </w:p>
    <w:p>
      <w:pPr>
        <w:pStyle w:val="BodyText"/>
        <w:spacing w:line="208" w:lineRule="exact"/>
        <w:ind w:left="139" w:right="0"/>
        <w:jc w:val="both"/>
        <w:rPr>
          <w:rFonts w:ascii="宋体" w:hAnsi="宋体" w:cs="宋体" w:eastAsia="宋体" w:hint="default"/>
        </w:rPr>
      </w:pPr>
      <w:r>
        <w:rPr>
          <w:rFonts w:ascii="宋体" w:hAnsi="宋体" w:cs="宋体" w:eastAsia="宋体" w:hint="default"/>
        </w:rPr>
        <w:t>《投资者关系管理制度</w:t>
      </w:r>
      <w:r>
        <w:rPr>
          <w:rFonts w:ascii="宋体" w:hAnsi="宋体" w:cs="宋体" w:eastAsia="宋体" w:hint="default"/>
          <w:spacing w:val="-119"/>
        </w:rPr>
        <w:t>》</w:t>
      </w:r>
      <w:r>
        <w:rPr>
          <w:rFonts w:ascii="宋体" w:hAnsi="宋体" w:cs="宋体" w:eastAsia="宋体" w:hint="default"/>
        </w:rPr>
        <w:t>，通过公司主页投资者栏目、投资者咨询电话、投资者</w:t>
      </w:r>
    </w:p>
    <w:p>
      <w:pPr>
        <w:pStyle w:val="BodyText"/>
        <w:spacing w:line="313" w:lineRule="exact"/>
        <w:ind w:left="139" w:right="0"/>
        <w:jc w:val="both"/>
        <w:rPr>
          <w:rFonts w:ascii="宋体" w:hAnsi="宋体" w:cs="宋体" w:eastAsia="宋体" w:hint="default"/>
        </w:rPr>
      </w:pPr>
      <w:r>
        <w:rPr>
          <w:rFonts w:ascii="宋体" w:hAnsi="宋体" w:cs="宋体" w:eastAsia="宋体" w:hint="default"/>
          <w:spacing w:val="-3"/>
        </w:rPr>
        <w:t>邮箱、公司现场接待等多种方式，与投资者保持良好的沟通，为其了解公司提供</w:t>
      </w:r>
    </w:p>
    <w:p>
      <w:pPr>
        <w:spacing w:after="0" w:line="313" w:lineRule="exact"/>
        <w:jc w:val="both"/>
        <w:rPr>
          <w:rFonts w:ascii="宋体" w:hAnsi="宋体" w:cs="宋体" w:eastAsia="宋体" w:hint="default"/>
        </w:rPr>
        <w:sectPr>
          <w:pgSz w:w="11910" w:h="16840"/>
          <w:pgMar w:header="851" w:footer="982" w:top="1220" w:bottom="1180" w:left="1660" w:right="1660"/>
        </w:sectPr>
      </w:pPr>
    </w:p>
    <w:p>
      <w:pPr>
        <w:spacing w:line="240" w:lineRule="auto" w:before="8"/>
        <w:rPr>
          <w:rFonts w:ascii="宋体" w:hAnsi="宋体" w:cs="宋体" w:eastAsia="宋体" w:hint="default"/>
          <w:sz w:val="11"/>
          <w:szCs w:val="11"/>
        </w:rPr>
      </w:pPr>
    </w:p>
    <w:p>
      <w:pPr>
        <w:pStyle w:val="BodyText"/>
        <w:spacing w:line="240" w:lineRule="auto" w:before="26"/>
        <w:ind w:right="144"/>
        <w:jc w:val="left"/>
        <w:rPr>
          <w:rFonts w:ascii="宋体" w:hAnsi="宋体" w:cs="宋体" w:eastAsia="宋体" w:hint="default"/>
        </w:rPr>
      </w:pPr>
      <w:bookmarkStart w:name="_bookmark22" w:id="27"/>
      <w:bookmarkEnd w:id="27"/>
      <w:r>
        <w:rPr/>
      </w:r>
      <w:r>
        <w:rPr>
          <w:rFonts w:ascii="宋体" w:hAnsi="宋体" w:cs="宋体" w:eastAsia="宋体" w:hint="default"/>
        </w:rPr>
        <w:t>尽可能的便利，建立其对公司发展的信心，增加其持股信心。</w:t>
      </w:r>
    </w:p>
    <w:p>
      <w:pPr>
        <w:pStyle w:val="BodyText"/>
        <w:spacing w:line="312" w:lineRule="exact" w:before="184"/>
        <w:ind w:right="230" w:firstLine="480"/>
        <w:jc w:val="both"/>
        <w:rPr>
          <w:rFonts w:ascii="宋体" w:hAnsi="宋体" w:cs="宋体" w:eastAsia="宋体" w:hint="default"/>
        </w:rPr>
      </w:pPr>
      <w:r>
        <w:rPr>
          <w:rFonts w:ascii="宋体" w:hAnsi="宋体" w:cs="宋体" w:eastAsia="宋体" w:hint="default"/>
          <w:spacing w:val="-3"/>
        </w:rPr>
        <w:t>公司精心准备每一届股东大会，向投资者详细介绍公司的经营策略和发展战</w:t>
      </w:r>
      <w:r>
        <w:rPr>
          <w:rFonts w:ascii="宋体" w:hAnsi="宋体" w:cs="宋体" w:eastAsia="宋体" w:hint="default"/>
        </w:rPr>
        <w:t> </w:t>
      </w:r>
      <w:r>
        <w:rPr>
          <w:rFonts w:ascii="宋体" w:hAnsi="宋体" w:cs="宋体" w:eastAsia="宋体" w:hint="default"/>
          <w:spacing w:val="-3"/>
        </w:rPr>
        <w:t>略，并认真回答投资者的提问，听取他们的意见和建议；同时，组织到会投资者</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参观、了解投资项目的进展情况，使他们找到所有者的感觉。为方便异地中小投</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资者考察公司，公司多次选择在国际软件业务的重要基地——大连召开股东大</w:t>
      </w:r>
      <w:r>
        <w:rPr>
          <w:rFonts w:ascii="宋体" w:hAnsi="宋体" w:cs="宋体" w:eastAsia="宋体" w:hint="default"/>
          <w:spacing w:val="-92"/>
        </w:rPr>
        <w:t> </w:t>
      </w:r>
      <w:r>
        <w:rPr>
          <w:rFonts w:ascii="宋体" w:hAnsi="宋体" w:cs="宋体" w:eastAsia="宋体" w:hint="default"/>
          <w:spacing w:val="-92"/>
        </w:rPr>
      </w:r>
      <w:r>
        <w:rPr>
          <w:rFonts w:ascii="宋体" w:hAnsi="宋体" w:cs="宋体" w:eastAsia="宋体" w:hint="default"/>
          <w:spacing w:val="-3"/>
        </w:rPr>
        <w:t>会，使更多的中小股东能够有机会真正行使股东的权利，增加对公司的认识和了</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解。2009</w:t>
      </w:r>
      <w:r>
        <w:rPr>
          <w:rFonts w:ascii="宋体" w:hAnsi="宋体" w:cs="宋体" w:eastAsia="宋体" w:hint="default"/>
          <w:spacing w:val="-60"/>
        </w:rPr>
        <w:t> </w:t>
      </w:r>
      <w:r>
        <w:rPr>
          <w:rFonts w:ascii="宋体" w:hAnsi="宋体" w:cs="宋体" w:eastAsia="宋体" w:hint="default"/>
        </w:rPr>
        <w:t>年，公司召开股东大会</w:t>
      </w:r>
      <w:r>
        <w:rPr>
          <w:rFonts w:ascii="宋体" w:hAnsi="宋体" w:cs="宋体" w:eastAsia="宋体" w:hint="default"/>
          <w:spacing w:val="-60"/>
        </w:rPr>
        <w:t> </w:t>
      </w:r>
      <w:r>
        <w:rPr>
          <w:rFonts w:ascii="宋体" w:hAnsi="宋体" w:cs="宋体" w:eastAsia="宋体" w:hint="default"/>
        </w:rPr>
        <w:t>2</w:t>
      </w:r>
      <w:r>
        <w:rPr>
          <w:rFonts w:ascii="宋体" w:hAnsi="宋体" w:cs="宋体" w:eastAsia="宋体" w:hint="default"/>
          <w:spacing w:val="-60"/>
        </w:rPr>
        <w:t> </w:t>
      </w:r>
      <w:r>
        <w:rPr>
          <w:rFonts w:ascii="宋体" w:hAnsi="宋体" w:cs="宋体" w:eastAsia="宋体" w:hint="default"/>
        </w:rPr>
        <w:t>次，现场接待投资者来访</w:t>
      </w:r>
      <w:r>
        <w:rPr>
          <w:rFonts w:ascii="宋体" w:hAnsi="宋体" w:cs="宋体" w:eastAsia="宋体" w:hint="default"/>
          <w:spacing w:val="-60"/>
        </w:rPr>
        <w:t> </w:t>
      </w:r>
      <w:r>
        <w:rPr>
          <w:rFonts w:ascii="宋体" w:hAnsi="宋体" w:cs="宋体" w:eastAsia="宋体" w:hint="default"/>
        </w:rPr>
        <w:t>100</w:t>
      </w:r>
      <w:r>
        <w:rPr>
          <w:rFonts w:ascii="宋体" w:hAnsi="宋体" w:cs="宋体" w:eastAsia="宋体" w:hint="default"/>
          <w:spacing w:val="-60"/>
        </w:rPr>
        <w:t> </w:t>
      </w:r>
      <w:r>
        <w:rPr>
          <w:rFonts w:ascii="宋体" w:hAnsi="宋体" w:cs="宋体" w:eastAsia="宋体" w:hint="default"/>
        </w:rPr>
        <w:t>人次。</w:t>
      </w:r>
    </w:p>
    <w:p>
      <w:pPr>
        <w:spacing w:line="240" w:lineRule="auto" w:before="3"/>
        <w:rPr>
          <w:rFonts w:ascii="宋体" w:hAnsi="宋体" w:cs="宋体" w:eastAsia="宋体" w:hint="default"/>
          <w:sz w:val="26"/>
          <w:szCs w:val="26"/>
        </w:rPr>
      </w:pPr>
    </w:p>
    <w:p>
      <w:pPr>
        <w:pStyle w:val="Heading7"/>
        <w:spacing w:line="240" w:lineRule="auto"/>
        <w:ind w:right="144"/>
        <w:jc w:val="left"/>
        <w:rPr>
          <w:b w:val="0"/>
          <w:bCs w:val="0"/>
        </w:rPr>
      </w:pPr>
      <w:r>
        <w:rPr/>
        <w:t>4、稳健的投资回报</w:t>
      </w:r>
      <w:r>
        <w:rPr>
          <w:b w:val="0"/>
          <w:bCs w:val="0"/>
        </w:rPr>
      </w:r>
    </w:p>
    <w:p>
      <w:pPr>
        <w:spacing w:line="240" w:lineRule="auto" w:before="6"/>
        <w:rPr>
          <w:rFonts w:ascii="宋体" w:hAnsi="宋体" w:cs="宋体" w:eastAsia="宋体" w:hint="default"/>
          <w:b/>
          <w:bCs/>
          <w:sz w:val="28"/>
          <w:szCs w:val="28"/>
        </w:rPr>
      </w:pPr>
    </w:p>
    <w:p>
      <w:pPr>
        <w:pStyle w:val="BodyText"/>
        <w:spacing w:line="313" w:lineRule="exact"/>
        <w:ind w:left="620" w:right="144"/>
        <w:jc w:val="left"/>
        <w:rPr>
          <w:rFonts w:ascii="宋体" w:hAnsi="宋体" w:cs="宋体" w:eastAsia="宋体" w:hint="default"/>
        </w:rPr>
      </w:pPr>
      <w:r>
        <w:rPr>
          <w:rFonts w:ascii="宋体" w:hAnsi="宋体" w:cs="宋体" w:eastAsia="宋体" w:hint="default"/>
          <w:spacing w:val="12"/>
        </w:rPr>
        <w:t>公司自成立以来，规模不断扩大，截止到 </w:t>
      </w:r>
      <w:r>
        <w:rPr>
          <w:rFonts w:ascii="宋体" w:hAnsi="宋体" w:cs="宋体" w:eastAsia="宋体" w:hint="default"/>
        </w:rPr>
        <w:t>2009</w:t>
      </w:r>
      <w:r>
        <w:rPr>
          <w:rFonts w:ascii="宋体" w:hAnsi="宋体" w:cs="宋体" w:eastAsia="宋体" w:hint="default"/>
          <w:spacing w:val="19"/>
        </w:rPr>
        <w:t> </w:t>
      </w:r>
      <w:r>
        <w:rPr>
          <w:rFonts w:ascii="宋体" w:hAnsi="宋体" w:cs="宋体" w:eastAsia="宋体" w:hint="default"/>
          <w:spacing w:val="13"/>
        </w:rPr>
        <w:t>年末，公司总资产达到</w:t>
      </w:r>
      <w:r>
        <w:rPr>
          <w:rFonts w:ascii="宋体" w:hAnsi="宋体" w:cs="宋体" w:eastAsia="宋体" w:hint="default"/>
        </w:rPr>
      </w:r>
    </w:p>
    <w:p>
      <w:pPr>
        <w:pStyle w:val="BodyText"/>
        <w:spacing w:line="312" w:lineRule="exact"/>
        <w:ind w:right="144"/>
        <w:jc w:val="left"/>
        <w:rPr>
          <w:rFonts w:ascii="宋体" w:hAnsi="宋体" w:cs="宋体" w:eastAsia="宋体" w:hint="default"/>
        </w:rPr>
      </w:pPr>
      <w:r>
        <w:rPr>
          <w:rFonts w:ascii="宋体" w:hAnsi="宋体" w:cs="宋体" w:eastAsia="宋体" w:hint="default"/>
        </w:rPr>
        <w:t>6,209,047,971</w:t>
      </w:r>
      <w:r>
        <w:rPr>
          <w:rFonts w:ascii="宋体" w:hAnsi="宋体" w:cs="宋体" w:eastAsia="宋体" w:hint="default"/>
          <w:spacing w:val="-62"/>
        </w:rPr>
        <w:t> </w:t>
      </w:r>
      <w:r>
        <w:rPr>
          <w:rFonts w:ascii="宋体" w:hAnsi="宋体" w:cs="宋体" w:eastAsia="宋体" w:hint="default"/>
        </w:rPr>
        <w:t>元，营业收入</w:t>
      </w:r>
      <w:r>
        <w:rPr>
          <w:rFonts w:ascii="宋体" w:hAnsi="宋体" w:cs="宋体" w:eastAsia="宋体" w:hint="default"/>
          <w:spacing w:val="-62"/>
        </w:rPr>
        <w:t> </w:t>
      </w:r>
      <w:r>
        <w:rPr>
          <w:rFonts w:ascii="宋体" w:hAnsi="宋体" w:cs="宋体" w:eastAsia="宋体" w:hint="default"/>
        </w:rPr>
        <w:t>4,166,055,393</w:t>
      </w:r>
      <w:r>
        <w:rPr>
          <w:rFonts w:ascii="宋体" w:hAnsi="宋体" w:cs="宋体" w:eastAsia="宋体" w:hint="default"/>
          <w:spacing w:val="-62"/>
        </w:rPr>
        <w:t> </w:t>
      </w:r>
      <w:r>
        <w:rPr>
          <w:rFonts w:ascii="宋体" w:hAnsi="宋体" w:cs="宋体" w:eastAsia="宋体" w:hint="default"/>
          <w:spacing w:val="-3"/>
        </w:rPr>
        <w:t>元，净利润</w:t>
      </w:r>
      <w:r>
        <w:rPr>
          <w:rFonts w:ascii="宋体" w:hAnsi="宋体" w:cs="宋体" w:eastAsia="宋体" w:hint="default"/>
          <w:spacing w:val="-62"/>
        </w:rPr>
        <w:t> </w:t>
      </w:r>
      <w:r>
        <w:rPr>
          <w:rFonts w:ascii="宋体" w:hAnsi="宋体" w:cs="宋体" w:eastAsia="宋体" w:hint="default"/>
        </w:rPr>
        <w:t>640,564,034</w:t>
      </w:r>
      <w:r>
        <w:rPr>
          <w:rFonts w:ascii="宋体" w:hAnsi="宋体" w:cs="宋体" w:eastAsia="宋体" w:hint="default"/>
          <w:spacing w:val="-62"/>
        </w:rPr>
        <w:t> </w:t>
      </w:r>
      <w:r>
        <w:rPr>
          <w:rFonts w:ascii="宋体" w:hAnsi="宋体" w:cs="宋体" w:eastAsia="宋体" w:hint="default"/>
          <w:spacing w:val="-3"/>
        </w:rPr>
        <w:t>元，公司</w:t>
      </w:r>
    </w:p>
    <w:p>
      <w:pPr>
        <w:pStyle w:val="BodyText"/>
        <w:spacing w:line="312" w:lineRule="exact" w:before="29"/>
        <w:ind w:right="102"/>
        <w:jc w:val="left"/>
        <w:rPr>
          <w:rFonts w:ascii="宋体" w:hAnsi="宋体" w:cs="宋体" w:eastAsia="宋体" w:hint="default"/>
        </w:rPr>
      </w:pPr>
      <w:r>
        <w:rPr>
          <w:rFonts w:ascii="宋体" w:hAnsi="宋体" w:cs="宋体" w:eastAsia="宋体" w:hint="default"/>
        </w:rPr>
        <w:t>员工</w:t>
      </w:r>
      <w:r>
        <w:rPr>
          <w:rFonts w:ascii="宋体" w:hAnsi="宋体" w:cs="宋体" w:eastAsia="宋体" w:hint="default"/>
          <w:spacing w:val="-59"/>
        </w:rPr>
        <w:t> </w:t>
      </w:r>
      <w:r>
        <w:rPr>
          <w:rFonts w:ascii="宋体" w:hAnsi="宋体" w:cs="宋体" w:eastAsia="宋体" w:hint="default"/>
        </w:rPr>
        <w:t>15,760</w:t>
      </w:r>
      <w:r>
        <w:rPr>
          <w:rFonts w:ascii="宋体" w:hAnsi="宋体" w:cs="宋体" w:eastAsia="宋体" w:hint="default"/>
          <w:spacing w:val="-59"/>
        </w:rPr>
        <w:t> </w:t>
      </w:r>
      <w:r>
        <w:rPr>
          <w:rFonts w:ascii="宋体" w:hAnsi="宋体" w:cs="宋体" w:eastAsia="宋体" w:hint="default"/>
          <w:spacing w:val="-4"/>
        </w:rPr>
        <w:t>人，公司业务方向</w:t>
      </w:r>
      <w:r>
        <w:rPr>
          <w:rFonts w:ascii="宋体" w:hAnsi="宋体" w:cs="宋体" w:eastAsia="宋体" w:hint="default"/>
          <w:spacing w:val="-59"/>
        </w:rPr>
        <w:t> </w:t>
      </w:r>
      <w:r>
        <w:rPr>
          <w:rFonts w:ascii="宋体" w:hAnsi="宋体" w:cs="宋体" w:eastAsia="宋体" w:hint="default"/>
        </w:rPr>
        <w:t>130</w:t>
      </w:r>
      <w:r>
        <w:rPr>
          <w:rFonts w:ascii="宋体" w:hAnsi="宋体" w:cs="宋体" w:eastAsia="宋体" w:hint="default"/>
          <w:spacing w:val="-59"/>
        </w:rPr>
        <w:t> </w:t>
      </w:r>
      <w:r>
        <w:rPr>
          <w:rFonts w:ascii="宋体" w:hAnsi="宋体" w:cs="宋体" w:eastAsia="宋体" w:hint="default"/>
          <w:spacing w:val="-4"/>
        </w:rPr>
        <w:t>个，解决方案及产品</w:t>
      </w:r>
      <w:r>
        <w:rPr>
          <w:rFonts w:ascii="宋体" w:hAnsi="宋体" w:cs="宋体" w:eastAsia="宋体" w:hint="default"/>
          <w:spacing w:val="-59"/>
        </w:rPr>
        <w:t> </w:t>
      </w:r>
      <w:r>
        <w:rPr>
          <w:rFonts w:ascii="宋体" w:hAnsi="宋体" w:cs="宋体" w:eastAsia="宋体" w:hint="default"/>
        </w:rPr>
        <w:t>485</w:t>
      </w:r>
      <w:r>
        <w:rPr>
          <w:rFonts w:ascii="宋体" w:hAnsi="宋体" w:cs="宋体" w:eastAsia="宋体" w:hint="default"/>
          <w:spacing w:val="-59"/>
        </w:rPr>
        <w:t> </w:t>
      </w:r>
      <w:r>
        <w:rPr>
          <w:rFonts w:ascii="宋体" w:hAnsi="宋体" w:cs="宋体" w:eastAsia="宋体" w:hint="default"/>
          <w:spacing w:val="-4"/>
        </w:rPr>
        <w:t>种，业务覆盖电信、</w:t>
      </w:r>
      <w:r>
        <w:rPr>
          <w:rFonts w:ascii="宋体" w:hAnsi="宋体" w:cs="宋体" w:eastAsia="宋体" w:hint="default"/>
        </w:rPr>
        <w:t> </w:t>
      </w:r>
      <w:r>
        <w:rPr>
          <w:rFonts w:ascii="宋体" w:hAnsi="宋体" w:cs="宋体" w:eastAsia="宋体" w:hint="default"/>
          <w:spacing w:val="-3"/>
        </w:rPr>
        <w:t>电力、政府、金融、医疗、交通、教育等多个行业，市场延伸至日本、美国、欧</w:t>
      </w:r>
      <w:r>
        <w:rPr>
          <w:rFonts w:ascii="宋体" w:hAnsi="宋体" w:cs="宋体" w:eastAsia="宋体" w:hint="default"/>
          <w:spacing w:val="-110"/>
        </w:rPr>
        <w:t> </w:t>
      </w:r>
      <w:r>
        <w:rPr>
          <w:rFonts w:ascii="宋体" w:hAnsi="宋体" w:cs="宋体" w:eastAsia="宋体" w:hint="default"/>
          <w:spacing w:val="-110"/>
        </w:rPr>
      </w:r>
      <w:r>
        <w:rPr>
          <w:rFonts w:ascii="宋体" w:hAnsi="宋体" w:cs="宋体" w:eastAsia="宋体" w:hint="default"/>
        </w:rPr>
        <w:t>洲、中东等多个国家和地区。</w:t>
      </w:r>
    </w:p>
    <w:p>
      <w:pPr>
        <w:pStyle w:val="BodyText"/>
        <w:spacing w:line="312" w:lineRule="exact" w:before="156"/>
        <w:ind w:right="142" w:firstLine="480"/>
        <w:jc w:val="both"/>
        <w:rPr>
          <w:rFonts w:ascii="宋体" w:hAnsi="宋体" w:cs="宋体" w:eastAsia="宋体" w:hint="default"/>
        </w:rPr>
      </w:pPr>
      <w:r>
        <w:rPr>
          <w:rFonts w:ascii="宋体" w:hAnsi="宋体" w:cs="宋体" w:eastAsia="宋体" w:hint="default"/>
        </w:rPr>
        <w:t>公司根据自身情况和未来发展战略，尽可能将公司发展的成果回馈给股东。 自</w:t>
      </w:r>
      <w:r>
        <w:rPr>
          <w:rFonts w:ascii="宋体" w:hAnsi="宋体" w:cs="宋体" w:eastAsia="宋体" w:hint="default"/>
          <w:spacing w:val="-57"/>
        </w:rPr>
        <w:t> </w:t>
      </w:r>
      <w:r>
        <w:rPr>
          <w:rFonts w:ascii="宋体" w:hAnsi="宋体" w:cs="宋体" w:eastAsia="宋体" w:hint="default"/>
        </w:rPr>
        <w:t>1996</w:t>
      </w:r>
      <w:r>
        <w:rPr>
          <w:rFonts w:ascii="宋体" w:hAnsi="宋体" w:cs="宋体" w:eastAsia="宋体" w:hint="default"/>
          <w:spacing w:val="-57"/>
        </w:rPr>
        <w:t> </w:t>
      </w:r>
      <w:r>
        <w:rPr>
          <w:rFonts w:ascii="宋体" w:hAnsi="宋体" w:cs="宋体" w:eastAsia="宋体" w:hint="default"/>
          <w:spacing w:val="-3"/>
        </w:rPr>
        <w:t>年至今，公司向投资者分配利润</w:t>
      </w:r>
      <w:r>
        <w:rPr>
          <w:rFonts w:ascii="宋体" w:hAnsi="宋体" w:cs="宋体" w:eastAsia="宋体" w:hint="default"/>
          <w:spacing w:val="-57"/>
        </w:rPr>
        <w:t> </w:t>
      </w:r>
      <w:r>
        <w:rPr>
          <w:rFonts w:ascii="宋体" w:hAnsi="宋体" w:cs="宋体" w:eastAsia="宋体" w:hint="default"/>
        </w:rPr>
        <w:t>9</w:t>
      </w:r>
      <w:r>
        <w:rPr>
          <w:rFonts w:ascii="宋体" w:hAnsi="宋体" w:cs="宋体" w:eastAsia="宋体" w:hint="default"/>
          <w:spacing w:val="-57"/>
        </w:rPr>
        <w:t> </w:t>
      </w:r>
      <w:r>
        <w:rPr>
          <w:rFonts w:ascii="宋体" w:hAnsi="宋体" w:cs="宋体" w:eastAsia="宋体" w:hint="default"/>
          <w:spacing w:val="-4"/>
        </w:rPr>
        <w:t>次，累计分配现金红利</w:t>
      </w:r>
      <w:r>
        <w:rPr>
          <w:rFonts w:ascii="宋体" w:hAnsi="宋体" w:cs="宋体" w:eastAsia="宋体" w:hint="default"/>
          <w:spacing w:val="-57"/>
        </w:rPr>
        <w:t> </w:t>
      </w:r>
      <w:r>
        <w:rPr>
          <w:rFonts w:ascii="宋体" w:hAnsi="宋体" w:cs="宋体" w:eastAsia="宋体" w:hint="default"/>
        </w:rPr>
        <w:t>5.48</w:t>
      </w:r>
      <w:r>
        <w:rPr>
          <w:rFonts w:ascii="宋体" w:hAnsi="宋体" w:cs="宋体" w:eastAsia="宋体" w:hint="default"/>
          <w:spacing w:val="-57"/>
        </w:rPr>
        <w:t> </w:t>
      </w:r>
      <w:r>
        <w:rPr>
          <w:rFonts w:ascii="宋体" w:hAnsi="宋体" w:cs="宋体" w:eastAsia="宋体" w:hint="default"/>
          <w:spacing w:val="-8"/>
        </w:rPr>
        <w:t>亿元，分</w:t>
      </w:r>
    </w:p>
    <w:p>
      <w:pPr>
        <w:pStyle w:val="BodyText"/>
        <w:spacing w:line="312" w:lineRule="exact"/>
        <w:ind w:right="124"/>
        <w:jc w:val="left"/>
        <w:rPr>
          <w:rFonts w:ascii="宋体" w:hAnsi="宋体" w:cs="宋体" w:eastAsia="宋体" w:hint="default"/>
        </w:rPr>
      </w:pPr>
      <w:r>
        <w:rPr>
          <w:rFonts w:ascii="宋体" w:hAnsi="宋体" w:cs="宋体" w:eastAsia="宋体" w:hint="default"/>
        </w:rPr>
        <w:t>配红股</w:t>
      </w:r>
      <w:r>
        <w:rPr>
          <w:rFonts w:ascii="宋体" w:hAnsi="宋体" w:cs="宋体" w:eastAsia="宋体" w:hint="default"/>
          <w:spacing w:val="-57"/>
        </w:rPr>
        <w:t> </w:t>
      </w:r>
      <w:r>
        <w:rPr>
          <w:rFonts w:ascii="宋体" w:hAnsi="宋体" w:cs="宋体" w:eastAsia="宋体" w:hint="default"/>
        </w:rPr>
        <w:t>1.41</w:t>
      </w:r>
      <w:r>
        <w:rPr>
          <w:rFonts w:ascii="宋体" w:hAnsi="宋体" w:cs="宋体" w:eastAsia="宋体" w:hint="default"/>
          <w:spacing w:val="-57"/>
        </w:rPr>
        <w:t> </w:t>
      </w:r>
      <w:r>
        <w:rPr>
          <w:rFonts w:ascii="宋体" w:hAnsi="宋体" w:cs="宋体" w:eastAsia="宋体" w:hint="default"/>
          <w:spacing w:val="-5"/>
        </w:rPr>
        <w:t>亿股，转增股本</w:t>
      </w:r>
      <w:r>
        <w:rPr>
          <w:rFonts w:ascii="宋体" w:hAnsi="宋体" w:cs="宋体" w:eastAsia="宋体" w:hint="default"/>
          <w:spacing w:val="-57"/>
        </w:rPr>
        <w:t> </w:t>
      </w:r>
      <w:r>
        <w:rPr>
          <w:rFonts w:ascii="宋体" w:hAnsi="宋体" w:cs="宋体" w:eastAsia="宋体" w:hint="default"/>
        </w:rPr>
        <w:t>4.73</w:t>
      </w:r>
      <w:r>
        <w:rPr>
          <w:rFonts w:ascii="宋体" w:hAnsi="宋体" w:cs="宋体" w:eastAsia="宋体" w:hint="default"/>
          <w:spacing w:val="-57"/>
        </w:rPr>
        <w:t> </w:t>
      </w:r>
      <w:r>
        <w:rPr>
          <w:rFonts w:ascii="宋体" w:hAnsi="宋体" w:cs="宋体" w:eastAsia="宋体" w:hint="default"/>
          <w:spacing w:val="-4"/>
        </w:rPr>
        <w:t>亿股。公司自上市以来，在资本市场上表现稳</w:t>
      </w:r>
      <w:r>
        <w:rPr>
          <w:rFonts w:ascii="宋体" w:hAnsi="宋体" w:cs="宋体" w:eastAsia="宋体" w:hint="default"/>
          <w:spacing w:val="-115"/>
        </w:rPr>
        <w:t> </w:t>
      </w:r>
      <w:r>
        <w:rPr>
          <w:rFonts w:ascii="宋体" w:hAnsi="宋体" w:cs="宋体" w:eastAsia="宋体" w:hint="default"/>
          <w:spacing w:val="-115"/>
        </w:rPr>
      </w:r>
      <w:r>
        <w:rPr>
          <w:rFonts w:ascii="宋体" w:hAnsi="宋体" w:cs="宋体" w:eastAsia="宋体" w:hint="default"/>
        </w:rPr>
        <w:t>健，总体走势强于市场指数和行业指数，使投资者分享到公司快速发展的成果。</w:t>
      </w:r>
    </w:p>
    <w:p>
      <w:pPr>
        <w:spacing w:after="0" w:line="312" w:lineRule="exact"/>
        <w:jc w:val="left"/>
        <w:rPr>
          <w:rFonts w:ascii="宋体" w:hAnsi="宋体" w:cs="宋体" w:eastAsia="宋体" w:hint="default"/>
        </w:rPr>
        <w:sectPr>
          <w:pgSz w:w="11910" w:h="16840"/>
          <w:pgMar w:header="851" w:footer="982" w:top="1220" w:bottom="1180" w:left="1660" w:right="15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5"/>
        <w:spacing w:line="240" w:lineRule="auto" w:before="182"/>
        <w:ind w:right="144"/>
        <w:jc w:val="left"/>
        <w:rPr>
          <w:rFonts w:ascii="宋体" w:hAnsi="宋体" w:cs="宋体" w:eastAsia="宋体" w:hint="default"/>
          <w:b w:val="0"/>
          <w:bCs w:val="0"/>
        </w:rPr>
      </w:pPr>
      <w:bookmarkStart w:name="_bookmark23" w:id="28"/>
      <w:bookmarkEnd w:id="28"/>
      <w:r>
        <w:rPr>
          <w:b w:val="0"/>
          <w:bCs w:val="0"/>
        </w:rPr>
      </w:r>
      <w:r>
        <w:rPr>
          <w:rFonts w:ascii="宋体" w:hAnsi="宋体" w:cs="宋体" w:eastAsia="宋体" w:hint="default"/>
        </w:rPr>
        <w:t>五、东软之于员工</w:t>
      </w:r>
      <w:r>
        <w:rPr>
          <w:rFonts w:ascii="宋体" w:hAnsi="宋体" w:cs="宋体" w:eastAsia="宋体" w:hint="default"/>
          <w:b w:val="0"/>
          <w:bCs w:val="0"/>
        </w:rPr>
      </w:r>
    </w:p>
    <w:p>
      <w:pPr>
        <w:spacing w:line="240" w:lineRule="auto" w:before="1"/>
        <w:rPr>
          <w:rFonts w:ascii="宋体" w:hAnsi="宋体" w:cs="宋体" w:eastAsia="宋体" w:hint="default"/>
          <w:b/>
          <w:bCs/>
          <w:sz w:val="21"/>
          <w:szCs w:val="21"/>
        </w:rPr>
      </w:pPr>
    </w:p>
    <w:p>
      <w:pPr>
        <w:spacing w:line="680" w:lineRule="atLeast" w:before="0"/>
        <w:ind w:left="620" w:right="223" w:hanging="480"/>
        <w:jc w:val="left"/>
        <w:rPr>
          <w:rFonts w:ascii="宋体" w:hAnsi="宋体" w:cs="宋体" w:eastAsia="宋体" w:hint="default"/>
          <w:sz w:val="24"/>
          <w:szCs w:val="24"/>
        </w:rPr>
      </w:pPr>
      <w:r>
        <w:rPr>
          <w:rFonts w:ascii="宋体" w:hAnsi="宋体" w:cs="宋体" w:eastAsia="宋体" w:hint="default"/>
          <w:b/>
          <w:bCs/>
          <w:sz w:val="24"/>
          <w:szCs w:val="24"/>
        </w:rPr>
        <w:t>1、完善的用工和薪酬制度</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公司按照相关法律法规进行员工聘用，与员工签订书面劳动合同，为员工提</w:t>
      </w:r>
    </w:p>
    <w:p>
      <w:pPr>
        <w:pStyle w:val="BodyText"/>
        <w:spacing w:line="312" w:lineRule="exact" w:before="28"/>
        <w:ind w:right="100"/>
        <w:jc w:val="left"/>
        <w:rPr>
          <w:rFonts w:ascii="宋体" w:hAnsi="宋体" w:cs="宋体" w:eastAsia="宋体" w:hint="default"/>
        </w:rPr>
      </w:pPr>
      <w:r>
        <w:rPr>
          <w:rFonts w:ascii="宋体" w:hAnsi="宋体" w:cs="宋体" w:eastAsia="宋体" w:hint="default"/>
          <w:spacing w:val="-6"/>
        </w:rPr>
        <w:t>供合理薪酬、社会统筹保险及住房公积金等法定福利。在员工聘用、报酬、培训、</w:t>
      </w:r>
      <w:r>
        <w:rPr>
          <w:rFonts w:ascii="宋体" w:hAnsi="宋体" w:cs="宋体" w:eastAsia="宋体" w:hint="default"/>
        </w:rPr>
        <w:t> </w:t>
      </w:r>
      <w:r>
        <w:rPr>
          <w:rFonts w:ascii="宋体" w:hAnsi="宋体" w:cs="宋体" w:eastAsia="宋体" w:hint="default"/>
          <w:spacing w:val="-3"/>
        </w:rPr>
        <w:t>晋升、解职等事项中，公司无针对性别、民族、种族、宗教信仰、国籍及年龄等</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方面的歧视，尊重多元文化及宗教信仰。</w:t>
      </w:r>
    </w:p>
    <w:p>
      <w:pPr>
        <w:pStyle w:val="BodyText"/>
        <w:spacing w:line="312" w:lineRule="exact" w:before="156"/>
        <w:ind w:left="139" w:right="237" w:firstLine="480"/>
        <w:jc w:val="both"/>
        <w:rPr>
          <w:rFonts w:ascii="宋体" w:hAnsi="宋体" w:cs="宋体" w:eastAsia="宋体" w:hint="default"/>
        </w:rPr>
      </w:pPr>
      <w:r>
        <w:rPr>
          <w:rFonts w:ascii="宋体" w:hAnsi="宋体" w:cs="宋体" w:eastAsia="宋体" w:hint="default"/>
          <w:spacing w:val="-4"/>
        </w:rPr>
        <w:t>公司遵循“按劳分配，同工同酬”原则，推行基于岗位价值、员工个人发展</w:t>
      </w:r>
      <w:r>
        <w:rPr>
          <w:rFonts w:ascii="宋体" w:hAnsi="宋体" w:cs="宋体" w:eastAsia="宋体" w:hint="default"/>
        </w:rPr>
        <w:t> </w:t>
      </w:r>
      <w:r>
        <w:rPr>
          <w:rFonts w:ascii="宋体" w:hAnsi="宋体" w:cs="宋体" w:eastAsia="宋体" w:hint="default"/>
          <w:spacing w:val="-3"/>
        </w:rPr>
        <w:t>和绩效提升的薪酬体系。公司在提供国家法定福利的基础上，还为员工设立企业</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年金计划，缴纳境内、境外意外伤害保险、外籍人医疗保险、交通工具险等商业</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保险，设置新婚贺金、生育贺金及丧葬抚慰金，为员工提供福利体检、探亲路途</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10"/>
        </w:rPr>
        <w:t>假及探亲路途费用报销等补充福利待遇。此外，公司在国际金融危机中，保证“不</w:t>
      </w:r>
      <w:r>
        <w:rPr>
          <w:rFonts w:ascii="宋体" w:hAnsi="宋体" w:cs="宋体" w:eastAsia="宋体" w:hint="default"/>
          <w:spacing w:val="-94"/>
        </w:rPr>
        <w:t> </w:t>
      </w:r>
      <w:r>
        <w:rPr>
          <w:rFonts w:ascii="宋体" w:hAnsi="宋体" w:cs="宋体" w:eastAsia="宋体" w:hint="default"/>
          <w:spacing w:val="-94"/>
        </w:rPr>
      </w:r>
      <w:r>
        <w:rPr>
          <w:rFonts w:ascii="宋体" w:hAnsi="宋体" w:cs="宋体" w:eastAsia="宋体" w:hint="default"/>
          <w:spacing w:val="-4"/>
        </w:rPr>
        <w:t>裁员，不降薪”，并实现了公司的经营目标，保障了员工的切身利益。</w:t>
      </w:r>
    </w:p>
    <w:p>
      <w:pPr>
        <w:spacing w:line="686" w:lineRule="exact" w:before="75"/>
        <w:ind w:left="619" w:right="235" w:hanging="360"/>
        <w:jc w:val="left"/>
        <w:rPr>
          <w:rFonts w:ascii="宋体" w:hAnsi="宋体" w:cs="宋体" w:eastAsia="宋体" w:hint="default"/>
          <w:sz w:val="24"/>
          <w:szCs w:val="24"/>
        </w:rPr>
      </w:pPr>
      <w:r>
        <w:rPr>
          <w:rFonts w:ascii="宋体" w:hAnsi="宋体" w:cs="宋体" w:eastAsia="宋体" w:hint="default"/>
          <w:b/>
          <w:bCs/>
          <w:sz w:val="24"/>
          <w:szCs w:val="24"/>
        </w:rPr>
        <w:t>2、多元的成长和职涯规划</w:t>
      </w:r>
      <w:r>
        <w:rPr>
          <w:rFonts w:ascii="宋体" w:hAnsi="宋体" w:cs="宋体" w:eastAsia="宋体" w:hint="default"/>
          <w:b/>
          <w:bCs/>
          <w:w w:val="99"/>
          <w:sz w:val="24"/>
          <w:szCs w:val="24"/>
        </w:rPr>
        <w:t> </w:t>
      </w:r>
      <w:r>
        <w:rPr>
          <w:rFonts w:ascii="宋体" w:hAnsi="宋体" w:cs="宋体" w:eastAsia="宋体" w:hint="default"/>
          <w:sz w:val="24"/>
          <w:szCs w:val="24"/>
        </w:rPr>
        <w:t>公司依法制定人力资源管理制度，通过现场培训、E-learning</w:t>
      </w:r>
      <w:r>
        <w:rPr>
          <w:rFonts w:ascii="宋体" w:hAnsi="宋体" w:cs="宋体" w:eastAsia="宋体" w:hint="default"/>
          <w:spacing w:val="18"/>
          <w:sz w:val="24"/>
          <w:szCs w:val="24"/>
        </w:rPr>
        <w:t> </w:t>
      </w:r>
      <w:r>
        <w:rPr>
          <w:rFonts w:ascii="宋体" w:hAnsi="宋体" w:cs="宋体" w:eastAsia="宋体" w:hint="default"/>
          <w:sz w:val="24"/>
          <w:szCs w:val="24"/>
        </w:rPr>
        <w:t>在线学习等</w:t>
      </w:r>
    </w:p>
    <w:p>
      <w:pPr>
        <w:pStyle w:val="BodyText"/>
        <w:spacing w:line="208" w:lineRule="exact"/>
        <w:ind w:left="139" w:right="144"/>
        <w:jc w:val="left"/>
        <w:rPr>
          <w:rFonts w:ascii="宋体" w:hAnsi="宋体" w:cs="宋体" w:eastAsia="宋体" w:hint="default"/>
        </w:rPr>
      </w:pPr>
      <w:r>
        <w:rPr>
          <w:rFonts w:ascii="宋体" w:hAnsi="宋体" w:cs="宋体" w:eastAsia="宋体" w:hint="default"/>
          <w:spacing w:val="-3"/>
        </w:rPr>
        <w:t>方式，为员工提供公共类、技术类、管理类、销售类、外语类等多种培训，设置</w:t>
      </w:r>
    </w:p>
    <w:p>
      <w:pPr>
        <w:pStyle w:val="BodyText"/>
        <w:spacing w:line="312" w:lineRule="exact" w:before="29"/>
        <w:ind w:left="139" w:right="230"/>
        <w:jc w:val="left"/>
        <w:rPr>
          <w:rFonts w:ascii="宋体" w:hAnsi="宋体" w:cs="宋体" w:eastAsia="宋体" w:hint="default"/>
        </w:rPr>
      </w:pPr>
      <w:r>
        <w:rPr>
          <w:rFonts w:ascii="宋体" w:hAnsi="宋体" w:cs="宋体" w:eastAsia="宋体" w:hint="default"/>
          <w:spacing w:val="-3"/>
        </w:rPr>
        <w:t>面向骨干员工、关键岗位及领导者等的各类专项培养计划，为员工提供全面的成</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长支持、公平的职位晋升和发展空间，公司员工每人每年平均培训</w:t>
      </w:r>
      <w:r>
        <w:rPr>
          <w:rFonts w:ascii="宋体" w:hAnsi="宋体" w:cs="宋体" w:eastAsia="宋体" w:hint="default"/>
          <w:spacing w:val="-60"/>
        </w:rPr>
        <w:t> </w:t>
      </w:r>
      <w:r>
        <w:rPr>
          <w:rFonts w:ascii="宋体" w:hAnsi="宋体" w:cs="宋体" w:eastAsia="宋体" w:hint="default"/>
        </w:rPr>
        <w:t>40</w:t>
      </w:r>
      <w:r>
        <w:rPr>
          <w:rFonts w:ascii="宋体" w:hAnsi="宋体" w:cs="宋体" w:eastAsia="宋体" w:hint="default"/>
          <w:spacing w:val="-60"/>
        </w:rPr>
        <w:t> </w:t>
      </w:r>
      <w:r>
        <w:rPr>
          <w:rFonts w:ascii="宋体" w:hAnsi="宋体" w:cs="宋体" w:eastAsia="宋体" w:hint="default"/>
        </w:rPr>
        <w:t>学时。</w:t>
      </w:r>
    </w:p>
    <w:p>
      <w:pPr>
        <w:spacing w:line="468" w:lineRule="exact" w:before="31"/>
        <w:ind w:left="619" w:right="100" w:hanging="244"/>
        <w:jc w:val="left"/>
        <w:rPr>
          <w:rFonts w:ascii="宋体" w:hAnsi="宋体" w:cs="宋体" w:eastAsia="宋体" w:hint="default"/>
          <w:sz w:val="24"/>
          <w:szCs w:val="24"/>
        </w:rPr>
      </w:pPr>
      <w:r>
        <w:rPr>
          <w:rFonts w:ascii="宋体" w:hAnsi="宋体" w:cs="宋体" w:eastAsia="宋体" w:hint="default"/>
          <w:b/>
          <w:bCs/>
          <w:sz w:val="24"/>
          <w:szCs w:val="24"/>
        </w:rPr>
        <w:t>（1）新员工始业教育</w:t>
      </w:r>
      <w:r>
        <w:rPr>
          <w:rFonts w:ascii="宋体" w:hAnsi="宋体" w:cs="宋体" w:eastAsia="宋体" w:hint="default"/>
          <w:b/>
          <w:bCs/>
          <w:w w:val="99"/>
          <w:sz w:val="24"/>
          <w:szCs w:val="24"/>
        </w:rPr>
        <w:t> </w:t>
      </w:r>
      <w:r>
        <w:rPr>
          <w:rFonts w:ascii="宋体" w:hAnsi="宋体" w:cs="宋体" w:eastAsia="宋体" w:hint="default"/>
          <w:spacing w:val="-7"/>
          <w:sz w:val="24"/>
          <w:szCs w:val="24"/>
        </w:rPr>
        <w:t>公司为新员工安排导师，为新员工了解公司、融入公司和个人成长提供指导。</w:t>
      </w:r>
    </w:p>
    <w:p>
      <w:pPr>
        <w:pStyle w:val="BodyText"/>
        <w:spacing w:line="251" w:lineRule="exact"/>
        <w:ind w:left="139" w:right="144"/>
        <w:jc w:val="left"/>
        <w:rPr>
          <w:rFonts w:ascii="宋体" w:hAnsi="宋体" w:cs="宋体" w:eastAsia="宋体" w:hint="default"/>
        </w:rPr>
      </w:pPr>
      <w:r>
        <w:rPr>
          <w:rFonts w:ascii="宋体" w:hAnsi="宋体" w:cs="宋体" w:eastAsia="宋体" w:hint="default"/>
          <w:spacing w:val="-3"/>
        </w:rPr>
        <w:t>采用新人行为训练模式，通过“引导、驱动、约束”三相合力作用于新人团队合</w:t>
      </w:r>
    </w:p>
    <w:p>
      <w:pPr>
        <w:pStyle w:val="BodyText"/>
        <w:spacing w:line="312" w:lineRule="exact" w:before="29"/>
        <w:ind w:left="139" w:right="230"/>
        <w:jc w:val="left"/>
        <w:rPr>
          <w:rFonts w:ascii="宋体" w:hAnsi="宋体" w:cs="宋体" w:eastAsia="宋体" w:hint="default"/>
        </w:rPr>
      </w:pPr>
      <w:r>
        <w:rPr>
          <w:rFonts w:ascii="宋体" w:hAnsi="宋体" w:cs="宋体" w:eastAsia="宋体" w:hint="default"/>
          <w:spacing w:val="-3"/>
        </w:rPr>
        <w:t>作、关注客户、自我管理、建立归属、尊重规则五个关键点的行为转变，提高新</w:t>
      </w:r>
      <w:r>
        <w:rPr>
          <w:rFonts w:ascii="宋体" w:hAnsi="宋体" w:cs="宋体" w:eastAsia="宋体" w:hint="default"/>
          <w:spacing w:val="-115"/>
        </w:rPr>
        <w:t> </w:t>
      </w:r>
      <w:r>
        <w:rPr>
          <w:rFonts w:ascii="宋体" w:hAnsi="宋体" w:cs="宋体" w:eastAsia="宋体" w:hint="default"/>
          <w:spacing w:val="-115"/>
        </w:rPr>
      </w:r>
      <w:r>
        <w:rPr>
          <w:rFonts w:ascii="宋体" w:hAnsi="宋体" w:cs="宋体" w:eastAsia="宋体" w:hint="default"/>
        </w:rPr>
        <w:t>员工对公司的认同度与归属感，完成角色转变，提升职业素养。</w:t>
      </w:r>
    </w:p>
    <w:p>
      <w:pPr>
        <w:spacing w:line="468" w:lineRule="exact" w:before="31"/>
        <w:ind w:left="619" w:right="224" w:hanging="244"/>
        <w:jc w:val="left"/>
        <w:rPr>
          <w:rFonts w:ascii="宋体" w:hAnsi="宋体" w:cs="宋体" w:eastAsia="宋体" w:hint="default"/>
          <w:sz w:val="24"/>
          <w:szCs w:val="24"/>
        </w:rPr>
      </w:pPr>
      <w:r>
        <w:rPr>
          <w:rFonts w:ascii="宋体" w:hAnsi="宋体" w:cs="宋体" w:eastAsia="宋体" w:hint="default"/>
          <w:b/>
          <w:bCs/>
          <w:sz w:val="24"/>
          <w:szCs w:val="24"/>
        </w:rPr>
        <w:t>（2）职位能力管理</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公司每年根据员工的能力评估结果、岗位需求和职业发展需求，安排员工参</w:t>
      </w:r>
    </w:p>
    <w:p>
      <w:pPr>
        <w:pStyle w:val="BodyText"/>
        <w:spacing w:line="251" w:lineRule="exact"/>
        <w:ind w:left="139" w:right="144"/>
        <w:jc w:val="left"/>
        <w:rPr>
          <w:rFonts w:ascii="宋体" w:hAnsi="宋体" w:cs="宋体" w:eastAsia="宋体" w:hint="default"/>
        </w:rPr>
      </w:pPr>
      <w:r>
        <w:rPr>
          <w:rFonts w:ascii="宋体" w:hAnsi="宋体" w:cs="宋体" w:eastAsia="宋体" w:hint="default"/>
        </w:rPr>
        <w:t>加项目经理专项、资深 SE</w:t>
      </w:r>
      <w:r>
        <w:rPr>
          <w:rFonts w:ascii="宋体" w:hAnsi="宋体" w:cs="宋体" w:eastAsia="宋体" w:hint="default"/>
          <w:spacing w:val="-94"/>
        </w:rPr>
        <w:t> </w:t>
      </w:r>
      <w:r>
        <w:rPr>
          <w:rFonts w:ascii="宋体" w:hAnsi="宋体" w:cs="宋体" w:eastAsia="宋体" w:hint="default"/>
        </w:rPr>
        <w:t>专项、销售专项等各类专项培养计划。同时，公司在</w:t>
      </w:r>
    </w:p>
    <w:p>
      <w:pPr>
        <w:pStyle w:val="BodyText"/>
        <w:spacing w:line="312" w:lineRule="exact" w:before="29"/>
        <w:ind w:left="139" w:right="237"/>
        <w:jc w:val="both"/>
        <w:rPr>
          <w:rFonts w:ascii="宋体" w:hAnsi="宋体" w:cs="宋体" w:eastAsia="宋体" w:hint="default"/>
        </w:rPr>
      </w:pPr>
      <w:r>
        <w:rPr>
          <w:rFonts w:ascii="宋体" w:hAnsi="宋体" w:cs="宋体" w:eastAsia="宋体" w:hint="default"/>
          <w:spacing w:val="-3"/>
        </w:rPr>
        <w:t>积极实施国际并购的全球化进程中，注重对员工外语能力的培养，定期组织外语</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培训，并通过外派学习、在岗进修、海外锻炼等方式对关键岗位员工进行定向培</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养。</w:t>
      </w:r>
    </w:p>
    <w:p>
      <w:pPr>
        <w:spacing w:line="468" w:lineRule="exact" w:before="31"/>
        <w:ind w:left="619" w:right="144" w:hanging="244"/>
        <w:jc w:val="left"/>
        <w:rPr>
          <w:rFonts w:ascii="宋体" w:hAnsi="宋体" w:cs="宋体" w:eastAsia="宋体" w:hint="default"/>
          <w:sz w:val="24"/>
          <w:szCs w:val="24"/>
        </w:rPr>
      </w:pPr>
      <w:r>
        <w:rPr>
          <w:rFonts w:ascii="宋体" w:hAnsi="宋体" w:cs="宋体" w:eastAsia="宋体" w:hint="default"/>
          <w:b/>
          <w:bCs/>
          <w:sz w:val="24"/>
          <w:szCs w:val="24"/>
        </w:rPr>
        <w:t>（3）骨干员工发展计划</w:t>
      </w:r>
      <w:r>
        <w:rPr>
          <w:rFonts w:ascii="宋体" w:hAnsi="宋体" w:cs="宋体" w:eastAsia="宋体" w:hint="default"/>
          <w:b/>
          <w:bCs/>
          <w:spacing w:val="1"/>
          <w:w w:val="99"/>
          <w:sz w:val="24"/>
          <w:szCs w:val="24"/>
        </w:rPr>
        <w:t> </w:t>
      </w:r>
      <w:r>
        <w:rPr>
          <w:rFonts w:ascii="宋体" w:hAnsi="宋体" w:cs="宋体" w:eastAsia="宋体" w:hint="default"/>
          <w:sz w:val="24"/>
          <w:szCs w:val="24"/>
        </w:rPr>
        <w:t>为培养具有高竞争力的核心人才，公司建立骨干员工发展计划。2009 年，</w:t>
      </w:r>
    </w:p>
    <w:p>
      <w:pPr>
        <w:pStyle w:val="BodyText"/>
        <w:spacing w:line="251" w:lineRule="exact"/>
        <w:ind w:left="139" w:right="144"/>
        <w:jc w:val="left"/>
        <w:rPr>
          <w:rFonts w:ascii="宋体" w:hAnsi="宋体" w:cs="宋体" w:eastAsia="宋体" w:hint="default"/>
        </w:rPr>
      </w:pPr>
      <w:r>
        <w:rPr>
          <w:rFonts w:ascii="宋体" w:hAnsi="宋体" w:cs="宋体" w:eastAsia="宋体" w:hint="default"/>
          <w:spacing w:val="-3"/>
        </w:rPr>
        <w:t>公司将高潜力且绩效表现优秀的员工纳入到“骨干员工”队伍统一管理，通过制</w:t>
      </w:r>
    </w:p>
    <w:p>
      <w:pPr>
        <w:pStyle w:val="BodyText"/>
        <w:spacing w:line="312" w:lineRule="exact" w:before="29"/>
        <w:ind w:left="139" w:right="230"/>
        <w:jc w:val="left"/>
        <w:rPr>
          <w:rFonts w:ascii="宋体" w:hAnsi="宋体" w:cs="宋体" w:eastAsia="宋体" w:hint="default"/>
        </w:rPr>
      </w:pPr>
      <w:r>
        <w:rPr>
          <w:rFonts w:ascii="宋体" w:hAnsi="宋体" w:cs="宋体" w:eastAsia="宋体" w:hint="default"/>
          <w:spacing w:val="-3"/>
        </w:rPr>
        <w:t>定和实施高层关注、导师辅导、专项培训等个性化发展方案，为骨干员工提供更</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多的发展机会和交流平台。</w:t>
      </w:r>
    </w:p>
    <w:p>
      <w:pPr>
        <w:spacing w:after="0" w:line="312" w:lineRule="exact"/>
        <w:jc w:val="left"/>
        <w:rPr>
          <w:rFonts w:ascii="宋体" w:hAnsi="宋体" w:cs="宋体" w:eastAsia="宋体" w:hint="default"/>
        </w:rPr>
        <w:sectPr>
          <w:pgSz w:w="11910" w:h="16840"/>
          <w:pgMar w:header="851" w:footer="982" w:top="1220" w:bottom="1180" w:left="1660" w:right="1560"/>
        </w:sectPr>
      </w:pPr>
    </w:p>
    <w:p>
      <w:pPr>
        <w:spacing w:line="240" w:lineRule="auto" w:before="8"/>
        <w:rPr>
          <w:rFonts w:ascii="宋体" w:hAnsi="宋体" w:cs="宋体" w:eastAsia="宋体" w:hint="default"/>
          <w:sz w:val="11"/>
          <w:szCs w:val="11"/>
        </w:rPr>
      </w:pPr>
    </w:p>
    <w:p>
      <w:pPr>
        <w:pStyle w:val="Heading7"/>
        <w:spacing w:line="240" w:lineRule="auto" w:before="26"/>
        <w:ind w:left="376" w:right="144"/>
        <w:jc w:val="left"/>
        <w:rPr>
          <w:b w:val="0"/>
          <w:bCs w:val="0"/>
        </w:rPr>
      </w:pPr>
      <w:bookmarkStart w:name="_bookmark24" w:id="29"/>
      <w:bookmarkEnd w:id="29"/>
      <w:r>
        <w:rPr>
          <w:b w:val="0"/>
          <w:bCs w:val="0"/>
        </w:rPr>
      </w:r>
      <w:r>
        <w:rPr/>
        <w:t>（4）领导力发展计划</w:t>
      </w:r>
      <w:r>
        <w:rPr>
          <w:b w:val="0"/>
          <w:bCs w:val="0"/>
        </w:rPr>
      </w:r>
    </w:p>
    <w:p>
      <w:pPr>
        <w:pStyle w:val="BodyText"/>
        <w:spacing w:line="312" w:lineRule="exact" w:before="184"/>
        <w:ind w:right="142" w:firstLine="480"/>
        <w:jc w:val="both"/>
        <w:rPr>
          <w:rFonts w:ascii="宋体" w:hAnsi="宋体" w:cs="宋体" w:eastAsia="宋体" w:hint="default"/>
        </w:rPr>
      </w:pPr>
      <w:r>
        <w:rPr>
          <w:rFonts w:ascii="宋体" w:hAnsi="宋体" w:cs="宋体" w:eastAsia="宋体" w:hint="default"/>
          <w:spacing w:val="-3"/>
        </w:rPr>
        <w:t>公司通过策略与文化宣导、新经理加速培养专项、领导者俱乐部活动、干部</w:t>
      </w:r>
      <w:r>
        <w:rPr>
          <w:rFonts w:ascii="宋体" w:hAnsi="宋体" w:cs="宋体" w:eastAsia="宋体" w:hint="default"/>
        </w:rPr>
        <w:t> </w:t>
      </w:r>
      <w:r>
        <w:rPr>
          <w:rFonts w:ascii="宋体" w:hAnsi="宋体" w:cs="宋体" w:eastAsia="宋体" w:hint="default"/>
          <w:spacing w:val="-3"/>
        </w:rPr>
        <w:t>外语学习等形式，不断将公司策略、领导力发展要素、管理学大师观点及前沿信</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息、最佳实践案例传递给各级管理者，并积极促进各级管理者外语能力的提升。</w:t>
      </w:r>
    </w:p>
    <w:p>
      <w:pPr>
        <w:spacing w:line="240" w:lineRule="auto" w:before="3"/>
        <w:rPr>
          <w:rFonts w:ascii="宋体" w:hAnsi="宋体" w:cs="宋体" w:eastAsia="宋体" w:hint="default"/>
          <w:sz w:val="26"/>
          <w:szCs w:val="26"/>
        </w:rPr>
      </w:pPr>
    </w:p>
    <w:p>
      <w:pPr>
        <w:pStyle w:val="Heading7"/>
        <w:spacing w:line="240" w:lineRule="auto"/>
        <w:ind w:right="144"/>
        <w:jc w:val="left"/>
        <w:rPr>
          <w:b w:val="0"/>
          <w:bCs w:val="0"/>
        </w:rPr>
      </w:pPr>
      <w:r>
        <w:rPr/>
        <w:t>3、良好的工作和生活氛围</w:t>
      </w:r>
      <w:r>
        <w:rPr>
          <w:b w:val="0"/>
          <w:bCs w:val="0"/>
        </w:rPr>
      </w:r>
    </w:p>
    <w:p>
      <w:pPr>
        <w:spacing w:line="240" w:lineRule="auto" w:before="7"/>
        <w:rPr>
          <w:rFonts w:ascii="宋体" w:hAnsi="宋体" w:cs="宋体" w:eastAsia="宋体" w:hint="default"/>
          <w:b/>
          <w:bCs/>
          <w:sz w:val="16"/>
          <w:szCs w:val="16"/>
        </w:rPr>
      </w:pPr>
    </w:p>
    <w:p>
      <w:pPr>
        <w:spacing w:line="470" w:lineRule="atLeast" w:before="0"/>
        <w:ind w:left="620" w:right="223" w:hanging="244"/>
        <w:jc w:val="left"/>
        <w:rPr>
          <w:rFonts w:ascii="宋体" w:hAnsi="宋体" w:cs="宋体" w:eastAsia="宋体" w:hint="default"/>
          <w:sz w:val="24"/>
          <w:szCs w:val="24"/>
        </w:rPr>
      </w:pPr>
      <w:r>
        <w:rPr>
          <w:rFonts w:ascii="宋体" w:hAnsi="宋体" w:cs="宋体" w:eastAsia="宋体" w:hint="default"/>
          <w:b/>
          <w:bCs/>
          <w:sz w:val="24"/>
          <w:szCs w:val="24"/>
        </w:rPr>
        <w:t>（1）民主的公司管理</w:t>
      </w:r>
      <w:r>
        <w:rPr>
          <w:rFonts w:ascii="宋体" w:hAnsi="宋体" w:cs="宋体" w:eastAsia="宋体" w:hint="default"/>
          <w:b/>
          <w:bCs/>
          <w:w w:val="99"/>
          <w:sz w:val="24"/>
          <w:szCs w:val="24"/>
        </w:rPr>
        <w:t> </w:t>
      </w:r>
      <w:r>
        <w:rPr>
          <w:rFonts w:ascii="宋体" w:hAnsi="宋体" w:cs="宋体" w:eastAsia="宋体" w:hint="default"/>
          <w:spacing w:val="-3"/>
          <w:sz w:val="24"/>
          <w:szCs w:val="24"/>
        </w:rPr>
        <w:t>公司设置了职工监事，确保员工在公司治理中享有充分的权利。公司设有工</w:t>
      </w:r>
    </w:p>
    <w:p>
      <w:pPr>
        <w:pStyle w:val="BodyText"/>
        <w:spacing w:line="312" w:lineRule="exact"/>
        <w:ind w:right="100"/>
        <w:jc w:val="left"/>
        <w:rPr>
          <w:rFonts w:ascii="宋体" w:hAnsi="宋体" w:cs="宋体" w:eastAsia="宋体" w:hint="default"/>
        </w:rPr>
      </w:pPr>
      <w:r>
        <w:rPr>
          <w:rFonts w:ascii="宋体" w:hAnsi="宋体" w:cs="宋体" w:eastAsia="宋体" w:hint="default"/>
        </w:rPr>
        <w:t>会，由员工选举工会委员，以表达员工意愿，代表员工利益参与公司民主管理。</w:t>
      </w:r>
    </w:p>
    <w:p>
      <w:pPr>
        <w:spacing w:line="460" w:lineRule="atLeast" w:before="8"/>
        <w:ind w:left="620" w:right="100" w:hanging="244"/>
        <w:jc w:val="left"/>
        <w:rPr>
          <w:rFonts w:ascii="宋体" w:hAnsi="宋体" w:cs="宋体" w:eastAsia="宋体" w:hint="default"/>
          <w:sz w:val="24"/>
          <w:szCs w:val="24"/>
        </w:rPr>
      </w:pPr>
      <w:r>
        <w:rPr>
          <w:rFonts w:ascii="宋体" w:hAnsi="宋体" w:cs="宋体" w:eastAsia="宋体" w:hint="default"/>
          <w:b/>
          <w:bCs/>
          <w:sz w:val="24"/>
          <w:szCs w:val="24"/>
        </w:rPr>
        <w:t>（2）和谐的企业文化</w:t>
      </w:r>
      <w:r>
        <w:rPr>
          <w:rFonts w:ascii="宋体" w:hAnsi="宋体" w:cs="宋体" w:eastAsia="宋体" w:hint="default"/>
          <w:b/>
          <w:bCs/>
          <w:w w:val="99"/>
          <w:sz w:val="24"/>
          <w:szCs w:val="24"/>
        </w:rPr>
        <w:t> </w:t>
      </w:r>
      <w:r>
        <w:rPr>
          <w:rFonts w:ascii="宋体" w:hAnsi="宋体" w:cs="宋体" w:eastAsia="宋体" w:hint="default"/>
          <w:spacing w:val="-7"/>
          <w:sz w:val="24"/>
          <w:szCs w:val="24"/>
        </w:rPr>
        <w:t>公司形成了一种简单、务实和美的企业文化，以“简单、负责、合作、尊重、</w:t>
      </w:r>
    </w:p>
    <w:p>
      <w:pPr>
        <w:pStyle w:val="BodyText"/>
        <w:spacing w:line="312" w:lineRule="exact" w:before="28"/>
        <w:ind w:right="100"/>
        <w:jc w:val="left"/>
        <w:rPr>
          <w:rFonts w:ascii="宋体" w:hAnsi="宋体" w:cs="宋体" w:eastAsia="宋体" w:hint="default"/>
        </w:rPr>
      </w:pPr>
      <w:r>
        <w:rPr>
          <w:rFonts w:ascii="宋体" w:hAnsi="宋体" w:cs="宋体" w:eastAsia="宋体" w:hint="default"/>
          <w:spacing w:val="-3"/>
        </w:rPr>
        <w:t>诚信”为价值观，坚持以人为本，追求个人与社会共同发展。为给予员工更好的</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6"/>
        </w:rPr>
        <w:t>工作和心理环境，公司每年进行“员工满意度调查”，不断推动公司文化的改善。</w:t>
      </w:r>
    </w:p>
    <w:p>
      <w:pPr>
        <w:spacing w:line="468" w:lineRule="exact" w:before="31"/>
        <w:ind w:left="620" w:right="223" w:hanging="244"/>
        <w:jc w:val="left"/>
        <w:rPr>
          <w:rFonts w:ascii="宋体" w:hAnsi="宋体" w:cs="宋体" w:eastAsia="宋体" w:hint="default"/>
          <w:sz w:val="24"/>
          <w:szCs w:val="24"/>
        </w:rPr>
      </w:pPr>
      <w:r>
        <w:rPr>
          <w:rFonts w:ascii="宋体" w:hAnsi="宋体" w:cs="宋体" w:eastAsia="宋体" w:hint="default"/>
          <w:b/>
          <w:bCs/>
          <w:sz w:val="24"/>
          <w:szCs w:val="24"/>
        </w:rPr>
        <w:t>（3）良好的沟通环境</w:t>
      </w:r>
      <w:r>
        <w:rPr>
          <w:rFonts w:ascii="宋体" w:hAnsi="宋体" w:cs="宋体" w:eastAsia="宋体" w:hint="default"/>
          <w:b/>
          <w:bCs/>
          <w:w w:val="99"/>
          <w:sz w:val="24"/>
          <w:szCs w:val="24"/>
        </w:rPr>
        <w:t> </w:t>
      </w:r>
      <w:r>
        <w:rPr>
          <w:rFonts w:ascii="宋体" w:hAnsi="宋体" w:cs="宋体" w:eastAsia="宋体" w:hint="default"/>
          <w:spacing w:val="-3"/>
          <w:sz w:val="24"/>
          <w:szCs w:val="24"/>
        </w:rPr>
        <w:t>公司设有内部论坛管理平台，供员工发布对人力、财务、行政物业等管理平</w:t>
      </w:r>
    </w:p>
    <w:p>
      <w:pPr>
        <w:pStyle w:val="BodyText"/>
        <w:spacing w:line="251" w:lineRule="exact"/>
        <w:ind w:right="144"/>
        <w:jc w:val="left"/>
        <w:rPr>
          <w:rFonts w:ascii="宋体" w:hAnsi="宋体" w:cs="宋体" w:eastAsia="宋体" w:hint="default"/>
        </w:rPr>
      </w:pPr>
      <w:r>
        <w:rPr>
          <w:rFonts w:ascii="宋体" w:hAnsi="宋体" w:cs="宋体" w:eastAsia="宋体" w:hint="default"/>
        </w:rPr>
        <w:t>台的建议、意见或投诉；向员工开放“CEO”信箱，每年定期组织“员工与</w:t>
      </w:r>
      <w:r>
        <w:rPr>
          <w:rFonts w:ascii="宋体" w:hAnsi="宋体" w:cs="宋体" w:eastAsia="宋体" w:hint="default"/>
          <w:spacing w:val="1"/>
        </w:rPr>
        <w:t> </w:t>
      </w:r>
      <w:r>
        <w:rPr>
          <w:rFonts w:ascii="宋体" w:hAnsi="宋体" w:cs="宋体" w:eastAsia="宋体" w:hint="default"/>
        </w:rPr>
        <w:t>CEO</w:t>
      </w:r>
    </w:p>
    <w:p>
      <w:pPr>
        <w:pStyle w:val="BodyText"/>
        <w:spacing w:line="312" w:lineRule="exact" w:before="29"/>
        <w:ind w:right="229"/>
        <w:jc w:val="left"/>
        <w:rPr>
          <w:rFonts w:ascii="宋体" w:hAnsi="宋体" w:cs="宋体" w:eastAsia="宋体" w:hint="default"/>
        </w:rPr>
      </w:pPr>
      <w:r>
        <w:rPr>
          <w:rFonts w:ascii="宋体" w:hAnsi="宋体" w:cs="宋体" w:eastAsia="宋体" w:hint="default"/>
          <w:spacing w:val="-3"/>
        </w:rPr>
        <w:t>对话”等活动，使得员工的意见可以直接传达到公司高层，获得高度的重视和反</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馈，打造“信任、尊重、认可”的沟通环境。</w:t>
      </w:r>
    </w:p>
    <w:p>
      <w:pPr>
        <w:pStyle w:val="Heading7"/>
        <w:spacing w:line="240" w:lineRule="auto" w:before="125"/>
        <w:ind w:left="376" w:right="144"/>
        <w:jc w:val="left"/>
        <w:rPr>
          <w:b w:val="0"/>
          <w:bCs w:val="0"/>
        </w:rPr>
      </w:pPr>
      <w:r>
        <w:rPr/>
        <w:t>（4）GOS</w:t>
      </w:r>
      <w:r>
        <w:rPr>
          <w:spacing w:val="-63"/>
        </w:rPr>
        <w:t> </w:t>
      </w:r>
      <w:r>
        <w:rPr/>
        <w:t>式办公环境</w:t>
      </w:r>
      <w:r>
        <w:rPr>
          <w:b w:val="0"/>
          <w:bCs w:val="0"/>
        </w:rPr>
      </w:r>
    </w:p>
    <w:p>
      <w:pPr>
        <w:pStyle w:val="BodyText"/>
        <w:spacing w:line="312" w:lineRule="exact" w:before="184"/>
        <w:ind w:right="124" w:firstLine="480"/>
        <w:jc w:val="left"/>
        <w:rPr>
          <w:rFonts w:ascii="宋体" w:hAnsi="宋体" w:cs="宋体" w:eastAsia="宋体" w:hint="default"/>
        </w:rPr>
      </w:pPr>
      <w:r>
        <w:rPr>
          <w:rFonts w:ascii="宋体" w:hAnsi="宋体" w:cs="宋体" w:eastAsia="宋体" w:hint="default"/>
        </w:rPr>
        <w:t>公司倡导“GOS(Garden Office</w:t>
      </w:r>
      <w:r>
        <w:rPr>
          <w:rFonts w:ascii="宋体" w:hAnsi="宋体" w:cs="宋体" w:eastAsia="宋体" w:hint="default"/>
          <w:spacing w:val="11"/>
        </w:rPr>
        <w:t> </w:t>
      </w:r>
      <w:r>
        <w:rPr>
          <w:rFonts w:ascii="宋体" w:hAnsi="宋体" w:cs="宋体" w:eastAsia="宋体" w:hint="default"/>
        </w:rPr>
        <w:t>Sports)”工作理念，为员工建设花园式的</w:t>
      </w:r>
      <w:r>
        <w:rPr>
          <w:rFonts w:ascii="宋体" w:hAnsi="宋体" w:cs="宋体" w:eastAsia="宋体" w:hint="default"/>
          <w:spacing w:val="1"/>
        </w:rPr>
        <w:t> </w:t>
      </w:r>
      <w:r>
        <w:rPr>
          <w:rFonts w:ascii="宋体" w:hAnsi="宋体" w:cs="宋体" w:eastAsia="宋体" w:hint="default"/>
          <w:spacing w:val="-3"/>
        </w:rPr>
        <w:t>办公环境，并将提高办公舒适度作为办公环境搭建的重点工作，目前，东软人均</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办公空间约</w:t>
      </w:r>
      <w:r>
        <w:rPr>
          <w:rFonts w:ascii="宋体" w:hAnsi="宋体" w:cs="宋体" w:eastAsia="宋体" w:hint="default"/>
          <w:spacing w:val="-60"/>
        </w:rPr>
        <w:t> </w:t>
      </w:r>
      <w:r>
        <w:rPr>
          <w:rFonts w:ascii="宋体" w:hAnsi="宋体" w:cs="宋体" w:eastAsia="宋体" w:hint="default"/>
        </w:rPr>
        <w:t>23</w:t>
      </w:r>
      <w:r>
        <w:rPr>
          <w:rFonts w:ascii="宋体" w:hAnsi="宋体" w:cs="宋体" w:eastAsia="宋体" w:hint="default"/>
          <w:spacing w:val="-60"/>
        </w:rPr>
        <w:t> </w:t>
      </w:r>
      <w:r>
        <w:rPr>
          <w:rFonts w:ascii="宋体" w:hAnsi="宋体" w:cs="宋体" w:eastAsia="宋体" w:hint="default"/>
        </w:rPr>
        <w:t>平方米，人均绿化面积约</w:t>
      </w:r>
      <w:r>
        <w:rPr>
          <w:rFonts w:ascii="宋体" w:hAnsi="宋体" w:cs="宋体" w:eastAsia="宋体" w:hint="default"/>
          <w:spacing w:val="-60"/>
        </w:rPr>
        <w:t> </w:t>
      </w:r>
      <w:r>
        <w:rPr>
          <w:rFonts w:ascii="宋体" w:hAnsi="宋体" w:cs="宋体" w:eastAsia="宋体" w:hint="default"/>
        </w:rPr>
        <w:t>40</w:t>
      </w:r>
      <w:r>
        <w:rPr>
          <w:rFonts w:ascii="宋体" w:hAnsi="宋体" w:cs="宋体" w:eastAsia="宋体" w:hint="default"/>
          <w:spacing w:val="-60"/>
        </w:rPr>
        <w:t> </w:t>
      </w:r>
      <w:r>
        <w:rPr>
          <w:rFonts w:ascii="宋体" w:hAnsi="宋体" w:cs="宋体" w:eastAsia="宋体" w:hint="default"/>
        </w:rPr>
        <w:t>平方米。同时，园区内设有足球场、</w:t>
      </w:r>
      <w:r>
        <w:rPr>
          <w:rFonts w:ascii="宋体" w:hAnsi="宋体" w:cs="宋体" w:eastAsia="宋体" w:hint="default"/>
        </w:rPr>
        <w:t> </w:t>
      </w:r>
      <w:r>
        <w:rPr>
          <w:rFonts w:ascii="宋体" w:hAnsi="宋体" w:cs="宋体" w:eastAsia="宋体" w:hint="default"/>
          <w:spacing w:val="-3"/>
        </w:rPr>
        <w:t>篮球场、羽毛球场、网球场及员工俱乐部；办公区间设有乒乓球、台球、跑步机</w:t>
      </w:r>
      <w:r>
        <w:rPr>
          <w:rFonts w:ascii="宋体" w:hAnsi="宋体" w:cs="宋体" w:eastAsia="宋体" w:hint="default"/>
          <w:spacing w:val="-115"/>
        </w:rPr>
        <w:t> </w:t>
      </w:r>
      <w:r>
        <w:rPr>
          <w:rFonts w:ascii="宋体" w:hAnsi="宋体" w:cs="宋体" w:eastAsia="宋体" w:hint="default"/>
          <w:spacing w:val="-115"/>
        </w:rPr>
      </w:r>
      <w:r>
        <w:rPr>
          <w:rFonts w:ascii="宋体" w:hAnsi="宋体" w:cs="宋体" w:eastAsia="宋体" w:hint="default"/>
        </w:rPr>
        <w:t>等健身运动设施；办公空间设有水吧等休闲会谈区，免费提供饮品。</w:t>
      </w:r>
    </w:p>
    <w:p>
      <w:pPr>
        <w:pStyle w:val="Heading7"/>
        <w:spacing w:line="240" w:lineRule="auto" w:before="125"/>
        <w:ind w:left="376" w:right="144"/>
        <w:jc w:val="left"/>
        <w:rPr>
          <w:b w:val="0"/>
          <w:bCs w:val="0"/>
        </w:rPr>
      </w:pPr>
      <w:r>
        <w:rPr/>
        <w:t>（5）丰富的文体活动</w:t>
      </w:r>
      <w:r>
        <w:rPr>
          <w:b w:val="0"/>
          <w:bCs w:val="0"/>
        </w:rPr>
      </w:r>
    </w:p>
    <w:p>
      <w:pPr>
        <w:pStyle w:val="BodyText"/>
        <w:spacing w:line="312" w:lineRule="exact" w:before="184"/>
        <w:ind w:right="124" w:firstLine="480"/>
        <w:jc w:val="left"/>
        <w:rPr>
          <w:rFonts w:ascii="宋体" w:hAnsi="宋体" w:cs="宋体" w:eastAsia="宋体" w:hint="default"/>
        </w:rPr>
      </w:pPr>
      <w:r>
        <w:rPr>
          <w:rFonts w:ascii="宋体" w:hAnsi="宋体" w:cs="宋体" w:eastAsia="宋体" w:hint="default"/>
        </w:rPr>
        <w:t>公司具有一支充满朝气和活力的工作团队，30 岁以下的员工占员工总数的 近</w:t>
      </w:r>
      <w:r>
        <w:rPr>
          <w:rFonts w:ascii="宋体" w:hAnsi="宋体" w:cs="宋体" w:eastAsia="宋体" w:hint="default"/>
          <w:spacing w:val="-60"/>
        </w:rPr>
        <w:t> </w:t>
      </w:r>
      <w:r>
        <w:rPr>
          <w:rFonts w:ascii="宋体" w:hAnsi="宋体" w:cs="宋体" w:eastAsia="宋体" w:hint="default"/>
        </w:rPr>
        <w:t>70%。为丰富员工业务生活，2009</w:t>
      </w:r>
      <w:r>
        <w:rPr>
          <w:rFonts w:ascii="宋体" w:hAnsi="宋体" w:cs="宋体" w:eastAsia="宋体" w:hint="default"/>
          <w:spacing w:val="-60"/>
        </w:rPr>
        <w:t> </w:t>
      </w:r>
      <w:r>
        <w:rPr>
          <w:rFonts w:ascii="宋体" w:hAnsi="宋体" w:cs="宋体" w:eastAsia="宋体" w:hint="default"/>
        </w:rPr>
        <w:t>年，公司共组织包括乒乓球、足球、篮球、</w:t>
      </w:r>
      <w:r>
        <w:rPr>
          <w:rFonts w:ascii="宋体" w:hAnsi="宋体" w:cs="宋体" w:eastAsia="宋体" w:hint="default"/>
        </w:rPr>
        <w:t> 排球、羽毛球、毽球、拔河赛、投篮赛等体育比赛 11</w:t>
      </w:r>
      <w:r>
        <w:rPr>
          <w:rFonts w:ascii="宋体" w:hAnsi="宋体" w:cs="宋体" w:eastAsia="宋体" w:hint="default"/>
          <w:spacing w:val="-94"/>
        </w:rPr>
        <w:t> </w:t>
      </w:r>
      <w:r>
        <w:rPr>
          <w:rFonts w:ascii="宋体" w:hAnsi="宋体" w:cs="宋体" w:eastAsia="宋体" w:hint="default"/>
        </w:rPr>
        <w:t>次；组织新人才艺赛、卡</w:t>
      </w:r>
      <w:r>
        <w:rPr>
          <w:rFonts w:ascii="宋体" w:hAnsi="宋体" w:cs="宋体" w:eastAsia="宋体" w:hint="default"/>
        </w:rPr>
        <w:t> 拉</w:t>
      </w:r>
      <w:r>
        <w:rPr>
          <w:rFonts w:ascii="宋体" w:hAnsi="宋体" w:cs="宋体" w:eastAsia="宋体" w:hint="default"/>
          <w:spacing w:val="-54"/>
        </w:rPr>
        <w:t> </w:t>
      </w:r>
      <w:r>
        <w:rPr>
          <w:rFonts w:ascii="宋体" w:hAnsi="宋体" w:cs="宋体" w:eastAsia="宋体" w:hint="default"/>
        </w:rPr>
        <w:t>OK</w:t>
      </w:r>
      <w:r>
        <w:rPr>
          <w:rFonts w:ascii="宋体" w:hAnsi="宋体" w:cs="宋体" w:eastAsia="宋体" w:hint="default"/>
          <w:spacing w:val="-54"/>
        </w:rPr>
        <w:t> </w:t>
      </w:r>
      <w:r>
        <w:rPr>
          <w:rFonts w:ascii="宋体" w:hAnsi="宋体" w:cs="宋体" w:eastAsia="宋体" w:hint="default"/>
        </w:rPr>
        <w:t>比赛暨中秋晚会、骨干员工跨年晚会等大型文艺活动</w:t>
      </w:r>
      <w:r>
        <w:rPr>
          <w:rFonts w:ascii="宋体" w:hAnsi="宋体" w:cs="宋体" w:eastAsia="宋体" w:hint="default"/>
          <w:spacing w:val="-54"/>
        </w:rPr>
        <w:t> </w:t>
      </w:r>
      <w:r>
        <w:rPr>
          <w:rFonts w:ascii="宋体" w:hAnsi="宋体" w:cs="宋体" w:eastAsia="宋体" w:hint="default"/>
        </w:rPr>
        <w:t>3</w:t>
      </w:r>
      <w:r>
        <w:rPr>
          <w:rFonts w:ascii="宋体" w:hAnsi="宋体" w:cs="宋体" w:eastAsia="宋体" w:hint="default"/>
          <w:spacing w:val="-54"/>
        </w:rPr>
        <w:t> </w:t>
      </w:r>
      <w:r>
        <w:rPr>
          <w:rFonts w:ascii="宋体" w:hAnsi="宋体" w:cs="宋体" w:eastAsia="宋体" w:hint="default"/>
        </w:rPr>
        <w:t>次；组织全国性网</w:t>
      </w:r>
      <w:r>
        <w:rPr>
          <w:rFonts w:ascii="宋体" w:hAnsi="宋体" w:cs="宋体" w:eastAsia="宋体" w:hint="default"/>
        </w:rPr>
        <w:t> 络</w:t>
      </w:r>
      <w:r>
        <w:rPr>
          <w:rFonts w:ascii="宋体" w:hAnsi="宋体" w:cs="宋体" w:eastAsia="宋体" w:hint="default"/>
          <w:spacing w:val="-38"/>
        </w:rPr>
        <w:t> </w:t>
      </w:r>
      <w:r>
        <w:rPr>
          <w:rFonts w:ascii="宋体" w:hAnsi="宋体" w:cs="宋体" w:eastAsia="宋体" w:hint="default"/>
        </w:rPr>
        <w:t>K</w:t>
      </w:r>
      <w:r>
        <w:rPr>
          <w:rFonts w:ascii="宋体" w:hAnsi="宋体" w:cs="宋体" w:eastAsia="宋体" w:hint="default"/>
          <w:spacing w:val="-38"/>
        </w:rPr>
        <w:t> </w:t>
      </w:r>
      <w:r>
        <w:rPr>
          <w:rFonts w:ascii="宋体" w:hAnsi="宋体" w:cs="宋体" w:eastAsia="宋体" w:hint="default"/>
        </w:rPr>
        <w:t>歌活动</w:t>
      </w:r>
      <w:r>
        <w:rPr>
          <w:rFonts w:ascii="宋体" w:hAnsi="宋体" w:cs="宋体" w:eastAsia="宋体" w:hint="default"/>
          <w:spacing w:val="-38"/>
        </w:rPr>
        <w:t> </w:t>
      </w:r>
      <w:r>
        <w:rPr>
          <w:rFonts w:ascii="宋体" w:hAnsi="宋体" w:cs="宋体" w:eastAsia="宋体" w:hint="default"/>
        </w:rPr>
        <w:t>1</w:t>
      </w:r>
      <w:r>
        <w:rPr>
          <w:rFonts w:ascii="宋体" w:hAnsi="宋体" w:cs="宋体" w:eastAsia="宋体" w:hint="default"/>
          <w:spacing w:val="-38"/>
        </w:rPr>
        <w:t> </w:t>
      </w:r>
      <w:r>
        <w:rPr>
          <w:rFonts w:ascii="宋体" w:hAnsi="宋体" w:cs="宋体" w:eastAsia="宋体" w:hint="default"/>
        </w:rPr>
        <w:t>次，大型单身联谊活动</w:t>
      </w:r>
      <w:r>
        <w:rPr>
          <w:rFonts w:ascii="宋体" w:hAnsi="宋体" w:cs="宋体" w:eastAsia="宋体" w:hint="default"/>
          <w:spacing w:val="-38"/>
        </w:rPr>
        <w:t> </w:t>
      </w:r>
      <w:r>
        <w:rPr>
          <w:rFonts w:ascii="宋体" w:hAnsi="宋体" w:cs="宋体" w:eastAsia="宋体" w:hint="default"/>
        </w:rPr>
        <w:t>2</w:t>
      </w:r>
      <w:r>
        <w:rPr>
          <w:rFonts w:ascii="宋体" w:hAnsi="宋体" w:cs="宋体" w:eastAsia="宋体" w:hint="default"/>
          <w:spacing w:val="-38"/>
        </w:rPr>
        <w:t> </w:t>
      </w:r>
      <w:r>
        <w:rPr>
          <w:rFonts w:ascii="宋体" w:hAnsi="宋体" w:cs="宋体" w:eastAsia="宋体" w:hint="default"/>
        </w:rPr>
        <w:t>次；组织各类沙龙</w:t>
      </w:r>
      <w:r>
        <w:rPr>
          <w:rFonts w:ascii="宋体" w:hAnsi="宋体" w:cs="宋体" w:eastAsia="宋体" w:hint="default"/>
          <w:spacing w:val="-38"/>
        </w:rPr>
        <w:t> </w:t>
      </w:r>
      <w:r>
        <w:rPr>
          <w:rFonts w:ascii="宋体" w:hAnsi="宋体" w:cs="宋体" w:eastAsia="宋体" w:hint="default"/>
        </w:rPr>
        <w:t>33</w:t>
      </w:r>
      <w:r>
        <w:rPr>
          <w:rFonts w:ascii="宋体" w:hAnsi="宋体" w:cs="宋体" w:eastAsia="宋体" w:hint="default"/>
          <w:spacing w:val="-38"/>
        </w:rPr>
        <w:t> </w:t>
      </w:r>
      <w:r>
        <w:rPr>
          <w:rFonts w:ascii="宋体" w:hAnsi="宋体" w:cs="宋体" w:eastAsia="宋体" w:hint="default"/>
        </w:rPr>
        <w:t>期、周末影院</w:t>
      </w:r>
      <w:r>
        <w:rPr>
          <w:rFonts w:ascii="宋体" w:hAnsi="宋体" w:cs="宋体" w:eastAsia="宋体" w:hint="default"/>
          <w:spacing w:val="-38"/>
        </w:rPr>
        <w:t> </w:t>
      </w:r>
      <w:r>
        <w:rPr>
          <w:rFonts w:ascii="宋体" w:hAnsi="宋体" w:cs="宋体" w:eastAsia="宋体" w:hint="default"/>
        </w:rPr>
        <w:t>14</w:t>
      </w:r>
      <w:r>
        <w:rPr>
          <w:rFonts w:ascii="宋体" w:hAnsi="宋体" w:cs="宋体" w:eastAsia="宋体" w:hint="default"/>
        </w:rPr>
        <w:t> 期、瑜伽培训班</w:t>
      </w:r>
      <w:r>
        <w:rPr>
          <w:rFonts w:ascii="宋体" w:hAnsi="宋体" w:cs="宋体" w:eastAsia="宋体" w:hint="default"/>
          <w:spacing w:val="-69"/>
        </w:rPr>
        <w:t> </w:t>
      </w:r>
      <w:r>
        <w:rPr>
          <w:rFonts w:ascii="宋体" w:hAnsi="宋体" w:cs="宋体" w:eastAsia="宋体" w:hint="default"/>
        </w:rPr>
        <w:t>12</w:t>
      </w:r>
      <w:r>
        <w:rPr>
          <w:rFonts w:ascii="宋体" w:hAnsi="宋体" w:cs="宋体" w:eastAsia="宋体" w:hint="default"/>
          <w:spacing w:val="-69"/>
        </w:rPr>
        <w:t> </w:t>
      </w:r>
      <w:r>
        <w:rPr>
          <w:rFonts w:ascii="宋体" w:hAnsi="宋体" w:cs="宋体" w:eastAsia="宋体" w:hint="default"/>
        </w:rPr>
        <w:t>期。此外，2009</w:t>
      </w:r>
      <w:r>
        <w:rPr>
          <w:rFonts w:ascii="宋体" w:hAnsi="宋体" w:cs="宋体" w:eastAsia="宋体" w:hint="default"/>
          <w:spacing w:val="-69"/>
        </w:rPr>
        <w:t> </w:t>
      </w:r>
      <w:r>
        <w:rPr>
          <w:rFonts w:ascii="宋体" w:hAnsi="宋体" w:cs="宋体" w:eastAsia="宋体" w:hint="default"/>
        </w:rPr>
        <w:t>年，公司积极组织驻外员工关怀活动，增加</w:t>
      </w:r>
      <w:r>
        <w:rPr>
          <w:rFonts w:ascii="宋体" w:hAnsi="宋体" w:cs="宋体" w:eastAsia="宋体" w:hint="default"/>
        </w:rPr>
        <w:t> 了驻外员工对公司的归属感。</w:t>
      </w:r>
    </w:p>
    <w:p>
      <w:pPr>
        <w:spacing w:line="240" w:lineRule="auto" w:before="3"/>
        <w:rPr>
          <w:rFonts w:ascii="宋体" w:hAnsi="宋体" w:cs="宋体" w:eastAsia="宋体" w:hint="default"/>
          <w:sz w:val="26"/>
          <w:szCs w:val="26"/>
        </w:rPr>
      </w:pPr>
    </w:p>
    <w:p>
      <w:pPr>
        <w:pStyle w:val="Heading7"/>
        <w:spacing w:line="240" w:lineRule="auto"/>
        <w:ind w:right="144"/>
        <w:jc w:val="left"/>
        <w:rPr>
          <w:b w:val="0"/>
          <w:bCs w:val="0"/>
        </w:rPr>
      </w:pPr>
      <w:r>
        <w:rPr/>
        <w:t>4、持续的健康和心理关爱</w:t>
      </w:r>
      <w:r>
        <w:rPr>
          <w:b w:val="0"/>
          <w:bCs w:val="0"/>
        </w:rPr>
      </w:r>
    </w:p>
    <w:p>
      <w:pPr>
        <w:spacing w:line="240" w:lineRule="auto" w:before="6"/>
        <w:rPr>
          <w:rFonts w:ascii="宋体" w:hAnsi="宋体" w:cs="宋体" w:eastAsia="宋体" w:hint="default"/>
          <w:b/>
          <w:bCs/>
          <w:sz w:val="28"/>
          <w:szCs w:val="28"/>
        </w:rPr>
      </w:pPr>
    </w:p>
    <w:p>
      <w:pPr>
        <w:spacing w:line="357" w:lineRule="auto" w:before="0"/>
        <w:ind w:left="620" w:right="223" w:hanging="244"/>
        <w:jc w:val="left"/>
        <w:rPr>
          <w:rFonts w:ascii="宋体" w:hAnsi="宋体" w:cs="宋体" w:eastAsia="宋体" w:hint="default"/>
          <w:sz w:val="24"/>
          <w:szCs w:val="24"/>
        </w:rPr>
      </w:pPr>
      <w:r>
        <w:rPr>
          <w:rFonts w:ascii="宋体" w:hAnsi="宋体" w:cs="宋体" w:eastAsia="宋体" w:hint="default"/>
          <w:b/>
          <w:bCs/>
          <w:sz w:val="24"/>
          <w:szCs w:val="24"/>
        </w:rPr>
        <w:t>（1）定期免费体检</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公司每年选择大型、正规的体检中心，定期安排员工免费体检，并在体检后</w:t>
      </w:r>
    </w:p>
    <w:p>
      <w:pPr>
        <w:spacing w:after="0" w:line="357" w:lineRule="auto"/>
        <w:jc w:val="left"/>
        <w:rPr>
          <w:rFonts w:ascii="宋体" w:hAnsi="宋体" w:cs="宋体" w:eastAsia="宋体" w:hint="default"/>
          <w:sz w:val="24"/>
          <w:szCs w:val="24"/>
        </w:rPr>
        <w:sectPr>
          <w:pgSz w:w="11910" w:h="16840"/>
          <w:pgMar w:header="851" w:footer="982" w:top="1220" w:bottom="1180" w:left="1660" w:right="1560"/>
        </w:sectPr>
      </w:pPr>
    </w:p>
    <w:p>
      <w:pPr>
        <w:spacing w:line="240" w:lineRule="auto" w:before="8"/>
        <w:rPr>
          <w:rFonts w:ascii="宋体" w:hAnsi="宋体" w:cs="宋体" w:eastAsia="宋体" w:hint="default"/>
          <w:sz w:val="11"/>
          <w:szCs w:val="11"/>
        </w:rPr>
      </w:pPr>
    </w:p>
    <w:p>
      <w:pPr>
        <w:pStyle w:val="BodyText"/>
        <w:spacing w:line="312" w:lineRule="exact" w:before="56"/>
        <w:ind w:right="237"/>
        <w:jc w:val="both"/>
        <w:rPr>
          <w:rFonts w:ascii="宋体" w:hAnsi="宋体" w:cs="宋体" w:eastAsia="宋体" w:hint="default"/>
        </w:rPr>
      </w:pPr>
      <w:r>
        <w:rPr>
          <w:rFonts w:ascii="宋体" w:hAnsi="宋体" w:cs="宋体" w:eastAsia="宋体" w:hint="default"/>
          <w:spacing w:val="-3"/>
        </w:rPr>
        <w:t>组织员工参加健康报告讲评会，向员工讲授保健方法和健康的生活理念。每到季</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节变化或有大型流行病发生时，公司积极组织员工参加健康沙龙活动，向员工发</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布预防疾病的方法。</w:t>
      </w:r>
    </w:p>
    <w:p>
      <w:pPr>
        <w:spacing w:line="468" w:lineRule="exact" w:before="31"/>
        <w:ind w:left="620" w:right="223" w:hanging="244"/>
        <w:jc w:val="left"/>
        <w:rPr>
          <w:rFonts w:ascii="宋体" w:hAnsi="宋体" w:cs="宋体" w:eastAsia="宋体" w:hint="default"/>
          <w:sz w:val="24"/>
          <w:szCs w:val="24"/>
        </w:rPr>
      </w:pPr>
      <w:r>
        <w:rPr>
          <w:rFonts w:ascii="宋体" w:hAnsi="宋体" w:cs="宋体" w:eastAsia="宋体" w:hint="default"/>
          <w:b/>
          <w:bCs/>
          <w:sz w:val="24"/>
          <w:szCs w:val="24"/>
        </w:rPr>
        <w:t>（2）员工健康关怀计划</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公司组织并长期开展东软员工健康关怀计划，以最大限度地满足员工在身体</w:t>
      </w:r>
    </w:p>
    <w:p>
      <w:pPr>
        <w:pStyle w:val="BodyText"/>
        <w:spacing w:line="251" w:lineRule="exact"/>
        <w:ind w:right="0"/>
        <w:jc w:val="both"/>
        <w:rPr>
          <w:rFonts w:ascii="宋体" w:hAnsi="宋体" w:cs="宋体" w:eastAsia="宋体" w:hint="default"/>
        </w:rPr>
      </w:pPr>
      <w:r>
        <w:rPr>
          <w:rFonts w:ascii="宋体" w:hAnsi="宋体" w:cs="宋体" w:eastAsia="宋体" w:hint="default"/>
          <w:spacing w:val="-3"/>
        </w:rPr>
        <w:t>健康方面的需求，帮助员工“成就健康的体魄，卓越的心智以及建立积极的工作</w:t>
      </w:r>
    </w:p>
    <w:p>
      <w:pPr>
        <w:pStyle w:val="BodyText"/>
        <w:spacing w:line="312" w:lineRule="exact" w:before="29"/>
        <w:ind w:right="236"/>
        <w:jc w:val="both"/>
        <w:rPr>
          <w:rFonts w:ascii="宋体" w:hAnsi="宋体" w:cs="宋体" w:eastAsia="宋体" w:hint="default"/>
        </w:rPr>
      </w:pPr>
      <w:r>
        <w:rPr>
          <w:rFonts w:ascii="宋体" w:hAnsi="宋体" w:cs="宋体" w:eastAsia="宋体" w:hint="default"/>
        </w:rPr>
        <w:t>和生活方式</w:t>
      </w:r>
      <w:r>
        <w:rPr>
          <w:rFonts w:ascii="宋体" w:hAnsi="宋体" w:cs="宋体" w:eastAsia="宋体" w:hint="default"/>
          <w:spacing w:val="-120"/>
        </w:rPr>
        <w:t>”</w:t>
      </w:r>
      <w:r>
        <w:rPr>
          <w:rFonts w:ascii="宋体" w:hAnsi="宋体" w:cs="宋体" w:eastAsia="宋体" w:hint="default"/>
          <w:spacing w:val="-6"/>
        </w:rPr>
        <w:t>。</w:t>
      </w:r>
      <w:r>
        <w:rPr>
          <w:rFonts w:ascii="宋体" w:hAnsi="宋体" w:cs="宋体" w:eastAsia="宋体" w:hint="default"/>
        </w:rPr>
        <w:t>2009</w:t>
      </w:r>
      <w:r>
        <w:rPr>
          <w:rFonts w:ascii="宋体" w:hAnsi="宋体" w:cs="宋体" w:eastAsia="宋体" w:hint="default"/>
          <w:spacing w:val="-60"/>
        </w:rPr>
        <w:t> </w:t>
      </w:r>
      <w:r>
        <w:rPr>
          <w:rFonts w:ascii="宋体" w:hAnsi="宋体" w:cs="宋体" w:eastAsia="宋体" w:hint="default"/>
        </w:rPr>
        <w:t>年</w:t>
      </w:r>
      <w:r>
        <w:rPr>
          <w:rFonts w:ascii="宋体" w:hAnsi="宋体" w:cs="宋体" w:eastAsia="宋体" w:hint="default"/>
          <w:spacing w:val="-6"/>
        </w:rPr>
        <w:t>，</w:t>
      </w:r>
      <w:r>
        <w:rPr>
          <w:rFonts w:ascii="宋体" w:hAnsi="宋体" w:cs="宋体" w:eastAsia="宋体" w:hint="default"/>
        </w:rPr>
        <w:t>公司启动</w:t>
      </w:r>
      <w:r>
        <w:rPr>
          <w:rFonts w:ascii="宋体" w:hAnsi="宋体" w:cs="宋体" w:eastAsia="宋体" w:hint="default"/>
          <w:spacing w:val="-6"/>
        </w:rPr>
        <w:t>了</w:t>
      </w:r>
      <w:r>
        <w:rPr>
          <w:rFonts w:ascii="宋体" w:hAnsi="宋体" w:cs="宋体" w:eastAsia="宋体" w:hint="default"/>
        </w:rPr>
        <w:t>“熙康健康管理服务</w:t>
      </w:r>
      <w:r>
        <w:rPr>
          <w:rFonts w:ascii="宋体" w:hAnsi="宋体" w:cs="宋体" w:eastAsia="宋体" w:hint="default"/>
          <w:spacing w:val="-6"/>
        </w:rPr>
        <w:t>”</w:t>
      </w:r>
      <w:r>
        <w:rPr>
          <w:rFonts w:ascii="宋体" w:hAnsi="宋体" w:cs="宋体" w:eastAsia="宋体" w:hint="default"/>
        </w:rPr>
        <w:t>业务</w:t>
      </w:r>
      <w:r>
        <w:rPr>
          <w:rFonts w:ascii="宋体" w:hAnsi="宋体" w:cs="宋体" w:eastAsia="宋体" w:hint="default"/>
          <w:spacing w:val="-6"/>
        </w:rPr>
        <w:t>，</w:t>
      </w:r>
      <w:r>
        <w:rPr>
          <w:rFonts w:ascii="宋体" w:hAnsi="宋体" w:cs="宋体" w:eastAsia="宋体" w:hint="default"/>
        </w:rPr>
        <w:t>推出</w:t>
      </w:r>
      <w:r>
        <w:rPr>
          <w:rFonts w:ascii="宋体" w:hAnsi="宋体" w:cs="宋体" w:eastAsia="宋体" w:hint="default"/>
          <w:spacing w:val="-6"/>
        </w:rPr>
        <w:t>了</w:t>
      </w:r>
      <w:r>
        <w:rPr>
          <w:rFonts w:ascii="宋体" w:hAnsi="宋体" w:cs="宋体" w:eastAsia="宋体" w:hint="default"/>
        </w:rPr>
        <w:t>“东软</w:t>
      </w:r>
      <w:r>
        <w:rPr>
          <w:rFonts w:ascii="宋体" w:hAnsi="宋体" w:cs="宋体" w:eastAsia="宋体" w:hint="default"/>
        </w:rPr>
        <w:t> 员工健康关爱套餐</w:t>
      </w:r>
      <w:r>
        <w:rPr>
          <w:rFonts w:ascii="宋体" w:hAnsi="宋体" w:cs="宋体" w:eastAsia="宋体" w:hint="default"/>
          <w:spacing w:val="-120"/>
        </w:rPr>
        <w:t>”</w:t>
      </w:r>
      <w:r>
        <w:rPr>
          <w:rFonts w:ascii="宋体" w:hAnsi="宋体" w:cs="宋体" w:eastAsia="宋体" w:hint="default"/>
        </w:rPr>
        <w:t>，以满足员工在健康方面的需求。</w:t>
      </w:r>
    </w:p>
    <w:p>
      <w:pPr>
        <w:pStyle w:val="Heading7"/>
        <w:spacing w:line="240" w:lineRule="auto" w:before="125"/>
        <w:ind w:left="376" w:right="144"/>
        <w:jc w:val="left"/>
        <w:rPr>
          <w:b w:val="0"/>
          <w:bCs w:val="0"/>
        </w:rPr>
      </w:pPr>
      <w:r>
        <w:rPr/>
        <w:t>（3）EAP</w:t>
      </w:r>
      <w:r>
        <w:rPr>
          <w:spacing w:val="-63"/>
        </w:rPr>
        <w:t> </w:t>
      </w:r>
      <w:r>
        <w:rPr/>
        <w:t>员工帮助计划</w:t>
      </w:r>
      <w:r>
        <w:rPr>
          <w:b w:val="0"/>
          <w:bCs w:val="0"/>
        </w:rPr>
      </w:r>
    </w:p>
    <w:p>
      <w:pPr>
        <w:pStyle w:val="BodyText"/>
        <w:spacing w:line="312" w:lineRule="exact" w:before="184"/>
        <w:ind w:right="98" w:firstLine="480"/>
        <w:jc w:val="left"/>
        <w:rPr>
          <w:rFonts w:ascii="宋体" w:hAnsi="宋体" w:cs="宋体" w:eastAsia="宋体" w:hint="default"/>
        </w:rPr>
      </w:pPr>
      <w:r>
        <w:rPr>
          <w:rFonts w:ascii="宋体" w:hAnsi="宋体" w:cs="宋体" w:eastAsia="宋体" w:hint="default"/>
        </w:rPr>
        <w:t>公司自</w:t>
      </w:r>
      <w:r>
        <w:rPr>
          <w:rFonts w:ascii="宋体" w:hAnsi="宋体" w:cs="宋体" w:eastAsia="宋体" w:hint="default"/>
          <w:spacing w:val="-60"/>
        </w:rPr>
        <w:t> </w:t>
      </w:r>
      <w:r>
        <w:rPr>
          <w:rFonts w:ascii="宋体" w:hAnsi="宋体" w:cs="宋体" w:eastAsia="宋体" w:hint="default"/>
        </w:rPr>
        <w:t>2007</w:t>
      </w:r>
      <w:r>
        <w:rPr>
          <w:rFonts w:ascii="宋体" w:hAnsi="宋体" w:cs="宋体" w:eastAsia="宋体" w:hint="default"/>
          <w:spacing w:val="-60"/>
        </w:rPr>
        <w:t> </w:t>
      </w:r>
      <w:r>
        <w:rPr>
          <w:rFonts w:ascii="宋体" w:hAnsi="宋体" w:cs="宋体" w:eastAsia="宋体" w:hint="default"/>
        </w:rPr>
        <w:t>年正式启动</w:t>
      </w:r>
      <w:r>
        <w:rPr>
          <w:rFonts w:ascii="宋体" w:hAnsi="宋体" w:cs="宋体" w:eastAsia="宋体" w:hint="default"/>
          <w:spacing w:val="-60"/>
        </w:rPr>
        <w:t> </w:t>
      </w:r>
      <w:r>
        <w:rPr>
          <w:rFonts w:ascii="宋体" w:hAnsi="宋体" w:cs="宋体" w:eastAsia="宋体" w:hint="default"/>
        </w:rPr>
        <w:t>EAP(Employee</w:t>
      </w:r>
      <w:r>
        <w:rPr>
          <w:rFonts w:ascii="宋体" w:hAnsi="宋体" w:cs="宋体" w:eastAsia="宋体" w:hint="default"/>
          <w:spacing w:val="-17"/>
        </w:rPr>
        <w:t> </w:t>
      </w:r>
      <w:r>
        <w:rPr>
          <w:rFonts w:ascii="宋体" w:hAnsi="宋体" w:cs="宋体" w:eastAsia="宋体" w:hint="default"/>
        </w:rPr>
        <w:t>Assistant</w:t>
      </w:r>
      <w:r>
        <w:rPr>
          <w:rFonts w:ascii="宋体" w:hAnsi="宋体" w:cs="宋体" w:eastAsia="宋体" w:hint="default"/>
          <w:spacing w:val="-17"/>
        </w:rPr>
        <w:t> </w:t>
      </w:r>
      <w:r>
        <w:rPr>
          <w:rFonts w:ascii="宋体" w:hAnsi="宋体" w:cs="宋体" w:eastAsia="宋体" w:hint="default"/>
        </w:rPr>
        <w:t>Program)员工帮助计划，</w:t>
      </w:r>
      <w:r>
        <w:rPr>
          <w:rFonts w:ascii="宋体" w:hAnsi="宋体" w:cs="宋体" w:eastAsia="宋体" w:hint="default"/>
        </w:rPr>
        <w:t> </w:t>
      </w:r>
      <w:r>
        <w:rPr>
          <w:rFonts w:ascii="宋体" w:hAnsi="宋体" w:cs="宋体" w:eastAsia="宋体" w:hint="default"/>
          <w:spacing w:val="-6"/>
        </w:rPr>
        <w:t>为员工开通咨询热线，设立网上心理测评专栏，关注员工的职业压力和心理健康，</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rPr>
        <w:t>每月举办</w:t>
      </w:r>
      <w:r>
        <w:rPr>
          <w:rFonts w:ascii="宋体" w:hAnsi="宋体" w:cs="宋体" w:eastAsia="宋体" w:hint="default"/>
          <w:spacing w:val="-62"/>
        </w:rPr>
        <w:t> </w:t>
      </w:r>
      <w:r>
        <w:rPr>
          <w:rFonts w:ascii="宋体" w:hAnsi="宋体" w:cs="宋体" w:eastAsia="宋体" w:hint="default"/>
        </w:rPr>
        <w:t>1</w:t>
      </w:r>
      <w:r>
        <w:rPr>
          <w:rFonts w:ascii="宋体" w:hAnsi="宋体" w:cs="宋体" w:eastAsia="宋体" w:hint="default"/>
          <w:spacing w:val="-62"/>
        </w:rPr>
        <w:t> </w:t>
      </w:r>
      <w:r>
        <w:rPr>
          <w:rFonts w:ascii="宋体" w:hAnsi="宋体" w:cs="宋体" w:eastAsia="宋体" w:hint="default"/>
          <w:spacing w:val="-3"/>
        </w:rPr>
        <w:t>次心理沙龙、2</w:t>
      </w:r>
      <w:r>
        <w:rPr>
          <w:rFonts w:ascii="宋体" w:hAnsi="宋体" w:cs="宋体" w:eastAsia="宋体" w:hint="default"/>
          <w:spacing w:val="-62"/>
        </w:rPr>
        <w:t> </w:t>
      </w:r>
      <w:r>
        <w:rPr>
          <w:rFonts w:ascii="宋体" w:hAnsi="宋体" w:cs="宋体" w:eastAsia="宋体" w:hint="default"/>
        </w:rPr>
        <w:t>次心理面询活动，每季度举办</w:t>
      </w:r>
      <w:r>
        <w:rPr>
          <w:rFonts w:ascii="宋体" w:hAnsi="宋体" w:cs="宋体" w:eastAsia="宋体" w:hint="default"/>
          <w:spacing w:val="-62"/>
        </w:rPr>
        <w:t> </w:t>
      </w:r>
      <w:r>
        <w:rPr>
          <w:rFonts w:ascii="宋体" w:hAnsi="宋体" w:cs="宋体" w:eastAsia="宋体" w:hint="default"/>
        </w:rPr>
        <w:t>1-2</w:t>
      </w:r>
      <w:r>
        <w:rPr>
          <w:rFonts w:ascii="宋体" w:hAnsi="宋体" w:cs="宋体" w:eastAsia="宋体" w:hint="default"/>
          <w:spacing w:val="-62"/>
        </w:rPr>
        <w:t> </w:t>
      </w:r>
      <w:r>
        <w:rPr>
          <w:rFonts w:ascii="宋体" w:hAnsi="宋体" w:cs="宋体" w:eastAsia="宋体" w:hint="default"/>
        </w:rPr>
        <w:t>次各地的心理团训</w:t>
      </w:r>
      <w:r>
        <w:rPr>
          <w:rFonts w:ascii="宋体" w:hAnsi="宋体" w:cs="宋体" w:eastAsia="宋体" w:hint="default"/>
        </w:rPr>
        <w:t> 活动，使员工在创造自身价值的同时快乐成长。</w:t>
      </w:r>
    </w:p>
    <w:p>
      <w:pPr>
        <w:spacing w:after="0" w:line="312" w:lineRule="exact"/>
        <w:jc w:val="left"/>
        <w:rPr>
          <w:rFonts w:ascii="宋体" w:hAnsi="宋体" w:cs="宋体" w:eastAsia="宋体" w:hint="default"/>
        </w:rPr>
        <w:sectPr>
          <w:pgSz w:w="11910" w:h="16840"/>
          <w:pgMar w:header="851" w:footer="982" w:top="1220" w:bottom="1180" w:left="1660" w:right="15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5"/>
        <w:spacing w:line="240" w:lineRule="auto" w:before="182"/>
        <w:ind w:right="0"/>
        <w:jc w:val="left"/>
        <w:rPr>
          <w:rFonts w:ascii="宋体" w:hAnsi="宋体" w:cs="宋体" w:eastAsia="宋体" w:hint="default"/>
          <w:b w:val="0"/>
          <w:bCs w:val="0"/>
        </w:rPr>
      </w:pPr>
      <w:bookmarkStart w:name="_bookmark25" w:id="30"/>
      <w:bookmarkEnd w:id="30"/>
      <w:r>
        <w:rPr>
          <w:b w:val="0"/>
          <w:bCs w:val="0"/>
        </w:rPr>
      </w:r>
      <w:r>
        <w:rPr>
          <w:rFonts w:ascii="宋体" w:hAnsi="宋体" w:cs="宋体" w:eastAsia="宋体" w:hint="default"/>
        </w:rPr>
        <w:t>六、每股社会贡献值</w:t>
      </w:r>
      <w:r>
        <w:rPr>
          <w:rFonts w:ascii="宋体" w:hAnsi="宋体" w:cs="宋体" w:eastAsia="宋体" w:hint="default"/>
          <w:b w:val="0"/>
          <w:bCs w:val="0"/>
        </w:rPr>
      </w:r>
    </w:p>
    <w:p>
      <w:pPr>
        <w:spacing w:line="240" w:lineRule="auto" w:before="0"/>
        <w:rPr>
          <w:rFonts w:ascii="宋体" w:hAnsi="宋体" w:cs="宋体" w:eastAsia="宋体" w:hint="default"/>
          <w:b/>
          <w:bCs/>
          <w:sz w:val="28"/>
          <w:szCs w:val="28"/>
        </w:rPr>
      </w:pPr>
    </w:p>
    <w:p>
      <w:pPr>
        <w:pStyle w:val="BodyText"/>
        <w:spacing w:line="312" w:lineRule="exact" w:before="190"/>
        <w:ind w:right="135" w:firstLine="480"/>
        <w:jc w:val="both"/>
        <w:rPr>
          <w:rFonts w:ascii="宋体" w:hAnsi="宋体" w:cs="宋体" w:eastAsia="宋体" w:hint="default"/>
        </w:rPr>
      </w:pPr>
      <w:r>
        <w:rPr>
          <w:rFonts w:ascii="宋体" w:hAnsi="宋体" w:cs="宋体" w:eastAsia="宋体" w:hint="default"/>
          <w:spacing w:val="-3"/>
        </w:rPr>
        <w:t>每股社会贡献值反映公司为社会、客户、股东、员工等相关利益者创造的全</w:t>
      </w:r>
      <w:r>
        <w:rPr>
          <w:rFonts w:ascii="宋体" w:hAnsi="宋体" w:cs="宋体" w:eastAsia="宋体" w:hint="default"/>
        </w:rPr>
        <w:t> 部价值，即公司作为企业公民做出的社会贡献。2009</w:t>
      </w:r>
      <w:r>
        <w:rPr>
          <w:rFonts w:ascii="宋体" w:hAnsi="宋体" w:cs="宋体" w:eastAsia="宋体" w:hint="default"/>
          <w:spacing w:val="2"/>
        </w:rPr>
        <w:t> </w:t>
      </w:r>
      <w:r>
        <w:rPr>
          <w:rFonts w:ascii="宋体" w:hAnsi="宋体" w:cs="宋体" w:eastAsia="宋体" w:hint="default"/>
        </w:rPr>
        <w:t>年度，东软集团的每股社</w:t>
      </w:r>
      <w:r>
        <w:rPr>
          <w:rFonts w:ascii="宋体" w:hAnsi="宋体" w:cs="宋体" w:eastAsia="宋体" w:hint="default"/>
        </w:rPr>
        <w:t> 会贡献值为</w:t>
      </w:r>
      <w:r>
        <w:rPr>
          <w:rFonts w:ascii="宋体" w:hAnsi="宋体" w:cs="宋体" w:eastAsia="宋体" w:hint="default"/>
          <w:spacing w:val="-60"/>
        </w:rPr>
        <w:t> </w:t>
      </w:r>
      <w:r>
        <w:rPr>
          <w:rFonts w:ascii="宋体" w:hAnsi="宋体" w:cs="宋体" w:eastAsia="宋体" w:hint="default"/>
        </w:rPr>
        <w:t>2.43</w:t>
      </w:r>
      <w:r>
        <w:rPr>
          <w:rFonts w:ascii="宋体" w:hAnsi="宋体" w:cs="宋体" w:eastAsia="宋体" w:hint="default"/>
          <w:spacing w:val="-60"/>
        </w:rPr>
        <w:t> </w:t>
      </w:r>
      <w:r>
        <w:rPr>
          <w:rFonts w:ascii="宋体" w:hAnsi="宋体" w:cs="宋体" w:eastAsia="宋体" w:hint="default"/>
        </w:rPr>
        <w:t>元。</w:t>
      </w:r>
    </w:p>
    <w:p>
      <w:pPr>
        <w:pStyle w:val="BodyText"/>
        <w:spacing w:line="312" w:lineRule="exact" w:before="156"/>
        <w:ind w:right="129" w:firstLine="480"/>
        <w:jc w:val="both"/>
        <w:rPr>
          <w:rFonts w:ascii="宋体" w:hAnsi="宋体" w:cs="宋体" w:eastAsia="宋体" w:hint="default"/>
        </w:rPr>
      </w:pPr>
      <w:r>
        <w:rPr>
          <w:rFonts w:ascii="宋体" w:hAnsi="宋体" w:cs="宋体" w:eastAsia="宋体" w:hint="default"/>
          <w:spacing w:val="-3"/>
        </w:rPr>
        <w:t>每股社会贡献值的社会成本计算口径：在公司为股东创造的基本每股收益的</w:t>
      </w:r>
      <w:r>
        <w:rPr>
          <w:rFonts w:ascii="宋体" w:hAnsi="宋体" w:cs="宋体" w:eastAsia="宋体" w:hint="default"/>
        </w:rPr>
        <w:t> </w:t>
      </w:r>
      <w:r>
        <w:rPr>
          <w:rFonts w:ascii="宋体" w:hAnsi="宋体" w:cs="宋体" w:eastAsia="宋体" w:hint="default"/>
          <w:spacing w:val="-3"/>
        </w:rPr>
        <w:t>基础上，增加公司年内为国家创造的税收、向员工支付的工资、向银行等债权人</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给付的借款利息、公司对外捐赠额等为其他利益相关者创造的价值额，并扣除公</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4"/>
        </w:rPr>
        <w:t>司因环境污染等造成的其他社会成本，计算形成的公司为社会创造的每股增值</w:t>
      </w:r>
      <w:r>
        <w:rPr>
          <w:rFonts w:ascii="宋体" w:hAnsi="宋体" w:cs="宋体" w:eastAsia="宋体" w:hint="default"/>
          <w:spacing w:val="4"/>
        </w:rPr>
        <w:t> </w:t>
      </w:r>
      <w:r>
        <w:rPr>
          <w:rFonts w:ascii="宋体" w:hAnsi="宋体" w:cs="宋体" w:eastAsia="宋体" w:hint="default"/>
          <w:spacing w:val="-3"/>
        </w:rPr>
        <w:t>额，从而帮助社会公众更全面地了解公司为其股东、员工、客户、债权人、社区</w:t>
      </w:r>
      <w:r>
        <w:rPr>
          <w:rFonts w:ascii="宋体" w:hAnsi="宋体" w:cs="宋体" w:eastAsia="宋体" w:hint="default"/>
          <w:spacing w:val="-115"/>
        </w:rPr>
        <w:t> </w:t>
      </w:r>
      <w:r>
        <w:rPr>
          <w:rFonts w:ascii="宋体" w:hAnsi="宋体" w:cs="宋体" w:eastAsia="宋体" w:hint="default"/>
          <w:spacing w:val="-115"/>
        </w:rPr>
      </w:r>
      <w:r>
        <w:rPr>
          <w:rFonts w:ascii="宋体" w:hAnsi="宋体" w:cs="宋体" w:eastAsia="宋体" w:hint="default"/>
        </w:rPr>
        <w:t>以及整个社会所创造的真正价值。</w:t>
      </w:r>
    </w:p>
    <w:p>
      <w:pPr>
        <w:spacing w:after="0" w:line="312" w:lineRule="exact"/>
        <w:jc w:val="both"/>
        <w:rPr>
          <w:rFonts w:ascii="宋体" w:hAnsi="宋体" w:cs="宋体" w:eastAsia="宋体" w:hint="default"/>
        </w:rPr>
        <w:sectPr>
          <w:pgSz w:w="11910" w:h="16840"/>
          <w:pgMar w:header="851" w:footer="982" w:top="1220" w:bottom="1180" w:left="1660" w:right="16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5"/>
        <w:spacing w:line="240" w:lineRule="auto" w:before="182"/>
        <w:ind w:right="144"/>
        <w:jc w:val="left"/>
        <w:rPr>
          <w:rFonts w:ascii="宋体" w:hAnsi="宋体" w:cs="宋体" w:eastAsia="宋体" w:hint="default"/>
          <w:b w:val="0"/>
          <w:bCs w:val="0"/>
        </w:rPr>
      </w:pPr>
      <w:bookmarkStart w:name="_bookmark26" w:id="31"/>
      <w:bookmarkEnd w:id="31"/>
      <w:r>
        <w:rPr>
          <w:b w:val="0"/>
          <w:bCs w:val="0"/>
        </w:rPr>
      </w:r>
      <w:r>
        <w:rPr>
          <w:rFonts w:ascii="宋体" w:hAnsi="宋体" w:cs="宋体" w:eastAsia="宋体" w:hint="default"/>
        </w:rPr>
        <w:t>七、展望未来</w:t>
      </w:r>
      <w:r>
        <w:rPr>
          <w:rFonts w:ascii="宋体" w:hAnsi="宋体" w:cs="宋体" w:eastAsia="宋体" w:hint="default"/>
          <w:b w:val="0"/>
          <w:bCs w:val="0"/>
        </w:rPr>
      </w:r>
    </w:p>
    <w:p>
      <w:pPr>
        <w:spacing w:line="240" w:lineRule="auto" w:before="0"/>
        <w:rPr>
          <w:rFonts w:ascii="宋体" w:hAnsi="宋体" w:cs="宋体" w:eastAsia="宋体" w:hint="default"/>
          <w:b/>
          <w:bCs/>
          <w:sz w:val="28"/>
          <w:szCs w:val="28"/>
        </w:rPr>
      </w:pPr>
    </w:p>
    <w:p>
      <w:pPr>
        <w:pStyle w:val="BodyText"/>
        <w:spacing w:line="312" w:lineRule="exact" w:before="190"/>
        <w:ind w:right="237" w:firstLine="480"/>
        <w:jc w:val="both"/>
        <w:rPr>
          <w:rFonts w:ascii="宋体" w:hAnsi="宋体" w:cs="宋体" w:eastAsia="宋体" w:hint="default"/>
        </w:rPr>
      </w:pPr>
      <w:r>
        <w:rPr>
          <w:rFonts w:ascii="宋体" w:hAnsi="宋体" w:cs="宋体" w:eastAsia="宋体" w:hint="default"/>
        </w:rPr>
        <w:t>东软的目标是成为全球优秀的 IT</w:t>
      </w:r>
      <w:r>
        <w:rPr>
          <w:rFonts w:ascii="宋体" w:hAnsi="宋体" w:cs="宋体" w:eastAsia="宋体" w:hint="default"/>
          <w:spacing w:val="-94"/>
        </w:rPr>
        <w:t> </w:t>
      </w:r>
      <w:r>
        <w:rPr>
          <w:rFonts w:ascii="宋体" w:hAnsi="宋体" w:cs="宋体" w:eastAsia="宋体" w:hint="default"/>
        </w:rPr>
        <w:t>解决方案与服务供应商，成为优秀的企业</w:t>
      </w:r>
      <w:r>
        <w:rPr>
          <w:rFonts w:ascii="宋体" w:hAnsi="宋体" w:cs="宋体" w:eastAsia="宋体" w:hint="default"/>
        </w:rPr>
        <w:t> 公民，承担更多的社会责任。</w:t>
      </w:r>
    </w:p>
    <w:p>
      <w:pPr>
        <w:pStyle w:val="BodyText"/>
        <w:spacing w:line="312" w:lineRule="exact" w:before="156"/>
        <w:ind w:right="237" w:firstLine="480"/>
        <w:jc w:val="both"/>
        <w:rPr>
          <w:rFonts w:ascii="宋体" w:hAnsi="宋体" w:cs="宋体" w:eastAsia="宋体" w:hint="default"/>
        </w:rPr>
      </w:pPr>
      <w:r>
        <w:rPr>
          <w:rFonts w:ascii="宋体" w:hAnsi="宋体" w:cs="宋体" w:eastAsia="宋体" w:hint="default"/>
          <w:spacing w:val="-3"/>
        </w:rPr>
        <w:t>作为企业公民，履行社会责任最首要的是把企业本身做好，推动企业的可持</w:t>
      </w:r>
      <w:r>
        <w:rPr>
          <w:rFonts w:ascii="宋体" w:hAnsi="宋体" w:cs="宋体" w:eastAsia="宋体" w:hint="default"/>
        </w:rPr>
        <w:t> </w:t>
      </w:r>
      <w:r>
        <w:rPr>
          <w:rFonts w:ascii="宋体" w:hAnsi="宋体" w:cs="宋体" w:eastAsia="宋体" w:hint="default"/>
          <w:spacing w:val="-3"/>
        </w:rPr>
        <w:t>续发展。为此，公司将持续关注企业利益相关者的利益，通过不断建立健全公司</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法人治理结构，规范公司运作体系，注重对人力资源和研发的投入，持续推动技</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术和商业模式创新，提高运营效率，结合市场需求为社会、客户提供更好的产品</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rPr>
        <w:t>与服务，帮助更多的行业和企业推进信息化建设。</w:t>
      </w:r>
    </w:p>
    <w:p>
      <w:pPr>
        <w:pStyle w:val="BodyText"/>
        <w:spacing w:line="312" w:lineRule="exact" w:before="156"/>
        <w:ind w:right="237" w:firstLine="480"/>
        <w:jc w:val="both"/>
        <w:rPr>
          <w:rFonts w:ascii="宋体" w:hAnsi="宋体" w:cs="宋体" w:eastAsia="宋体" w:hint="default"/>
        </w:rPr>
      </w:pPr>
      <w:r>
        <w:rPr>
          <w:rFonts w:ascii="宋体" w:hAnsi="宋体" w:cs="宋体" w:eastAsia="宋体" w:hint="default"/>
          <w:spacing w:val="-3"/>
        </w:rPr>
        <w:t>今天的软件是一种大规模的、有组织的、有度量、有预见的生产过程，我们</w:t>
      </w:r>
      <w:r>
        <w:rPr>
          <w:rFonts w:ascii="宋体" w:hAnsi="宋体" w:cs="宋体" w:eastAsia="宋体" w:hint="default"/>
        </w:rPr>
        <w:t> </w:t>
      </w:r>
      <w:r>
        <w:rPr>
          <w:rFonts w:ascii="宋体" w:hAnsi="宋体" w:cs="宋体" w:eastAsia="宋体" w:hint="default"/>
          <w:spacing w:val="-3"/>
        </w:rPr>
        <w:t>将更加注重细节，不断提升员工的责任感，使得我们每一步的发展都对客户、对</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3"/>
        </w:rPr>
        <w:t>股东、对社会有价值，使得每一年我们的客户都能直接地享受到更多的专业化产</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品和服务，使得每一年我们的股东都能分享到公司快速发展的成果，使得每一年</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spacing w:val="-3"/>
        </w:rPr>
        <w:t>公司都能推动社会的发展与创新，实现公司与员工的共同价值，帮助更多的社会</w:t>
      </w:r>
      <w:r>
        <w:rPr>
          <w:rFonts w:ascii="宋体" w:hAnsi="宋体" w:cs="宋体" w:eastAsia="宋体" w:hint="default"/>
          <w:spacing w:val="-109"/>
        </w:rPr>
        <w:t> </w:t>
      </w:r>
      <w:r>
        <w:rPr>
          <w:rFonts w:ascii="宋体" w:hAnsi="宋体" w:cs="宋体" w:eastAsia="宋体" w:hint="default"/>
          <w:spacing w:val="-109"/>
        </w:rPr>
      </w:r>
      <w:r>
        <w:rPr>
          <w:rFonts w:ascii="宋体" w:hAnsi="宋体" w:cs="宋体" w:eastAsia="宋体" w:hint="default"/>
        </w:rPr>
        <w:t>群体。</w:t>
      </w:r>
    </w:p>
    <w:p>
      <w:pPr>
        <w:pStyle w:val="BodyText"/>
        <w:spacing w:line="312" w:lineRule="exact" w:before="156"/>
        <w:ind w:right="100" w:firstLine="480"/>
        <w:jc w:val="left"/>
        <w:rPr>
          <w:rFonts w:ascii="宋体" w:hAnsi="宋体" w:cs="宋体" w:eastAsia="宋体" w:hint="default"/>
        </w:rPr>
      </w:pPr>
      <w:r>
        <w:rPr>
          <w:rFonts w:ascii="宋体" w:hAnsi="宋体" w:cs="宋体" w:eastAsia="宋体" w:hint="default"/>
          <w:spacing w:val="-3"/>
        </w:rPr>
        <w:t>未来，公司将不断完善公司的社会责任体系建设，将社会责任的理念融入到</w:t>
      </w:r>
      <w:r>
        <w:rPr>
          <w:rFonts w:ascii="宋体" w:hAnsi="宋体" w:cs="宋体" w:eastAsia="宋体" w:hint="default"/>
        </w:rPr>
        <w:t> </w:t>
      </w:r>
      <w:r>
        <w:rPr>
          <w:rFonts w:ascii="宋体" w:hAnsi="宋体" w:cs="宋体" w:eastAsia="宋体" w:hint="default"/>
          <w:spacing w:val="-3"/>
        </w:rPr>
        <w:t>公司的日常管理和员工的日常工作之中，恪守对社会负责、对客户负责、对股东</w:t>
      </w:r>
      <w:r>
        <w:rPr>
          <w:rFonts w:ascii="宋体" w:hAnsi="宋体" w:cs="宋体" w:eastAsia="宋体" w:hint="default"/>
          <w:spacing w:val="-111"/>
        </w:rPr>
        <w:t> </w:t>
      </w:r>
      <w:r>
        <w:rPr>
          <w:rFonts w:ascii="宋体" w:hAnsi="宋体" w:cs="宋体" w:eastAsia="宋体" w:hint="default"/>
          <w:spacing w:val="-111"/>
        </w:rPr>
      </w:r>
      <w:r>
        <w:rPr>
          <w:rFonts w:ascii="宋体" w:hAnsi="宋体" w:cs="宋体" w:eastAsia="宋体" w:hint="default"/>
          <w:spacing w:val="-6"/>
        </w:rPr>
        <w:t>负责、对员工负责的理念，继续认真履行企业公民的职责，努力实现企业与社会、</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客户、股东、员工的共同发展。</w:t>
      </w:r>
    </w:p>
    <w:p>
      <w:pPr>
        <w:spacing w:after="0" w:line="312" w:lineRule="exact"/>
        <w:jc w:val="left"/>
        <w:rPr>
          <w:rFonts w:ascii="宋体" w:hAnsi="宋体" w:cs="宋体" w:eastAsia="宋体" w:hint="default"/>
        </w:rPr>
        <w:sectPr>
          <w:pgSz w:w="11910" w:h="16840"/>
          <w:pgMar w:header="851" w:footer="982" w:top="1220" w:bottom="1180" w:left="1660" w:right="15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61"/>
        <w:ind w:right="0"/>
        <w:jc w:val="left"/>
        <w:rPr>
          <w:rFonts w:ascii="宋体" w:hAnsi="宋体" w:cs="宋体" w:eastAsia="宋体" w:hint="default"/>
        </w:rPr>
      </w:pPr>
      <w:r>
        <w:rPr>
          <w:rFonts w:ascii="宋体" w:hAnsi="宋体" w:cs="宋体" w:eastAsia="宋体" w:hint="default"/>
        </w:rPr>
        <w:t>东软集团股份有限公司</w:t>
      </w:r>
    </w:p>
    <w:p>
      <w:pPr>
        <w:pStyle w:val="BodyText"/>
        <w:spacing w:line="312" w:lineRule="exact" w:before="184"/>
        <w:ind w:right="3504"/>
        <w:jc w:val="left"/>
        <w:rPr>
          <w:rFonts w:ascii="宋体" w:hAnsi="宋体" w:cs="宋体" w:eastAsia="宋体" w:hint="default"/>
        </w:rPr>
      </w:pPr>
      <w:r>
        <w:rPr>
          <w:rFonts w:ascii="宋体" w:hAnsi="宋体" w:cs="宋体" w:eastAsia="宋体" w:hint="default"/>
        </w:rPr>
        <w:t>中国·沈阳浑南新区新秀街</w:t>
      </w:r>
      <w:r>
        <w:rPr>
          <w:rFonts w:ascii="宋体" w:hAnsi="宋体" w:cs="宋体" w:eastAsia="宋体" w:hint="default"/>
          <w:spacing w:val="-60"/>
        </w:rPr>
        <w:t> </w:t>
      </w:r>
      <w:r>
        <w:rPr>
          <w:rFonts w:ascii="宋体" w:hAnsi="宋体" w:cs="宋体" w:eastAsia="宋体" w:hint="default"/>
        </w:rPr>
        <w:t>2</w:t>
      </w:r>
      <w:r>
        <w:rPr>
          <w:rFonts w:ascii="宋体" w:hAnsi="宋体" w:cs="宋体" w:eastAsia="宋体" w:hint="default"/>
          <w:spacing w:val="-60"/>
        </w:rPr>
        <w:t> </w:t>
      </w:r>
      <w:r>
        <w:rPr>
          <w:rFonts w:ascii="宋体" w:hAnsi="宋体" w:cs="宋体" w:eastAsia="宋体" w:hint="default"/>
        </w:rPr>
        <w:t>号 董事会办公室</w:t>
      </w:r>
      <w:r>
        <w:rPr>
          <w:rFonts w:ascii="宋体" w:hAnsi="宋体" w:cs="宋体" w:eastAsia="宋体" w:hint="default"/>
        </w:rPr>
        <w:t> 邮编：100179</w:t>
      </w:r>
    </w:p>
    <w:p>
      <w:pPr>
        <w:pStyle w:val="BodyText"/>
        <w:spacing w:line="282" w:lineRule="exact"/>
        <w:ind w:right="0"/>
        <w:jc w:val="left"/>
        <w:rPr>
          <w:rFonts w:ascii="宋体" w:hAnsi="宋体" w:cs="宋体" w:eastAsia="宋体" w:hint="default"/>
        </w:rPr>
      </w:pPr>
      <w:r>
        <w:rPr>
          <w:rFonts w:ascii="宋体" w:hAnsi="宋体" w:cs="宋体" w:eastAsia="宋体" w:hint="default"/>
        </w:rPr>
        <w:t>电话：(86 24) 8366 2115</w:t>
      </w:r>
    </w:p>
    <w:p>
      <w:pPr>
        <w:pStyle w:val="BodyText"/>
        <w:spacing w:line="313" w:lineRule="exact"/>
        <w:ind w:right="0"/>
        <w:jc w:val="left"/>
        <w:rPr>
          <w:rFonts w:ascii="宋体" w:hAnsi="宋体" w:cs="宋体" w:eastAsia="宋体" w:hint="default"/>
        </w:rPr>
      </w:pPr>
      <w:r>
        <w:rPr>
          <w:rFonts w:ascii="宋体" w:hAnsi="宋体" w:cs="宋体" w:eastAsia="宋体" w:hint="default"/>
        </w:rPr>
        <w:t>传真：(86 24) 2378 3375</w:t>
      </w:r>
    </w:p>
    <w:p>
      <w:pPr>
        <w:pStyle w:val="BodyText"/>
        <w:spacing w:line="240" w:lineRule="auto" w:before="154"/>
        <w:ind w:right="0"/>
        <w:jc w:val="left"/>
        <w:rPr>
          <w:rFonts w:ascii="宋体" w:hAnsi="宋体" w:cs="宋体" w:eastAsia="宋体" w:hint="default"/>
        </w:rPr>
      </w:pPr>
      <w:hyperlink r:id="rId9">
        <w:r>
          <w:rPr>
            <w:rFonts w:ascii="宋体"/>
          </w:rPr>
          <w:t>www.neusoft.com</w:t>
        </w:r>
      </w:hyperlink>
    </w:p>
    <w:sectPr>
      <w:pgSz w:w="11910" w:h="16840"/>
      <w:pgMar w:header="851" w:footer="982" w:top="1220" w:bottom="1180" w:left="1660" w:right="1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黑体">
    <w:altName w:val="黑体"/>
    <w:charset w:val="86"/>
    <w:family w:val="modern"/>
    <w:pitch w:val="fixed"/>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292.596985pt;margin-top:794.668335pt;width:13pt;height:11pt;mso-position-horizontal-relative:page;mso-position-vertical-relative:page;z-index:-99642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30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0.990501pt;margin-top:501.025513pt;width:173pt;height:11pt;mso-position-horizontal-relative:page;mso-position-vertical-relative:page;z-index:-99601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txbxContent>
          </v:textbox>
          <w10:wrap type="none"/>
        </v:shape>
      </w:pict>
    </w:r>
    <w:r>
      <w:rPr/>
      <w:pict>
        <v:shape style="position:absolute;margin-left:70.990501pt;margin-top:516.145508pt;width:101pt;height:11pt;mso-position-horizontal-relative:page;mso-position-vertical-relative:page;z-index:-99599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r>
              </w:p>
            </w:txbxContent>
          </v:textbox>
          <w10:wrap type="none"/>
        </v:shape>
      </w:pict>
    </w:r>
    <w:r>
      <w:rPr/>
      <w:pict>
        <v:shape style="position:absolute;margin-left:183.490494pt;margin-top:516.145508pt;width:110pt;height:11pt;mso-position-horizontal-relative:page;mso-position-vertical-relative:page;z-index:-995968" type="#_x0000_t202" filled="false" stroked="false">
          <v:textbox inset="0,0,0,0">
            <w:txbxContent>
              <w:p>
                <w:pPr>
                  <w:tabs>
                    <w:tab w:pos="559" w:val="left" w:leader="none"/>
                  </w:tabs>
                  <w:spacing w:line="200" w:lineRule="exact" w:before="0"/>
                  <w:ind w:left="20" w:right="0" w:firstLine="0"/>
                  <w:jc w:val="left"/>
                  <w:rPr>
                    <w:rFonts w:ascii="宋体" w:hAnsi="宋体" w:cs="宋体" w:eastAsia="宋体" w:hint="default"/>
                    <w:sz w:val="18"/>
                    <w:szCs w:val="18"/>
                  </w:rPr>
                </w:pPr>
                <w:r>
                  <w:rPr>
                    <w:rFonts w:ascii="宋体"/>
                    <w:sz w:val="18"/>
                  </w:rPr>
                  <w:t>   </w:t>
                  <w:tab/>
                  <w:t>                  </w:t>
                </w:r>
              </w:p>
            </w:txbxContent>
          </v:textbox>
          <w10:wrap type="none"/>
        </v:shape>
      </w:pict>
    </w:r>
    <w:r>
      <w:rPr/>
      <w:pict>
        <v:shape style="position:absolute;margin-left:331.990509pt;margin-top:516.145508pt;width:164pt;height:29.65pt;mso-position-horizontal-relative:page;mso-position-vertical-relative:page;z-index:-99594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主管会计工作负责人：王莉            </w:t>
                </w:r>
              </w:p>
              <w:p>
                <w:pPr>
                  <w:spacing w:before="127"/>
                  <w:ind w:left="1239" w:right="0" w:firstLine="0"/>
                  <w:jc w:val="left"/>
                  <w:rPr>
                    <w:rFonts w:ascii="宋体" w:hAnsi="宋体" w:cs="宋体" w:eastAsia="宋体" w:hint="default"/>
                    <w:sz w:val="18"/>
                    <w:szCs w:val="18"/>
                  </w:rPr>
                </w:pPr>
                <w:r>
                  <w:rPr>
                    <w:rFonts w:ascii="宋体" w:hAnsi="宋体" w:cs="宋体" w:eastAsia="宋体" w:hint="default"/>
                    <w:sz w:val="18"/>
                    <w:szCs w:val="18"/>
                  </w:rPr>
                  <w:t>报表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12</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r>
      <w:rPr/>
      <w:pict>
        <v:shape style="position:absolute;margin-left:520.990479pt;margin-top:516.145508pt;width:20pt;height:11pt;mso-position-horizontal-relative:page;mso-position-vertical-relative:page;z-index:-99592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sz w:val="18"/>
                  </w:rPr>
                  <w:t>    </w:t>
                </w:r>
              </w:p>
            </w:txbxContent>
          </v:textbox>
          <w10:wrap type="none"/>
        </v:shape>
      </w:pict>
    </w:r>
    <w:r>
      <w:rPr/>
      <w:pict>
        <v:shape style="position:absolute;margin-left:561.490479pt;margin-top:516.145508pt;width:92pt;height:11pt;mso-position-horizontal-relative:page;mso-position-vertical-relative:page;z-index:-99589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会计机构负责人：陈雷</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4.799988pt;margin-top:780.865295pt;width:91.95pt;height:11.5pt;mso-position-horizontal-relative:page;mso-position-vertical-relative:page;z-index:-9958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6.030487pt;margin-top:534.265503pt;width:91.95pt;height:11.5pt;mso-position-horizontal-relative:page;mso-position-vertical-relative:page;z-index:-99577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19</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55.320007pt;margin-top:780.865295pt;width:91.95pt;height:11.5pt;mso-position-horizontal-relative:page;mso-position-vertical-relative:page;z-index:-99570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25</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0.490509pt;margin-top:534.265503pt;width:91.95pt;height:11.5pt;mso-position-horizontal-relative:page;mso-position-vertical-relative:page;z-index:-99563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36</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4.320007pt;margin-top:780.865295pt;width:91.95pt;height:11.5pt;mso-position-horizontal-relative:page;mso-position-vertical-relative:page;z-index:-9955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39</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4.320007pt;margin-top:780.865295pt;width:91.95pt;height:11.5pt;mso-position-horizontal-relative:page;mso-position-vertical-relative:page;z-index:-99556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43</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4.320007pt;margin-top:780.865295pt;width:91.95pt;height:11.5pt;mso-position-horizontal-relative:page;mso-position-vertical-relative:page;z-index:-99553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60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4.9505pt;margin-top:534.265503pt;width:91.95pt;height:11.5pt;mso-position-horizontal-relative:page;mso-position-vertical-relative:page;z-index:-9954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63</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59.820007pt;margin-top:780.865295pt;width:91.95pt;height:11.5pt;mso-position-horizontal-relative:page;mso-position-vertical-relative:page;z-index:-99541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67</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4.9505pt;margin-top:534.265503pt;width:91.95pt;height:11.5pt;mso-position-horizontal-relative:page;mso-position-vertical-relative:page;z-index:-9953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77</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51.660004pt;margin-top:780.865295pt;width:91.95pt;height:11.5pt;mso-position-horizontal-relative:page;mso-position-vertical-relative:page;z-index:-99529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79</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80005pt;margin-top:781.897522pt;width:8.5pt;height:11pt;mso-position-horizontal-relative:page;mso-position-vertical-relative:page;z-index:-9952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80005pt;margin-top:781.897522pt;width:8.5pt;height:11pt;mso-position-horizontal-relative:page;mso-position-vertical-relative:page;z-index:-9952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80005pt;margin-top:781.897522pt;width:8.5pt;height:11pt;mso-position-horizontal-relative:page;mso-position-vertical-relative:page;z-index:-9952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80005pt;margin-top:781.897522pt;width:8.5pt;height:11pt;mso-position-horizontal-relative:page;mso-position-vertical-relative:page;z-index:-9952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80005pt;margin-top:781.897522pt;width:8.5pt;height:11pt;mso-position-horizontal-relative:page;mso-position-vertical-relative:page;z-index:-9951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80005pt;margin-top:781.897522pt;width:8.5pt;height:11pt;mso-position-horizontal-relative:page;mso-position-vertical-relative:page;z-index:-9951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60004pt;margin-top:780.865295pt;width:65pt;height:11.5pt;mso-position-horizontal-relative:page;mso-position-vertical-relative:page;z-index:-99640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审计报告第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w:t>
                </w:r>
                <w:r>
                  <w:rPr/>
                  <w:fldChar w:fldCharType="end"/>
                </w:r>
                <w:r>
                  <w:rPr>
                    <w:rFonts w:ascii="Times New Roman" w:hAnsi="Times New Roman" w:cs="Times New Roman" w:eastAsia="Times New Roman" w:hint="default"/>
                    <w:sz w:val="18"/>
                    <w:szCs w:val="18"/>
                  </w:rPr>
                  <w:t> </w:t>
                </w:r>
                <w:r>
                  <w:rPr>
                    <w:rFonts w:ascii="宋体" w:hAnsi="宋体" w:cs="宋体" w:eastAsia="宋体" w:hint="default"/>
                    <w:sz w:val="18"/>
                    <w:szCs w:val="18"/>
                  </w:rPr>
                  <w:t>页</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9950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60004pt;margin-top:780.865295pt;width:65pt;height:11.5pt;mso-position-horizontal-relative:page;mso-position-vertical-relative:page;z-index:-99637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审计报告第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w:t>
                </w:r>
                <w:r>
                  <w:rPr/>
                  <w:fldChar w:fldCharType="end"/>
                </w:r>
                <w:r>
                  <w:rPr>
                    <w:rFonts w:ascii="Times New Roman" w:hAnsi="Times New Roman" w:cs="Times New Roman" w:eastAsia="Times New Roman" w:hint="default"/>
                    <w:sz w:val="18"/>
                    <w:szCs w:val="18"/>
                  </w:rPr>
                  <w:t> </w:t>
                </w:r>
                <w:r>
                  <w:rPr>
                    <w:rFonts w:ascii="宋体" w:hAnsi="宋体" w:cs="宋体" w:eastAsia="宋体" w:hint="default"/>
                    <w:sz w:val="18"/>
                    <w:szCs w:val="18"/>
                  </w:rPr>
                  <w:t>页</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8.579987pt;margin-top:780.865295pt;width:51.45pt;height:11.5pt;mso-position-horizontal-relative:page;mso-position-vertical-relative:page;z-index:-99632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报表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8.879997pt;margin-top:720.865295pt;width:173pt;height:11pt;mso-position-horizontal-relative:page;mso-position-vertical-relative:page;z-index:-99630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txbxContent>
          </v:textbox>
          <w10:wrap type="none"/>
        </v:shape>
      </w:pict>
    </w:r>
    <w:r>
      <w:rPr/>
      <w:pict>
        <v:shape style="position:absolute;margin-left:88.879997pt;margin-top:749.605042pt;width:101pt;height:11pt;mso-position-horizontal-relative:page;mso-position-vertical-relative:page;z-index:-99628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r>
              </w:p>
            </w:txbxContent>
          </v:textbox>
          <w10:wrap type="none"/>
        </v:shape>
      </w:pict>
    </w:r>
    <w:r>
      <w:rPr/>
      <w:pict>
        <v:shape style="position:absolute;margin-left:237.380005pt;margin-top:749.605042pt;width:110pt;height:11pt;mso-position-horizontal-relative:page;mso-position-vertical-relative:page;z-index:-99625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主管会计工作负责人：王莉</w:t>
                </w:r>
              </w:p>
            </w:txbxContent>
          </v:textbox>
          <w10:wrap type="none"/>
        </v:shape>
      </w:pict>
    </w:r>
    <w:r>
      <w:rPr/>
      <w:pict>
        <v:shape style="position:absolute;margin-left:399.380005pt;margin-top:749.605042pt;width:92pt;height:11pt;mso-position-horizontal-relative:page;mso-position-vertical-relative:page;z-index:-99623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会计机构负责人：陈雷</w:t>
                </w:r>
              </w:p>
            </w:txbxContent>
          </v:textbox>
          <w10:wrap type="none"/>
        </v:shape>
      </w:pict>
    </w:r>
    <w:r>
      <w:rPr/>
      <w:pict>
        <v:shape style="position:absolute;margin-left:268.579987pt;margin-top:780.865295pt;width:51.45pt;height:11.5pt;mso-position-horizontal-relative:page;mso-position-vertical-relative:page;z-index:-9962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报表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8.879997pt;margin-top:752.90564pt;width:101pt;height:11pt;mso-position-horizontal-relative:page;mso-position-vertical-relative:page;z-index:-99618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r>
              </w:p>
            </w:txbxContent>
          </v:textbox>
          <w10:wrap type="none"/>
        </v:shape>
      </w:pict>
    </w:r>
    <w:r>
      <w:rPr/>
      <w:pict>
        <v:shape style="position:absolute;margin-left:237.380005pt;margin-top:752.90564pt;width:110pt;height:11pt;mso-position-horizontal-relative:page;mso-position-vertical-relative:page;z-index:-99616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主管会计工作负责人：王莉</w:t>
                </w:r>
              </w:p>
            </w:txbxContent>
          </v:textbox>
          <w10:wrap type="none"/>
        </v:shape>
      </w:pict>
    </w:r>
    <w:r>
      <w:rPr/>
      <w:pict>
        <v:shape style="position:absolute;margin-left:399.380005pt;margin-top:752.90564pt;width:92pt;height:11pt;mso-position-horizontal-relative:page;mso-position-vertical-relative:page;z-index:-99613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会计机构负责人：陈雷</w:t>
                </w:r>
              </w:p>
            </w:txbxContent>
          </v:textbox>
          <w10:wrap type="none"/>
        </v:shape>
      </w:pict>
    </w:r>
    <w:r>
      <w:rPr/>
      <w:pict>
        <v:shape style="position:absolute;margin-left:268.579987pt;margin-top:780.865295pt;width:51.45pt;height:11.5pt;mso-position-horizontal-relative:page;mso-position-vertical-relative:page;z-index:-9961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报表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8.579987pt;margin-top:780.865295pt;width:51.45pt;height:11.5pt;mso-position-horizontal-relative:page;mso-position-vertical-relative:page;z-index:-99608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报表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5</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2.9505pt;margin-top:534.265503pt;width:55.95pt;height:11.5pt;mso-position-horizontal-relative:page;mso-position-vertical-relative:page;z-index:-9960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报表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039993pt;margin-top:35.99968pt;width:92.220001pt;height:15.240006pt;mso-position-horizontal-relative:page;mso-position-vertical-relative:page;z-index:-996496" type="#_x0000_t75" stroked="false">
          <v:imagedata r:id="rId1" o:title=""/>
        </v:shape>
      </w:pict>
    </w:r>
    <w:r>
      <w:rPr/>
      <w:pict>
        <v:group style="position:absolute;margin-left:66.540001pt;margin-top:55.259998pt;width:465.15pt;height:.1pt;mso-position-horizontal-relative:page;mso-position-vertical-relative:page;z-index:-996472" coordorigin="1331,1105" coordsize="9303,2">
          <v:shape style="position:absolute;left:1331;top:1105;width:9303;height:2" coordorigin="1331,1105" coordsize="9303,0" path="m1331,1105l10633,1105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70.76001pt;margin-top:42.505325pt;width:152.75pt;height:11pt;mso-position-horizontal-relative:page;mso-position-vertical-relative:page;z-index:-99644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79.800003pt;width:732pt;height:.1pt;mso-position-horizontal-relative:page;mso-position-vertical-relative:page;z-index:-995680" coordorigin="1410,1596" coordsize="14640,2">
          <v:shape style="position:absolute;left:1410;top:1596;width:14640;height:2" coordorigin="1410,1596" coordsize="14640,0" path="m1410,1596l16050,1596e" filled="false" stroked="true" strokeweight=".48001pt" strokecolor="#000000">
            <v:path arrowok="t"/>
          </v:shape>
          <w10:wrap type="none"/>
        </v:group>
      </w:pict>
    </w:r>
    <w:r>
      <w:rPr/>
      <w:pict>
        <v:shape style="position:absolute;margin-left:70.990501pt;margin-top:43.165627pt;width:92pt;height:35.1pt;mso-position-horizontal-relative:page;mso-position-vertical-relative:page;z-index:-99565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64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 </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43.165325pt;width:92pt;height:35.1pt;mso-position-horizontal-relative:page;mso-position-vertical-relative:page;z-index:-99560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64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 </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79.800003pt;width:700.95pt;height:.1pt;mso-position-horizontal-relative:page;mso-position-vertical-relative:page;z-index:-995512" coordorigin="1410,1596" coordsize="14019,2">
          <v:shape style="position:absolute;left:1410;top:1596;width:14019;height:2" coordorigin="1410,1596" coordsize="14019,0" path="m1410,1596l15428,1596e" filled="false" stroked="true" strokeweight=".48001pt" strokecolor="#000000">
            <v:path arrowok="t"/>
          </v:shape>
          <w10:wrap type="none"/>
        </v:group>
      </w:pict>
    </w:r>
    <w:r>
      <w:rPr/>
      <w:pict>
        <v:shape style="position:absolute;margin-left:70.990501pt;margin-top:43.165627pt;width:92pt;height:35.1pt;mso-position-horizontal-relative:page;mso-position-vertical-relative:page;z-index:-99548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64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 </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0pt;margin-top:43.165325pt;width:92pt;height:35.1pt;mso-position-horizontal-relative:page;mso-position-vertical-relative:page;z-index:-99544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64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 </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79.800003pt;width:700.95pt;height:.1pt;mso-position-horizontal-relative:page;mso-position-vertical-relative:page;z-index:-995392" coordorigin="1410,1596" coordsize="14019,2">
          <v:shape style="position:absolute;left:1410;top:1596;width:14019;height:2" coordorigin="1410,1596" coordsize="14019,0" path="m1410,1596l15428,1596e" filled="false" stroked="true" strokeweight=".48001pt" strokecolor="#000000">
            <v:path arrowok="t"/>
          </v:shape>
          <w10:wrap type="none"/>
        </v:group>
      </w:pict>
    </w:r>
    <w:r>
      <w:rPr/>
      <w:pict>
        <v:shape style="position:absolute;margin-left:70.990501pt;margin-top:43.165627pt;width:92pt;height:35.1pt;mso-position-horizontal-relative:page;mso-position-vertical-relative:page;z-index:-99536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64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 </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43.165325pt;width:92pt;height:35.1pt;mso-position-horizontal-relative:page;mso-position-vertical-relative:page;z-index:-99532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64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 </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1.37999pt;margin-top:42.539658pt;width:92.220001pt;height:15.240006pt;mso-position-horizontal-relative:page;mso-position-vertical-relative:page;z-index:-995128" type="#_x0000_t75" stroked="false">
          <v:imagedata r:id="rId1" o:title=""/>
        </v:shape>
      </w:pict>
    </w:r>
    <w:r>
      <w:rPr/>
      <w:pict>
        <v:group style="position:absolute;margin-left:88.5pt;margin-top:60.779999pt;width:418.35pt;height:.1pt;mso-position-horizontal-relative:page;mso-position-vertical-relative:page;z-index:-995104" coordorigin="1770,1216" coordsize="8367,2">
          <v:shape style="position:absolute;left:1770;top:1216;width:8367;height:2" coordorigin="1770,1216" coordsize="8367,0" path="m1770,1216l10136,1216e" filled="false" stroked="true" strokeweight=".72pt" strokecolor="#000000">
            <v:path arrowok="t"/>
          </v:shape>
          <w10:wrap type="none"/>
        </v:group>
      </w:pict>
    </w:r>
    <w:r>
      <w:rPr/>
      <w:pict>
        <v:shape style="position:absolute;margin-left:412.100006pt;margin-top:49.045326pt;width:94.25pt;height:11.5pt;mso-position-horizontal-relative:page;mso-position-vertical-relative:page;z-index:-99508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年度社会责任报告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43.080002pt;margin-top:55.488762pt;width:102.4pt;height:12.05pt;mso-position-horizontal-relative:page;mso-position-vertical-relative:page;z-index:-996352" type="#_x0000_t202" filled="false" stroked="false">
          <v:textbox inset="0,0,0,0">
            <w:txbxContent>
              <w:p>
                <w:pPr>
                  <w:spacing w:line="220" w:lineRule="exact" w:before="0"/>
                  <w:ind w:left="20" w:right="0" w:firstLine="0"/>
                  <w:jc w:val="left"/>
                  <w:rPr>
                    <w:rFonts w:ascii="宋体" w:hAnsi="宋体" w:cs="宋体" w:eastAsia="宋体" w:hint="default"/>
                    <w:sz w:val="20"/>
                    <w:szCs w:val="20"/>
                  </w:rPr>
                </w:pPr>
                <w:r>
                  <w:rPr>
                    <w:rFonts w:ascii="宋体" w:hAnsi="宋体" w:cs="宋体" w:eastAsia="宋体" w:hint="default"/>
                    <w:sz w:val="20"/>
                    <w:szCs w:val="20"/>
                  </w:rPr>
                  <w:t>东软集团股份有限公司</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7.270508pt;margin-top:72.536560pt;width:107.4pt;height:12.5pt;mso-position-horizontal-relative:page;mso-position-vertical-relative:page;z-index:-996064"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东软集团股份有限公司</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43.165325pt;width:92pt;height:35.1pt;mso-position-horizontal-relative:page;mso-position-vertical-relative:page;z-index:-99587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64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 </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79.800003pt;width:703.05pt;height:.1pt;mso-position-horizontal-relative:page;mso-position-vertical-relative:page;z-index:-995824" coordorigin="1410,1596" coordsize="14061,2">
          <v:shape style="position:absolute;left:1410;top:1596;width:14061;height:2" coordorigin="1410,1596" coordsize="14061,0" path="m1410,1596l15470,1596e" filled="false" stroked="true" strokeweight=".48001pt" strokecolor="#000000">
            <v:path arrowok="t"/>
          </v:shape>
          <w10:wrap type="none"/>
        </v:group>
      </w:pict>
    </w:r>
    <w:r>
      <w:rPr/>
      <w:pict>
        <v:shape style="position:absolute;margin-left:70.990501pt;margin-top:43.165627pt;width:92pt;height:35.1pt;mso-position-horizontal-relative:page;mso-position-vertical-relative:page;z-index:-99580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64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 </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pt;margin-top:79.800011pt;width:461.6pt;height:.1pt;mso-position-horizontal-relative:page;mso-position-vertical-relative:page;z-index:-995752" coordorigin="1410,1596" coordsize="9232,2">
          <v:shape style="position:absolute;left:1410;top:1596;width:9232;height:2" coordorigin="1410,1596" coordsize="9232,0" path="m1410,1596l10642,1596e" filled="false" stroked="true" strokeweight=".47998pt" strokecolor="#000000">
            <v:path arrowok="t"/>
          </v:shape>
          <w10:wrap type="none"/>
        </v:group>
      </w:pict>
    </w:r>
    <w:r>
      <w:rPr/>
      <w:pict>
        <v:shape style="position:absolute;margin-left:71pt;margin-top:43.165325pt;width:92pt;height:35.1pt;mso-position-horizontal-relative:page;mso-position-vertical-relative:page;z-index:-99572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64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 </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ind w:left="140"/>
    </w:pPr>
    <w:rPr>
      <w:rFonts w:ascii="宋体" w:hAnsi="宋体" w:eastAsia="宋体"/>
      <w:sz w:val="24"/>
      <w:szCs w:val="24"/>
    </w:rPr>
  </w:style>
  <w:style w:styleId="Heading1" w:type="paragraph">
    <w:name w:val="Heading 1"/>
    <w:basedOn w:val="Normal"/>
    <w:uiPriority w:val="1"/>
    <w:qFormat/>
    <w:pPr>
      <w:ind w:left="1671"/>
      <w:outlineLvl w:val="1"/>
    </w:pPr>
    <w:rPr>
      <w:rFonts w:ascii="黑体" w:hAnsi="黑体" w:eastAsia="黑体"/>
      <w:b/>
      <w:bCs/>
      <w:sz w:val="52"/>
      <w:szCs w:val="52"/>
    </w:rPr>
  </w:style>
  <w:style w:styleId="Heading2" w:type="paragraph">
    <w:name w:val="Heading 2"/>
    <w:basedOn w:val="Normal"/>
    <w:uiPriority w:val="1"/>
    <w:qFormat/>
    <w:pPr>
      <w:ind w:left="1504"/>
      <w:outlineLvl w:val="2"/>
    </w:pPr>
    <w:rPr>
      <w:rFonts w:ascii="黑体" w:hAnsi="黑体" w:eastAsia="黑体"/>
      <w:b/>
      <w:bCs/>
      <w:sz w:val="36"/>
      <w:szCs w:val="36"/>
    </w:rPr>
  </w:style>
  <w:style w:styleId="Heading3" w:type="paragraph">
    <w:name w:val="Heading 3"/>
    <w:basedOn w:val="Normal"/>
    <w:uiPriority w:val="1"/>
    <w:qFormat/>
    <w:pPr>
      <w:ind w:left="1904"/>
      <w:outlineLvl w:val="3"/>
    </w:pPr>
    <w:rPr>
      <w:rFonts w:ascii="宋体" w:hAnsi="宋体" w:eastAsia="宋体"/>
      <w:sz w:val="32"/>
      <w:szCs w:val="32"/>
    </w:rPr>
  </w:style>
  <w:style w:styleId="Heading4" w:type="paragraph">
    <w:name w:val="Heading 4"/>
    <w:basedOn w:val="Normal"/>
    <w:uiPriority w:val="1"/>
    <w:qFormat/>
    <w:pPr>
      <w:spacing w:before="47"/>
      <w:ind w:left="2726" w:hanging="375"/>
      <w:outlineLvl w:val="4"/>
    </w:pPr>
    <w:rPr>
      <w:rFonts w:ascii="黑体" w:hAnsi="黑体" w:eastAsia="黑体"/>
      <w:b/>
      <w:bCs/>
      <w:sz w:val="30"/>
      <w:szCs w:val="30"/>
    </w:rPr>
  </w:style>
  <w:style w:styleId="Heading5" w:type="paragraph">
    <w:name w:val="Heading 5"/>
    <w:basedOn w:val="Normal"/>
    <w:uiPriority w:val="1"/>
    <w:qFormat/>
    <w:pPr>
      <w:spacing w:before="13"/>
      <w:ind w:left="140"/>
      <w:outlineLvl w:val="5"/>
    </w:pPr>
    <w:rPr>
      <w:rFonts w:ascii="宋体" w:hAnsi="宋体" w:eastAsia="宋体"/>
      <w:b/>
      <w:bCs/>
      <w:sz w:val="28"/>
      <w:szCs w:val="28"/>
    </w:rPr>
  </w:style>
  <w:style w:styleId="Heading6" w:type="paragraph">
    <w:name w:val="Heading 6"/>
    <w:basedOn w:val="Normal"/>
    <w:uiPriority w:val="1"/>
    <w:qFormat/>
    <w:pPr>
      <w:ind w:left="120"/>
      <w:outlineLvl w:val="6"/>
    </w:pPr>
    <w:rPr>
      <w:rFonts w:ascii="宋体" w:hAnsi="宋体" w:eastAsia="宋体"/>
      <w:sz w:val="28"/>
      <w:szCs w:val="28"/>
    </w:rPr>
  </w:style>
  <w:style w:styleId="Heading7" w:type="paragraph">
    <w:name w:val="Heading 7"/>
    <w:basedOn w:val="Normal"/>
    <w:uiPriority w:val="1"/>
    <w:qFormat/>
    <w:pPr>
      <w:ind w:left="140"/>
      <w:outlineLvl w:val="7"/>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mailto:investor@neusoft.com" TargetMode="External"/><Relationship Id="rId9" Type="http://schemas.openxmlformats.org/officeDocument/2006/relationships/hyperlink" Target="http://www.neusoft.com/" TargetMode="External"/><Relationship Id="rId10" Type="http://schemas.openxmlformats.org/officeDocument/2006/relationships/hyperlink" Target="http://www.sse.com.cn/" TargetMode="External"/><Relationship Id="rId11" Type="http://schemas.openxmlformats.org/officeDocument/2006/relationships/image" Target="media/image2.jpeg"/><Relationship Id="rId12" Type="http://schemas.openxmlformats.org/officeDocument/2006/relationships/hyperlink" Target="http://go.tech.163.com/renwu/data/73.html" TargetMode="Externa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20" Type="http://schemas.openxmlformats.org/officeDocument/2006/relationships/footer" Target="footer5.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header" Target="header6.xml"/><Relationship Id="rId25" Type="http://schemas.openxmlformats.org/officeDocument/2006/relationships/footer" Target="footer9.xml"/><Relationship Id="rId26" Type="http://schemas.openxmlformats.org/officeDocument/2006/relationships/footer" Target="footer10.xml"/><Relationship Id="rId27" Type="http://schemas.openxmlformats.org/officeDocument/2006/relationships/header" Target="header7.xml"/><Relationship Id="rId28" Type="http://schemas.openxmlformats.org/officeDocument/2006/relationships/footer" Target="footer11.xml"/><Relationship Id="rId29" Type="http://schemas.openxmlformats.org/officeDocument/2006/relationships/image" Target="media/image3.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header" Target="header8.xml"/><Relationship Id="rId34" Type="http://schemas.openxmlformats.org/officeDocument/2006/relationships/footer" Target="footer12.xml"/><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40" Type="http://schemas.openxmlformats.org/officeDocument/2006/relationships/image" Target="media/image12.png"/><Relationship Id="rId41" Type="http://schemas.openxmlformats.org/officeDocument/2006/relationships/header" Target="header9.xml"/><Relationship Id="rId42" Type="http://schemas.openxmlformats.org/officeDocument/2006/relationships/footer" Target="footer13.xml"/><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63" Type="http://schemas.openxmlformats.org/officeDocument/2006/relationships/image" Target="media/image33.png"/><Relationship Id="rId64" Type="http://schemas.openxmlformats.org/officeDocument/2006/relationships/image" Target="media/image34.png"/><Relationship Id="rId65" Type="http://schemas.openxmlformats.org/officeDocument/2006/relationships/image" Target="media/image35.png"/><Relationship Id="rId66" Type="http://schemas.openxmlformats.org/officeDocument/2006/relationships/image" Target="media/image36.png"/><Relationship Id="rId67" Type="http://schemas.openxmlformats.org/officeDocument/2006/relationships/image" Target="media/image37.png"/><Relationship Id="rId68" Type="http://schemas.openxmlformats.org/officeDocument/2006/relationships/image" Target="media/image38.png"/><Relationship Id="rId69" Type="http://schemas.openxmlformats.org/officeDocument/2006/relationships/header" Target="header10.xml"/><Relationship Id="rId70" Type="http://schemas.openxmlformats.org/officeDocument/2006/relationships/footer" Target="footer14.xml"/><Relationship Id="rId71" Type="http://schemas.openxmlformats.org/officeDocument/2006/relationships/image" Target="media/image39.png"/><Relationship Id="rId72" Type="http://schemas.openxmlformats.org/officeDocument/2006/relationships/image" Target="media/image40.png"/><Relationship Id="rId73" Type="http://schemas.openxmlformats.org/officeDocument/2006/relationships/image" Target="media/image41.png"/><Relationship Id="rId74" Type="http://schemas.openxmlformats.org/officeDocument/2006/relationships/header" Target="header11.xml"/><Relationship Id="rId75" Type="http://schemas.openxmlformats.org/officeDocument/2006/relationships/footer" Target="footer15.xml"/><Relationship Id="rId76" Type="http://schemas.openxmlformats.org/officeDocument/2006/relationships/image" Target="media/image42.png"/><Relationship Id="rId77" Type="http://schemas.openxmlformats.org/officeDocument/2006/relationships/image" Target="media/image43.png"/><Relationship Id="rId78" Type="http://schemas.openxmlformats.org/officeDocument/2006/relationships/image" Target="media/image44.png"/><Relationship Id="rId79" Type="http://schemas.openxmlformats.org/officeDocument/2006/relationships/image" Target="media/image45.png"/><Relationship Id="rId80" Type="http://schemas.openxmlformats.org/officeDocument/2006/relationships/image" Target="media/image46.png"/><Relationship Id="rId81" Type="http://schemas.openxmlformats.org/officeDocument/2006/relationships/header" Target="header12.xml"/><Relationship Id="rId82" Type="http://schemas.openxmlformats.org/officeDocument/2006/relationships/footer" Target="footer16.xml"/><Relationship Id="rId83" Type="http://schemas.openxmlformats.org/officeDocument/2006/relationships/image" Target="media/image47.png"/><Relationship Id="rId84" Type="http://schemas.openxmlformats.org/officeDocument/2006/relationships/footer" Target="footer17.xml"/><Relationship Id="rId85" Type="http://schemas.openxmlformats.org/officeDocument/2006/relationships/image" Target="media/image48.png"/><Relationship Id="rId86" Type="http://schemas.openxmlformats.org/officeDocument/2006/relationships/image" Target="media/image49.png"/><Relationship Id="rId87" Type="http://schemas.openxmlformats.org/officeDocument/2006/relationships/image" Target="media/image50.png"/><Relationship Id="rId88" Type="http://schemas.openxmlformats.org/officeDocument/2006/relationships/image" Target="media/image51.png"/><Relationship Id="rId89" Type="http://schemas.openxmlformats.org/officeDocument/2006/relationships/image" Target="media/image52.png"/><Relationship Id="rId90" Type="http://schemas.openxmlformats.org/officeDocument/2006/relationships/image" Target="media/image53.png"/><Relationship Id="rId91" Type="http://schemas.openxmlformats.org/officeDocument/2006/relationships/image" Target="media/image54.png"/><Relationship Id="rId92" Type="http://schemas.openxmlformats.org/officeDocument/2006/relationships/image" Target="media/image55.png"/><Relationship Id="rId93" Type="http://schemas.openxmlformats.org/officeDocument/2006/relationships/image" Target="media/image56.png"/><Relationship Id="rId94" Type="http://schemas.openxmlformats.org/officeDocument/2006/relationships/image" Target="media/image57.png"/><Relationship Id="rId95" Type="http://schemas.openxmlformats.org/officeDocument/2006/relationships/image" Target="media/image58.png"/><Relationship Id="rId96" Type="http://schemas.openxmlformats.org/officeDocument/2006/relationships/image" Target="media/image59.png"/><Relationship Id="rId97" Type="http://schemas.openxmlformats.org/officeDocument/2006/relationships/image" Target="media/image60.png"/><Relationship Id="rId98" Type="http://schemas.openxmlformats.org/officeDocument/2006/relationships/image" Target="media/image61.png"/><Relationship Id="rId99" Type="http://schemas.openxmlformats.org/officeDocument/2006/relationships/image" Target="media/image62.png"/><Relationship Id="rId100" Type="http://schemas.openxmlformats.org/officeDocument/2006/relationships/image" Target="media/image63.png"/><Relationship Id="rId101" Type="http://schemas.openxmlformats.org/officeDocument/2006/relationships/image" Target="media/image64.png"/><Relationship Id="rId102" Type="http://schemas.openxmlformats.org/officeDocument/2006/relationships/image" Target="media/image65.png"/><Relationship Id="rId103" Type="http://schemas.openxmlformats.org/officeDocument/2006/relationships/image" Target="media/image66.png"/><Relationship Id="rId104" Type="http://schemas.openxmlformats.org/officeDocument/2006/relationships/image" Target="media/image67.png"/><Relationship Id="rId105" Type="http://schemas.openxmlformats.org/officeDocument/2006/relationships/image" Target="media/image68.png"/><Relationship Id="rId106" Type="http://schemas.openxmlformats.org/officeDocument/2006/relationships/image" Target="media/image69.png"/><Relationship Id="rId107" Type="http://schemas.openxmlformats.org/officeDocument/2006/relationships/image" Target="media/image70.png"/><Relationship Id="rId108" Type="http://schemas.openxmlformats.org/officeDocument/2006/relationships/image" Target="media/image71.png"/><Relationship Id="rId109" Type="http://schemas.openxmlformats.org/officeDocument/2006/relationships/image" Target="media/image72.png"/><Relationship Id="rId110" Type="http://schemas.openxmlformats.org/officeDocument/2006/relationships/image" Target="media/image73.png"/><Relationship Id="rId111" Type="http://schemas.openxmlformats.org/officeDocument/2006/relationships/image" Target="media/image74.png"/><Relationship Id="rId112" Type="http://schemas.openxmlformats.org/officeDocument/2006/relationships/image" Target="media/image75.png"/><Relationship Id="rId113" Type="http://schemas.openxmlformats.org/officeDocument/2006/relationships/image" Target="media/image76.png"/><Relationship Id="rId114" Type="http://schemas.openxmlformats.org/officeDocument/2006/relationships/image" Target="media/image77.png"/><Relationship Id="rId115" Type="http://schemas.openxmlformats.org/officeDocument/2006/relationships/image" Target="media/image78.png"/><Relationship Id="rId116" Type="http://schemas.openxmlformats.org/officeDocument/2006/relationships/image" Target="media/image79.png"/><Relationship Id="rId117" Type="http://schemas.openxmlformats.org/officeDocument/2006/relationships/image" Target="media/image80.png"/><Relationship Id="rId118" Type="http://schemas.openxmlformats.org/officeDocument/2006/relationships/image" Target="media/image81.png"/><Relationship Id="rId119" Type="http://schemas.openxmlformats.org/officeDocument/2006/relationships/image" Target="media/image82.png"/><Relationship Id="rId120" Type="http://schemas.openxmlformats.org/officeDocument/2006/relationships/image" Target="media/image83.png"/><Relationship Id="rId121" Type="http://schemas.openxmlformats.org/officeDocument/2006/relationships/image" Target="media/image84.png"/><Relationship Id="rId122" Type="http://schemas.openxmlformats.org/officeDocument/2006/relationships/image" Target="media/image85.png"/><Relationship Id="rId123" Type="http://schemas.openxmlformats.org/officeDocument/2006/relationships/image" Target="media/image86.png"/><Relationship Id="rId124" Type="http://schemas.openxmlformats.org/officeDocument/2006/relationships/image" Target="media/image87.png"/><Relationship Id="rId125" Type="http://schemas.openxmlformats.org/officeDocument/2006/relationships/image" Target="media/image88.png"/><Relationship Id="rId126" Type="http://schemas.openxmlformats.org/officeDocument/2006/relationships/image" Target="media/image89.png"/><Relationship Id="rId127" Type="http://schemas.openxmlformats.org/officeDocument/2006/relationships/image" Target="media/image90.png"/><Relationship Id="rId128" Type="http://schemas.openxmlformats.org/officeDocument/2006/relationships/image" Target="media/image91.png"/><Relationship Id="rId129" Type="http://schemas.openxmlformats.org/officeDocument/2006/relationships/image" Target="media/image92.png"/><Relationship Id="rId130" Type="http://schemas.openxmlformats.org/officeDocument/2006/relationships/image" Target="media/image93.png"/><Relationship Id="rId131" Type="http://schemas.openxmlformats.org/officeDocument/2006/relationships/image" Target="media/image94.png"/><Relationship Id="rId132" Type="http://schemas.openxmlformats.org/officeDocument/2006/relationships/image" Target="media/image95.png"/><Relationship Id="rId133" Type="http://schemas.openxmlformats.org/officeDocument/2006/relationships/image" Target="media/image96.png"/><Relationship Id="rId134" Type="http://schemas.openxmlformats.org/officeDocument/2006/relationships/footer" Target="footer18.xml"/><Relationship Id="rId135" Type="http://schemas.openxmlformats.org/officeDocument/2006/relationships/image" Target="media/image97.png"/><Relationship Id="rId136" Type="http://schemas.openxmlformats.org/officeDocument/2006/relationships/image" Target="media/image98.png"/><Relationship Id="rId137" Type="http://schemas.openxmlformats.org/officeDocument/2006/relationships/image" Target="media/image99.png"/><Relationship Id="rId138" Type="http://schemas.openxmlformats.org/officeDocument/2006/relationships/image" Target="media/image100.png"/><Relationship Id="rId139" Type="http://schemas.openxmlformats.org/officeDocument/2006/relationships/image" Target="media/image101.png"/><Relationship Id="rId140" Type="http://schemas.openxmlformats.org/officeDocument/2006/relationships/image" Target="media/image102.png"/><Relationship Id="rId141" Type="http://schemas.openxmlformats.org/officeDocument/2006/relationships/image" Target="media/image103.png"/><Relationship Id="rId142" Type="http://schemas.openxmlformats.org/officeDocument/2006/relationships/image" Target="media/image104.png"/><Relationship Id="rId143" Type="http://schemas.openxmlformats.org/officeDocument/2006/relationships/header" Target="header13.xml"/><Relationship Id="rId144" Type="http://schemas.openxmlformats.org/officeDocument/2006/relationships/footer" Target="footer19.xml"/><Relationship Id="rId145" Type="http://schemas.openxmlformats.org/officeDocument/2006/relationships/image" Target="media/image105.png"/><Relationship Id="rId146" Type="http://schemas.openxmlformats.org/officeDocument/2006/relationships/image" Target="media/image106.png"/><Relationship Id="rId147" Type="http://schemas.openxmlformats.org/officeDocument/2006/relationships/image" Target="media/image107.png"/><Relationship Id="rId148" Type="http://schemas.openxmlformats.org/officeDocument/2006/relationships/image" Target="media/image108.png"/><Relationship Id="rId149" Type="http://schemas.openxmlformats.org/officeDocument/2006/relationships/header" Target="header14.xml"/><Relationship Id="rId150" Type="http://schemas.openxmlformats.org/officeDocument/2006/relationships/footer" Target="footer20.xml"/><Relationship Id="rId151" Type="http://schemas.openxmlformats.org/officeDocument/2006/relationships/image" Target="media/image109.png"/><Relationship Id="rId152" Type="http://schemas.openxmlformats.org/officeDocument/2006/relationships/image" Target="media/image110.png"/><Relationship Id="rId153" Type="http://schemas.openxmlformats.org/officeDocument/2006/relationships/image" Target="media/image111.png"/><Relationship Id="rId154" Type="http://schemas.openxmlformats.org/officeDocument/2006/relationships/image" Target="media/image112.png"/><Relationship Id="rId155" Type="http://schemas.openxmlformats.org/officeDocument/2006/relationships/image" Target="media/image113.png"/><Relationship Id="rId156" Type="http://schemas.openxmlformats.org/officeDocument/2006/relationships/image" Target="media/image114.png"/><Relationship Id="rId157" Type="http://schemas.openxmlformats.org/officeDocument/2006/relationships/image" Target="media/image115.png"/><Relationship Id="rId158" Type="http://schemas.openxmlformats.org/officeDocument/2006/relationships/image" Target="media/image116.png"/><Relationship Id="rId159" Type="http://schemas.openxmlformats.org/officeDocument/2006/relationships/image" Target="media/image117.png"/><Relationship Id="rId160" Type="http://schemas.openxmlformats.org/officeDocument/2006/relationships/image" Target="media/image118.png"/><Relationship Id="rId161" Type="http://schemas.openxmlformats.org/officeDocument/2006/relationships/image" Target="media/image119.png"/><Relationship Id="rId162" Type="http://schemas.openxmlformats.org/officeDocument/2006/relationships/image" Target="media/image120.png"/><Relationship Id="rId163" Type="http://schemas.openxmlformats.org/officeDocument/2006/relationships/image" Target="media/image121.png"/><Relationship Id="rId164" Type="http://schemas.openxmlformats.org/officeDocument/2006/relationships/image" Target="media/image122.png"/><Relationship Id="rId165" Type="http://schemas.openxmlformats.org/officeDocument/2006/relationships/image" Target="media/image123.png"/><Relationship Id="rId166" Type="http://schemas.openxmlformats.org/officeDocument/2006/relationships/image" Target="media/image124.png"/><Relationship Id="rId167" Type="http://schemas.openxmlformats.org/officeDocument/2006/relationships/image" Target="media/image125.png"/><Relationship Id="rId168" Type="http://schemas.openxmlformats.org/officeDocument/2006/relationships/image" Target="media/image126.png"/><Relationship Id="rId169" Type="http://schemas.openxmlformats.org/officeDocument/2006/relationships/image" Target="media/image127.png"/><Relationship Id="rId170" Type="http://schemas.openxmlformats.org/officeDocument/2006/relationships/header" Target="header15.xml"/><Relationship Id="rId171" Type="http://schemas.openxmlformats.org/officeDocument/2006/relationships/footer" Target="footer21.xml"/><Relationship Id="rId172" Type="http://schemas.openxmlformats.org/officeDocument/2006/relationships/image" Target="media/image128.png"/><Relationship Id="rId173" Type="http://schemas.openxmlformats.org/officeDocument/2006/relationships/image" Target="media/image129.png"/><Relationship Id="rId174" Type="http://schemas.openxmlformats.org/officeDocument/2006/relationships/header" Target="header16.xml"/><Relationship Id="rId175" Type="http://schemas.openxmlformats.org/officeDocument/2006/relationships/footer" Target="footer22.xml"/><Relationship Id="rId176" Type="http://schemas.openxmlformats.org/officeDocument/2006/relationships/image" Target="media/image130.png"/><Relationship Id="rId177" Type="http://schemas.openxmlformats.org/officeDocument/2006/relationships/image" Target="media/image131.png"/><Relationship Id="rId178" Type="http://schemas.openxmlformats.org/officeDocument/2006/relationships/image" Target="media/image132.png"/><Relationship Id="rId179" Type="http://schemas.openxmlformats.org/officeDocument/2006/relationships/image" Target="media/image133.png"/><Relationship Id="rId180" Type="http://schemas.openxmlformats.org/officeDocument/2006/relationships/image" Target="media/image134.png"/><Relationship Id="rId181" Type="http://schemas.openxmlformats.org/officeDocument/2006/relationships/image" Target="media/image135.png"/><Relationship Id="rId182" Type="http://schemas.openxmlformats.org/officeDocument/2006/relationships/image" Target="media/image136.png"/><Relationship Id="rId183" Type="http://schemas.openxmlformats.org/officeDocument/2006/relationships/image" Target="media/image137.png"/><Relationship Id="rId184" Type="http://schemas.openxmlformats.org/officeDocument/2006/relationships/image" Target="media/image138.png"/><Relationship Id="rId185" Type="http://schemas.openxmlformats.org/officeDocument/2006/relationships/image" Target="media/image139.png"/><Relationship Id="rId186" Type="http://schemas.openxmlformats.org/officeDocument/2006/relationships/image" Target="media/image140.png"/><Relationship Id="rId187" Type="http://schemas.openxmlformats.org/officeDocument/2006/relationships/image" Target="media/image141.png"/><Relationship Id="rId188" Type="http://schemas.openxmlformats.org/officeDocument/2006/relationships/image" Target="media/image142.png"/><Relationship Id="rId189" Type="http://schemas.openxmlformats.org/officeDocument/2006/relationships/header" Target="header17.xml"/><Relationship Id="rId190" Type="http://schemas.openxmlformats.org/officeDocument/2006/relationships/footer" Target="footer23.xml"/><Relationship Id="rId191" Type="http://schemas.openxmlformats.org/officeDocument/2006/relationships/header" Target="header18.xml"/><Relationship Id="rId192" Type="http://schemas.openxmlformats.org/officeDocument/2006/relationships/footer" Target="footer24.xml"/><Relationship Id="rId193" Type="http://schemas.openxmlformats.org/officeDocument/2006/relationships/header" Target="header19.xml"/><Relationship Id="rId194" Type="http://schemas.openxmlformats.org/officeDocument/2006/relationships/footer" Target="footer25.xml"/><Relationship Id="rId195" Type="http://schemas.openxmlformats.org/officeDocument/2006/relationships/header" Target="header20.xml"/><Relationship Id="rId196" Type="http://schemas.openxmlformats.org/officeDocument/2006/relationships/footer" Target="footer26.xml"/><Relationship Id="rId197" Type="http://schemas.openxmlformats.org/officeDocument/2006/relationships/header" Target="header21.xml"/><Relationship Id="rId198" Type="http://schemas.openxmlformats.org/officeDocument/2006/relationships/footer" Target="footer27.xml"/><Relationship Id="rId199" Type="http://schemas.openxmlformats.org/officeDocument/2006/relationships/header" Target="header22.xml"/><Relationship Id="rId200" Type="http://schemas.openxmlformats.org/officeDocument/2006/relationships/footer" Target="footer28.xml"/><Relationship Id="rId201" Type="http://schemas.openxmlformats.org/officeDocument/2006/relationships/header" Target="header23.xml"/><Relationship Id="rId202" Type="http://schemas.openxmlformats.org/officeDocument/2006/relationships/footer" Target="footer29.xml"/><Relationship Id="rId203" Type="http://schemas.openxmlformats.org/officeDocument/2006/relationships/header" Target="header24.xml"/><Relationship Id="rId204" Type="http://schemas.openxmlformats.org/officeDocument/2006/relationships/footer" Target="footer30.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.XBRL.</dc:creator>
  <dc:title>东软集团股份有限公司</dc:title>
  <dcterms:created xsi:type="dcterms:W3CDTF">2020-04-02T15:13:39Z</dcterms:created>
  <dcterms:modified xsi:type="dcterms:W3CDTF">2020-04-02T15:13:39Z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2010-03-26T00:00:00Z</vt:filetime>
  </property>
  <property fmtid="{D5CDD505-2E9C-101B-9397-08002B2CF9AE}" pid="3" name="Creator">
    <vt:lpwstr>Acrobat PDFMaker 7.0 for Word</vt:lpwstr>
  </property>
  <property fmtid="{D5CDD505-2E9C-101B-9397-08002B2CF9AE}" pid="4" name="LastSaved">
    <vt:filetime>2020-04-02T00:00:00Z</vt:filetime>
  </property>
</Properties>
</file>